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line="460" w:lineRule="exact"/>
      </w:pPr>
      <w:r>
        <w:t> </w:t>
      </w: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全州县</w:t>
      </w:r>
      <w:r>
        <w:rPr>
          <w:rFonts w:hint="eastAsia" w:ascii="Arial" w:hAnsi="Arial" w:cs="Arial"/>
        </w:rPr>
        <w:t>审计局</w:t>
      </w:r>
      <w:r>
        <w:rPr>
          <w:rFonts w:ascii="Arial" w:hAnsi="Arial" w:cs="Arial"/>
        </w:rPr>
        <w:t>2023年部门预算</w:t>
      </w: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目录</w:t>
      </w:r>
    </w:p>
    <w:p>
      <w:pPr>
        <w:pStyle w:val="4"/>
        <w:widowControl/>
        <w:spacing w:before="150" w:beforeAutospacing="0" w:after="150" w:afterAutospacing="0" w:line="460" w:lineRule="exact"/>
        <w:ind w:firstLine="420"/>
        <w:rPr>
          <w:rFonts w:ascii="Arial" w:hAnsi="Arial" w:cs="Arial"/>
        </w:rPr>
      </w:pPr>
      <w:r>
        <w:rPr>
          <w:rFonts w:ascii="Arial" w:hAnsi="Arial" w:cs="Arial"/>
        </w:rPr>
        <w:t>第一部分 部门概况</w:t>
      </w:r>
    </w:p>
    <w:p>
      <w:pPr>
        <w:pStyle w:val="4"/>
        <w:widowControl/>
        <w:spacing w:before="150" w:beforeAutospacing="0" w:after="150" w:afterAutospacing="0" w:line="460" w:lineRule="exact"/>
        <w:ind w:firstLine="420"/>
        <w:rPr>
          <w:rFonts w:ascii="Arial" w:hAnsi="Arial" w:cs="Arial"/>
        </w:rPr>
      </w:pPr>
      <w:r>
        <w:rPr>
          <w:rFonts w:ascii="Arial" w:hAnsi="Arial" w:cs="Arial"/>
        </w:rPr>
        <w:t>一、主要职能职责</w:t>
      </w:r>
    </w:p>
    <w:p>
      <w:pPr>
        <w:pStyle w:val="4"/>
        <w:widowControl/>
        <w:spacing w:before="150" w:beforeAutospacing="0" w:after="150" w:afterAutospacing="0" w:line="460" w:lineRule="exact"/>
        <w:ind w:firstLine="420"/>
        <w:rPr>
          <w:rFonts w:ascii="Arial" w:hAnsi="Arial" w:cs="Arial"/>
        </w:rPr>
      </w:pPr>
      <w:r>
        <w:rPr>
          <w:rFonts w:ascii="Arial" w:hAnsi="Arial" w:cs="Arial"/>
        </w:rPr>
        <w:t>二、机构设置(本级和二层单位构成)</w:t>
      </w:r>
    </w:p>
    <w:p>
      <w:pPr>
        <w:pStyle w:val="4"/>
        <w:widowControl/>
        <w:spacing w:before="150" w:beforeAutospacing="0" w:after="150" w:afterAutospacing="0" w:line="460" w:lineRule="exact"/>
        <w:ind w:firstLine="420"/>
        <w:rPr>
          <w:rFonts w:ascii="Arial" w:hAnsi="Arial" w:cs="Arial"/>
        </w:rPr>
      </w:pPr>
      <w:r>
        <w:rPr>
          <w:rFonts w:ascii="Arial" w:hAnsi="Arial" w:cs="Arial"/>
        </w:rPr>
        <w:t>三、编制现状及人员构成(本级和二层单位)</w:t>
      </w:r>
    </w:p>
    <w:p>
      <w:pPr>
        <w:pStyle w:val="4"/>
        <w:widowControl/>
        <w:spacing w:before="150" w:beforeAutospacing="0" w:after="150" w:afterAutospacing="0" w:line="460" w:lineRule="exact"/>
        <w:ind w:firstLine="420"/>
        <w:rPr>
          <w:rFonts w:ascii="Arial" w:hAnsi="Arial" w:cs="Arial"/>
        </w:rPr>
      </w:pPr>
      <w:r>
        <w:rPr>
          <w:rFonts w:ascii="Arial" w:hAnsi="Arial" w:cs="Arial"/>
        </w:rPr>
        <w:t>四、年度主要工作任务</w:t>
      </w:r>
    </w:p>
    <w:p>
      <w:pPr>
        <w:pStyle w:val="4"/>
        <w:widowControl/>
        <w:spacing w:before="150" w:beforeAutospacing="0" w:after="150" w:afterAutospacing="0" w:line="460" w:lineRule="exact"/>
        <w:ind w:firstLine="420"/>
        <w:rPr>
          <w:rFonts w:ascii="Arial" w:hAnsi="Arial" w:cs="Arial"/>
        </w:rPr>
      </w:pPr>
      <w:r>
        <w:rPr>
          <w:rFonts w:ascii="Arial" w:hAnsi="Arial" w:cs="Arial"/>
        </w:rPr>
        <w:t>第二部分 部门预算报表</w:t>
      </w:r>
    </w:p>
    <w:p>
      <w:pPr>
        <w:pStyle w:val="4"/>
        <w:widowControl/>
        <w:spacing w:before="150" w:beforeAutospacing="0" w:after="150" w:afterAutospacing="0" w:line="460" w:lineRule="exact"/>
        <w:ind w:firstLine="420"/>
        <w:rPr>
          <w:rFonts w:ascii="Arial" w:hAnsi="Arial" w:cs="Arial"/>
        </w:rPr>
      </w:pPr>
      <w:r>
        <w:rPr>
          <w:rFonts w:ascii="Arial" w:hAnsi="Arial" w:cs="Arial"/>
        </w:rPr>
        <w:t>一、部门收支总体情况表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二、部门收入总体情况表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三、部门支出总体情况表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四、财政拨款收支总体情况表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五、一般公共支出预算情况表</w:t>
      </w:r>
    </w:p>
    <w:p>
      <w:pPr>
        <w:pStyle w:val="4"/>
        <w:widowControl/>
        <w:spacing w:before="150" w:beforeAutospacing="0" w:after="150" w:afterAutospacing="0" w:line="460" w:lineRule="exact"/>
        <w:ind w:firstLine="420"/>
        <w:rPr>
          <w:rFonts w:ascii="Arial" w:hAnsi="Arial" w:cs="Arial"/>
        </w:rPr>
      </w:pPr>
      <w:r>
        <w:rPr>
          <w:rFonts w:ascii="Arial" w:hAnsi="Arial" w:cs="Arial"/>
        </w:rPr>
        <w:t>六、一般公共预算基本支出情况表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七、财政拨款三公两费支出情况表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八、 政府性基金预算支出情况表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九、  国有资本经营预算支出情况表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第三部分  2023年部门预算情况说明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第四部分 专业名词解释</w:t>
      </w:r>
    </w:p>
    <w:p>
      <w:pPr>
        <w:pStyle w:val="4"/>
        <w:widowControl/>
        <w:spacing w:before="150" w:beforeAutospacing="0" w:after="150" w:afterAutospacing="0" w:line="460" w:lineRule="exact"/>
        <w:ind w:firstLine="420"/>
        <w:jc w:val="center"/>
        <w:rPr>
          <w:rFonts w:ascii="Arial" w:hAnsi="Arial" w:cs="Arial"/>
        </w:rPr>
      </w:pPr>
    </w:p>
    <w:p>
      <w:pPr>
        <w:pStyle w:val="4"/>
        <w:widowControl/>
        <w:spacing w:before="150" w:beforeAutospacing="0" w:after="150" w:afterAutospacing="0" w:line="460" w:lineRule="exact"/>
        <w:ind w:firstLine="420"/>
        <w:jc w:val="center"/>
        <w:rPr>
          <w:rFonts w:ascii="Arial" w:hAnsi="Arial" w:cs="Arial"/>
        </w:rPr>
      </w:pP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第一部分 部门概况</w:t>
      </w:r>
    </w:p>
    <w:p>
      <w:pPr>
        <w:pStyle w:val="4"/>
        <w:widowControl/>
        <w:spacing w:before="150" w:beforeAutospacing="0" w:after="150" w:afterAutospacing="0" w:line="460" w:lineRule="exact"/>
        <w:ind w:firstLine="420"/>
        <w:rPr>
          <w:rFonts w:ascii="Arial" w:hAnsi="Arial" w:cs="Arial"/>
        </w:rPr>
      </w:pPr>
      <w:r>
        <w:rPr>
          <w:rFonts w:ascii="Arial" w:hAnsi="Arial" w:cs="Arial"/>
        </w:rPr>
        <w:t>一、主要职能职责</w:t>
      </w:r>
    </w:p>
    <w:p>
      <w:pPr>
        <w:pStyle w:val="4"/>
        <w:widowControl/>
        <w:wordWrap w:val="0"/>
        <w:spacing w:beforeAutospacing="0" w:afterAutospacing="0" w:line="360" w:lineRule="auto"/>
        <w:ind w:firstLine="480" w:firstLineChars="200"/>
        <w:rPr>
          <w:rFonts w:ascii="宋体"/>
        </w:rPr>
      </w:pPr>
      <w:r>
        <w:rPr>
          <w:rFonts w:hint="eastAsia" w:ascii="宋体" w:hAnsi="宋体"/>
        </w:rPr>
        <w:t>（一）负责对国家财政收支和法律法规规定属于审计监督范围的财务收支的真实、合法和效益进行审计监督，维护国家财政经济秩序，提高财政资金使用效益，促进廉政建设，保障国民经济和社会健康发展。对审计、专项审计调查和核查社会审计机构相关审计报告的结果承担责任，并负有督促被审计单位整改的责任。</w:t>
      </w:r>
    </w:p>
    <w:p>
      <w:pPr>
        <w:pStyle w:val="4"/>
        <w:widowControl/>
        <w:wordWrap w:val="0"/>
        <w:spacing w:beforeAutospacing="0" w:afterAutospacing="0" w:line="360" w:lineRule="auto"/>
        <w:ind w:firstLine="600" w:firstLineChars="250"/>
        <w:rPr>
          <w:rFonts w:ascii="宋体"/>
        </w:rPr>
      </w:pPr>
      <w:r>
        <w:rPr>
          <w:rFonts w:hint="eastAsia" w:ascii="宋体" w:hAnsi="宋体"/>
        </w:rPr>
        <w:t>（二）制定并组织实施全县审计工作发展规划和专业领域审计工作规划，制定并组织实施年度审计计划。根据县人民政府委托，起草有关的规范性文件草案。拟订全县审计相关规定并监督执行。对直接审计、调查和核查的事项依法进行审计评价，做出审计决定或提出审计建议。</w:t>
      </w:r>
    </w:p>
    <w:p>
      <w:pPr>
        <w:pStyle w:val="4"/>
        <w:widowControl/>
        <w:wordWrap w:val="0"/>
        <w:spacing w:beforeAutospacing="0" w:afterAutospacing="0" w:line="360" w:lineRule="auto"/>
        <w:ind w:firstLine="480" w:firstLineChars="200"/>
        <w:rPr>
          <w:rFonts w:ascii="宋体"/>
        </w:rPr>
      </w:pPr>
      <w:r>
        <w:rPr>
          <w:rFonts w:hint="eastAsia" w:ascii="宋体" w:hAnsi="宋体"/>
        </w:rPr>
        <w:t>（三）向县委审计委员会提出年度预算执行和其他财政收支情况审计情况报告。向县长提出年度预算执行和其他财政收支情况审计结果报告。受县政府委托向县人大常委会提出县预算执行和其他财政收支情况的审计工作报告、审计査出问题整改情况报告。向县委、县政府报告对其他事项的审计和专项审计调查情况及结果。依法向社会公布审计结果。向县委和县政府有关部门、县（县、区）党委和人民政府通报审计情况和审计结果。</w:t>
      </w:r>
    </w:p>
    <w:p>
      <w:pPr>
        <w:pStyle w:val="4"/>
        <w:widowControl/>
        <w:wordWrap w:val="0"/>
        <w:spacing w:beforeAutospacing="0" w:afterAutospacing="0" w:line="360" w:lineRule="auto"/>
        <w:ind w:firstLine="480" w:firstLineChars="200"/>
        <w:rPr>
          <w:rFonts w:ascii="宋体"/>
        </w:rPr>
      </w:pPr>
      <w:r>
        <w:rPr>
          <w:rFonts w:hint="eastAsia" w:ascii="宋体" w:hAnsi="宋体"/>
        </w:rPr>
        <w:t>（四）直接审计下列事项，出具审计报告，在法定职权范围内做出审计决定或有关主管机关提出处理处罚的建议：</w:t>
      </w:r>
    </w:p>
    <w:p>
      <w:pPr>
        <w:pStyle w:val="4"/>
        <w:widowControl/>
        <w:wordWrap w:val="0"/>
        <w:spacing w:beforeAutospacing="0" w:afterAutospacing="0" w:line="360" w:lineRule="auto"/>
        <w:ind w:firstLine="480" w:firstLineChars="200"/>
        <w:rPr>
          <w:rFonts w:ascii="宋体"/>
        </w:rPr>
      </w:pPr>
      <w:r>
        <w:rPr>
          <w:rFonts w:ascii="宋体" w:hAnsi="宋体"/>
        </w:rPr>
        <w:t>1</w:t>
      </w:r>
      <w:r>
        <w:rPr>
          <w:rFonts w:hint="eastAsia" w:ascii="宋体" w:hAnsi="宋体"/>
        </w:rPr>
        <w:t>．国家、自治区、桂林市有关重大政策措施贯彻落实情况。</w:t>
      </w:r>
    </w:p>
    <w:p>
      <w:pPr>
        <w:pStyle w:val="4"/>
        <w:widowControl/>
        <w:wordWrap w:val="0"/>
        <w:spacing w:beforeAutospacing="0" w:afterAutospacing="0" w:line="360" w:lineRule="auto"/>
        <w:ind w:firstLine="480" w:firstLineChars="200"/>
        <w:rPr>
          <w:rFonts w:ascii="宋体"/>
        </w:rPr>
      </w:pPr>
      <w:r>
        <w:rPr>
          <w:rFonts w:ascii="宋体" w:hAnsi="宋体"/>
        </w:rPr>
        <w:t>2.</w:t>
      </w:r>
      <w:r>
        <w:rPr>
          <w:rFonts w:hint="eastAsia" w:ascii="宋体" w:hAnsi="宋体"/>
        </w:rPr>
        <w:t>县财政预算执行情况和其他财政收支，县人民政府各部门、事业单位及下属单位预算的执行情况、决算和其他财政收支。</w:t>
      </w:r>
    </w:p>
    <w:p>
      <w:pPr>
        <w:pStyle w:val="4"/>
        <w:widowControl/>
        <w:wordWrap w:val="0"/>
        <w:spacing w:beforeAutospacing="0" w:afterAutospacing="0" w:line="360" w:lineRule="auto"/>
        <w:ind w:firstLine="480" w:firstLineChars="200"/>
        <w:rPr>
          <w:rFonts w:ascii="宋体"/>
        </w:rPr>
      </w:pPr>
      <w:r>
        <w:rPr>
          <w:rFonts w:ascii="宋体" w:hAnsi="宋体"/>
        </w:rPr>
        <w:t>3</w:t>
      </w:r>
      <w:r>
        <w:rPr>
          <w:rFonts w:hint="eastAsia" w:ascii="宋体" w:hAnsi="宋体"/>
        </w:rPr>
        <w:t>．县人民政府预算的执行情况和其他财政收支、县直各部门和乡（镇）人民政府预算的执行情况、决算和其他财政收支、中央财政转移支付资金。</w:t>
      </w:r>
    </w:p>
    <w:p>
      <w:pPr>
        <w:pStyle w:val="4"/>
        <w:widowControl/>
        <w:wordWrap w:val="0"/>
        <w:spacing w:beforeAutospacing="0" w:afterAutospacing="0" w:line="360" w:lineRule="auto"/>
        <w:ind w:firstLine="480" w:firstLineChars="200"/>
        <w:rPr>
          <w:rFonts w:ascii="宋体"/>
        </w:rPr>
      </w:pPr>
      <w:r>
        <w:rPr>
          <w:rFonts w:ascii="宋体" w:hAnsi="宋体"/>
        </w:rPr>
        <w:t>4</w:t>
      </w:r>
      <w:r>
        <w:rPr>
          <w:rFonts w:hint="eastAsia" w:ascii="宋体" w:hAnsi="宋体"/>
        </w:rPr>
        <w:t>．使用县财政资金的事业单位和社会团体的财务收支。</w:t>
      </w:r>
    </w:p>
    <w:p>
      <w:pPr>
        <w:pStyle w:val="4"/>
        <w:widowControl/>
        <w:wordWrap w:val="0"/>
        <w:spacing w:beforeAutospacing="0" w:afterAutospacing="0" w:line="360" w:lineRule="auto"/>
        <w:ind w:firstLine="480" w:firstLineChars="200"/>
        <w:rPr>
          <w:rFonts w:ascii="宋体"/>
        </w:rPr>
      </w:pPr>
      <w:r>
        <w:rPr>
          <w:rFonts w:ascii="宋体" w:hAnsi="宋体"/>
        </w:rPr>
        <w:t>5</w:t>
      </w:r>
      <w:r>
        <w:rPr>
          <w:rFonts w:hint="eastAsia" w:ascii="宋体" w:hAnsi="宋体"/>
        </w:rPr>
        <w:t>．县政府投资和以县政府投资为主的建设项目的预算执行情况和决算。</w:t>
      </w:r>
    </w:p>
    <w:p>
      <w:pPr>
        <w:pStyle w:val="4"/>
        <w:widowControl/>
        <w:wordWrap w:val="0"/>
        <w:spacing w:beforeAutospacing="0" w:afterAutospacing="0" w:line="360" w:lineRule="auto"/>
        <w:ind w:firstLine="480" w:firstLineChars="200"/>
        <w:rPr>
          <w:rFonts w:ascii="宋体"/>
        </w:rPr>
      </w:pPr>
      <w:r>
        <w:rPr>
          <w:rFonts w:ascii="宋体" w:hAnsi="宋体"/>
        </w:rPr>
        <w:t>6</w:t>
      </w:r>
      <w:r>
        <w:rPr>
          <w:rFonts w:hint="eastAsia" w:ascii="宋体" w:hAnsi="宋体"/>
        </w:rPr>
        <w:t>．县政府国有企业和金融机构、县人民政府规定的县政府国有资本占控股或主导地位的企业和金融机构的资产、负债和损益。</w:t>
      </w:r>
    </w:p>
    <w:p>
      <w:pPr>
        <w:pStyle w:val="4"/>
        <w:widowControl/>
        <w:wordWrap w:val="0"/>
        <w:spacing w:beforeAutospacing="0" w:afterAutospacing="0" w:line="360" w:lineRule="auto"/>
        <w:ind w:firstLine="480" w:firstLineChars="200"/>
        <w:rPr>
          <w:rFonts w:ascii="宋体"/>
        </w:rPr>
      </w:pPr>
      <w:r>
        <w:rPr>
          <w:rFonts w:ascii="宋体" w:hAnsi="宋体"/>
        </w:rPr>
        <w:t>7</w:t>
      </w:r>
      <w:r>
        <w:rPr>
          <w:rFonts w:hint="eastAsia" w:ascii="宋体" w:hAnsi="宋体"/>
        </w:rPr>
        <w:t>．县人民政府主管部门、县人民政府管理和受县人民政府委托由社会团体管理和社会保障基金、社会捐赠资金及其他有关基金、资金的财务收支。</w:t>
      </w:r>
    </w:p>
    <w:p>
      <w:pPr>
        <w:pStyle w:val="4"/>
        <w:widowControl/>
        <w:wordWrap w:val="0"/>
        <w:spacing w:beforeAutospacing="0" w:afterAutospacing="0" w:line="360" w:lineRule="auto"/>
        <w:ind w:firstLine="480" w:firstLineChars="200"/>
        <w:rPr>
          <w:rFonts w:ascii="宋体"/>
        </w:rPr>
      </w:pPr>
      <w:r>
        <w:rPr>
          <w:rFonts w:ascii="宋体" w:hAnsi="宋体"/>
        </w:rPr>
        <w:t>8</w:t>
      </w:r>
      <w:r>
        <w:rPr>
          <w:rFonts w:hint="eastAsia" w:ascii="宋体" w:hAnsi="宋体"/>
        </w:rPr>
        <w:t>．自然资源管理、污染防治和生态保护与修复情况。</w:t>
      </w:r>
    </w:p>
    <w:p>
      <w:pPr>
        <w:pStyle w:val="4"/>
        <w:widowControl/>
        <w:wordWrap w:val="0"/>
        <w:spacing w:beforeAutospacing="0" w:afterAutospacing="0" w:line="360" w:lineRule="auto"/>
        <w:ind w:firstLine="480" w:firstLineChars="200"/>
        <w:rPr>
          <w:rFonts w:ascii="宋体"/>
        </w:rPr>
      </w:pPr>
      <w:r>
        <w:rPr>
          <w:rFonts w:ascii="宋体" w:hAnsi="宋体"/>
        </w:rPr>
        <w:t>9.</w:t>
      </w:r>
      <w:r>
        <w:rPr>
          <w:rFonts w:hint="eastAsia" w:ascii="宋体" w:hAnsi="宋体"/>
        </w:rPr>
        <w:t>根据上级审计机关投权，对国际组织和外国政府援助、贷款项目的财务收支和项目执行情况。</w:t>
      </w:r>
    </w:p>
    <w:p>
      <w:pPr>
        <w:pStyle w:val="4"/>
        <w:widowControl/>
        <w:wordWrap w:val="0"/>
        <w:spacing w:beforeAutospacing="0" w:afterAutospacing="0" w:line="360" w:lineRule="auto"/>
        <w:ind w:firstLine="480" w:firstLineChars="200"/>
        <w:rPr>
          <w:rFonts w:ascii="宋体"/>
        </w:rPr>
      </w:pPr>
      <w:r>
        <w:rPr>
          <w:rFonts w:ascii="宋体" w:hAnsi="宋体"/>
        </w:rPr>
        <w:t>10.</w:t>
      </w:r>
      <w:r>
        <w:rPr>
          <w:rFonts w:hint="eastAsia" w:ascii="宋体" w:hAnsi="宋体"/>
        </w:rPr>
        <w:t>法律、法规规定应由县审计局审计的其他事项。</w:t>
      </w:r>
    </w:p>
    <w:p>
      <w:pPr>
        <w:pStyle w:val="4"/>
        <w:widowControl/>
        <w:wordWrap w:val="0"/>
        <w:spacing w:beforeAutospacing="0" w:afterAutospacing="0" w:line="360" w:lineRule="auto"/>
        <w:ind w:firstLine="480" w:firstLineChars="200"/>
        <w:rPr>
          <w:rFonts w:ascii="宋体"/>
        </w:rPr>
      </w:pPr>
      <w:r>
        <w:rPr>
          <w:rFonts w:hint="eastAsia" w:ascii="宋体" w:hAnsi="宋体"/>
        </w:rPr>
        <w:t>（五）按规定对县委管理的党政主要领导干部及其他单位主要负责人，实施经济责任审计和自然资源资产离任审计。</w:t>
      </w:r>
    </w:p>
    <w:p>
      <w:pPr>
        <w:pStyle w:val="4"/>
        <w:widowControl/>
        <w:wordWrap w:val="0"/>
        <w:spacing w:beforeAutospacing="0" w:afterAutospacing="0" w:line="360" w:lineRule="auto"/>
        <w:ind w:firstLine="480" w:firstLineChars="200"/>
        <w:rPr>
          <w:rFonts w:ascii="宋体"/>
        </w:rPr>
      </w:pPr>
      <w:r>
        <w:rPr>
          <w:rFonts w:hint="eastAsia" w:ascii="宋体" w:hAnsi="宋体"/>
        </w:rPr>
        <w:t>（六）组织实施对国家财经法律、法规、规章、政策和宏观调控措施执行情况、财政预算管理及国有资产管理使用等与国家财政收支有关的特定审计事项进行专项审计调查。</w:t>
      </w:r>
    </w:p>
    <w:p>
      <w:pPr>
        <w:pStyle w:val="4"/>
        <w:widowControl/>
        <w:wordWrap w:val="0"/>
        <w:spacing w:beforeAutospacing="0" w:afterAutospacing="0" w:line="360" w:lineRule="auto"/>
        <w:ind w:firstLine="480" w:firstLineChars="200"/>
        <w:rPr>
          <w:rFonts w:ascii="宋体"/>
        </w:rPr>
      </w:pPr>
      <w:r>
        <w:rPr>
          <w:rFonts w:hint="eastAsia" w:ascii="宋体" w:hAnsi="宋体"/>
        </w:rPr>
        <w:t>（七）依法检查审计决定执行情况，督促整改审计查出的问题，依法办理被审计单位对审计决定提请行政复议、行政诉讼或县政府裁决中的有关事项，协助配合有关部门查处相关重大案件。</w:t>
      </w:r>
    </w:p>
    <w:p>
      <w:pPr>
        <w:pStyle w:val="4"/>
        <w:widowControl/>
        <w:wordWrap w:val="0"/>
        <w:spacing w:beforeAutospacing="0" w:afterAutospacing="0" w:line="360" w:lineRule="auto"/>
        <w:ind w:firstLine="480" w:firstLineChars="200"/>
        <w:rPr>
          <w:rFonts w:ascii="宋体"/>
        </w:rPr>
      </w:pPr>
      <w:r>
        <w:rPr>
          <w:rFonts w:hint="eastAsia" w:ascii="宋体" w:hAnsi="宋体"/>
        </w:rPr>
        <w:t>（八）指导和监督内部审计工作，核查社会审计机构对依法属于审计监督对象的单位出具的相关审计报告。</w:t>
      </w:r>
    </w:p>
    <w:p>
      <w:pPr>
        <w:pStyle w:val="4"/>
        <w:widowControl/>
        <w:spacing w:before="150" w:beforeAutospacing="0" w:after="150" w:afterAutospacing="0" w:line="460" w:lineRule="exact"/>
        <w:ind w:firstLine="420"/>
        <w:rPr>
          <w:rFonts w:hint="eastAsia" w:ascii="Arial" w:hAnsi="Arial" w:cs="Arial"/>
        </w:rPr>
      </w:pPr>
      <w:r>
        <w:rPr>
          <w:rFonts w:hint="eastAsia" w:ascii="宋体" w:hAnsi="宋体"/>
        </w:rPr>
        <w:t>（九）承办县人民政府交办和上级审计机关授权的其它事项。</w:t>
      </w:r>
    </w:p>
    <w:p>
      <w:pPr>
        <w:pStyle w:val="4"/>
        <w:widowControl/>
        <w:spacing w:before="150" w:beforeAutospacing="0" w:after="150" w:afterAutospacing="0" w:line="460" w:lineRule="exact"/>
        <w:ind w:firstLine="420"/>
        <w:rPr>
          <w:rFonts w:ascii="Arial" w:hAnsi="Arial" w:cs="Arial"/>
        </w:rPr>
      </w:pPr>
      <w:r>
        <w:rPr>
          <w:rFonts w:ascii="Arial" w:hAnsi="Arial" w:cs="Arial"/>
        </w:rPr>
        <w:t>二、机构设置</w:t>
      </w:r>
    </w:p>
    <w:p>
      <w:pPr>
        <w:pStyle w:val="4"/>
        <w:widowControl/>
        <w:spacing w:before="150" w:beforeAutospacing="0" w:after="150" w:afterAutospacing="0" w:line="460" w:lineRule="exact"/>
        <w:ind w:firstLine="420"/>
        <w:rPr>
          <w:rFonts w:ascii="Arial" w:hAnsi="Arial" w:cs="Arial"/>
        </w:rPr>
      </w:pPr>
      <w:r>
        <w:rPr>
          <w:rFonts w:ascii="Arial" w:hAnsi="Arial" w:cs="Arial"/>
        </w:rPr>
        <w:t>2023年我局部门预算编制单位共</w:t>
      </w:r>
      <w:r>
        <w:rPr>
          <w:rFonts w:hint="eastAsia" w:ascii="Arial" w:hAnsi="Arial" w:cs="Arial"/>
        </w:rPr>
        <w:t>1</w:t>
      </w:r>
      <w:r>
        <w:rPr>
          <w:rFonts w:ascii="Arial" w:hAnsi="Arial" w:cs="Arial"/>
        </w:rPr>
        <w:t>个,具体如下:</w:t>
      </w:r>
    </w:p>
    <w:p>
      <w:pPr>
        <w:spacing w:line="360" w:lineRule="auto"/>
        <w:ind w:firstLine="480" w:firstLineChars="200"/>
        <w:rPr>
          <w:rFonts w:ascii="宋体" w:cs="宋体"/>
          <w:sz w:val="24"/>
          <w:szCs w:val="24"/>
        </w:rPr>
      </w:pPr>
      <w:r>
        <w:rPr>
          <w:rFonts w:ascii="Arial" w:hAnsi="Arial" w:cs="Arial"/>
          <w:sz w:val="24"/>
          <w:szCs w:val="24"/>
        </w:rPr>
        <w:t>行政单位</w:t>
      </w:r>
      <w:r>
        <w:rPr>
          <w:rFonts w:hint="eastAsia" w:ascii="Arial" w:hAnsi="Arial" w:cs="Arial"/>
          <w:sz w:val="24"/>
          <w:szCs w:val="24"/>
        </w:rPr>
        <w:t>1</w:t>
      </w:r>
      <w:r>
        <w:rPr>
          <w:rFonts w:ascii="Arial" w:hAnsi="Arial" w:cs="Arial"/>
          <w:sz w:val="24"/>
          <w:szCs w:val="24"/>
        </w:rPr>
        <w:t>个,即:全州县</w:t>
      </w:r>
      <w:r>
        <w:rPr>
          <w:rFonts w:hint="eastAsia" w:ascii="Arial" w:hAnsi="Arial" w:cs="Arial"/>
          <w:sz w:val="24"/>
          <w:szCs w:val="24"/>
        </w:rPr>
        <w:t>审计局</w:t>
      </w:r>
      <w:r>
        <w:rPr>
          <w:rFonts w:ascii="Arial" w:hAnsi="Arial" w:cs="Arial"/>
          <w:sz w:val="24"/>
          <w:szCs w:val="24"/>
        </w:rPr>
        <w:t>。其中内设股室有</w:t>
      </w:r>
      <w:r>
        <w:rPr>
          <w:rFonts w:hint="eastAsia" w:ascii="宋体" w:hAnsi="宋体"/>
          <w:sz w:val="24"/>
          <w:szCs w:val="24"/>
        </w:rPr>
        <w:t>政秘股、财政金融审计股、农业与资源环保审计股、经贸审计股、行政事业审计股、经济责任审计股、法规股、政府投资审计中心（二层机构）。</w:t>
      </w:r>
    </w:p>
    <w:p>
      <w:pPr>
        <w:pStyle w:val="4"/>
        <w:widowControl/>
        <w:spacing w:before="150" w:beforeAutospacing="0" w:after="150" w:afterAutospacing="0" w:line="460" w:lineRule="exact"/>
        <w:ind w:firstLine="420"/>
        <w:rPr>
          <w:rFonts w:ascii="Arial" w:hAnsi="Arial" w:cs="Arial"/>
        </w:rPr>
      </w:pPr>
      <w:r>
        <w:rPr>
          <w:rFonts w:ascii="Arial" w:hAnsi="Arial" w:cs="Arial"/>
        </w:rPr>
        <w:t>三、编制现状及人员构成(本级和二层单位)</w:t>
      </w:r>
    </w:p>
    <w:p>
      <w:pPr>
        <w:pStyle w:val="4"/>
        <w:widowControl/>
        <w:spacing w:before="150" w:beforeAutospacing="0" w:after="150" w:afterAutospacing="0" w:line="460" w:lineRule="exact"/>
        <w:ind w:firstLine="420"/>
        <w:rPr>
          <w:rFonts w:ascii="Arial" w:hAnsi="Arial" w:cs="Arial"/>
        </w:rPr>
      </w:pPr>
      <w:r>
        <w:rPr>
          <w:rFonts w:ascii="Arial" w:hAnsi="Arial" w:cs="Arial"/>
        </w:rPr>
        <w:t>全州县</w:t>
      </w:r>
      <w:r>
        <w:rPr>
          <w:rFonts w:hint="eastAsia" w:ascii="Arial" w:hAnsi="Arial" w:cs="Arial"/>
        </w:rPr>
        <w:t>审计</w:t>
      </w:r>
      <w:r>
        <w:rPr>
          <w:rFonts w:ascii="Arial" w:hAnsi="Arial" w:cs="Arial"/>
        </w:rPr>
        <w:t>局部门编制人数为</w:t>
      </w:r>
      <w:r>
        <w:rPr>
          <w:rFonts w:hint="eastAsia" w:ascii="Arial" w:hAnsi="Arial" w:cs="Arial"/>
        </w:rPr>
        <w:t>26</w:t>
      </w:r>
      <w:r>
        <w:rPr>
          <w:rFonts w:ascii="Arial" w:hAnsi="Arial" w:cs="Arial"/>
        </w:rPr>
        <w:t>人,其中:行政编制(含参公单位)</w:t>
      </w:r>
      <w:r>
        <w:rPr>
          <w:rFonts w:hint="eastAsia" w:ascii="Arial" w:hAnsi="Arial" w:cs="Arial"/>
        </w:rPr>
        <w:t>24</w:t>
      </w:r>
      <w:r>
        <w:rPr>
          <w:rFonts w:ascii="Arial" w:hAnsi="Arial" w:cs="Arial"/>
        </w:rPr>
        <w:t>人</w:t>
      </w:r>
      <w:r>
        <w:rPr>
          <w:rFonts w:hint="eastAsia" w:ascii="Arial" w:hAnsi="Arial" w:cs="Arial"/>
        </w:rPr>
        <w:t>，机关</w:t>
      </w:r>
      <w:r>
        <w:rPr>
          <w:rFonts w:ascii="Arial" w:hAnsi="Arial" w:cs="Arial"/>
        </w:rPr>
        <w:t>工勤编制</w:t>
      </w:r>
      <w:r>
        <w:rPr>
          <w:rFonts w:hint="eastAsia" w:ascii="Arial" w:hAnsi="Arial" w:cs="Arial"/>
        </w:rPr>
        <w:t>2</w:t>
      </w:r>
      <w:r>
        <w:rPr>
          <w:rFonts w:ascii="Arial" w:hAnsi="Arial" w:cs="Arial"/>
        </w:rPr>
        <w:t>人。</w:t>
      </w:r>
    </w:p>
    <w:p>
      <w:pPr>
        <w:pStyle w:val="4"/>
        <w:widowControl/>
        <w:spacing w:before="150" w:beforeAutospacing="0" w:after="150" w:afterAutospacing="0" w:line="460" w:lineRule="exact"/>
        <w:ind w:firstLine="420"/>
        <w:rPr>
          <w:rFonts w:ascii="Arial" w:hAnsi="Arial" w:cs="Arial"/>
        </w:rPr>
      </w:pPr>
      <w:r>
        <w:rPr>
          <w:rFonts w:ascii="Arial" w:hAnsi="Arial" w:cs="Arial"/>
        </w:rPr>
        <w:t>编内在职</w:t>
      </w:r>
      <w:r>
        <w:rPr>
          <w:rFonts w:hint="eastAsia" w:ascii="Arial" w:hAnsi="Arial" w:cs="Arial"/>
        </w:rPr>
        <w:t>25</w:t>
      </w:r>
      <w:r>
        <w:rPr>
          <w:rFonts w:ascii="Arial" w:hAnsi="Arial" w:cs="Arial"/>
        </w:rPr>
        <w:t>人,其中:行政在职(含参公单位)</w:t>
      </w:r>
      <w:r>
        <w:rPr>
          <w:rFonts w:hint="eastAsia" w:ascii="Arial" w:hAnsi="Arial" w:cs="Arial"/>
        </w:rPr>
        <w:t>23</w:t>
      </w:r>
      <w:r>
        <w:rPr>
          <w:rFonts w:ascii="Arial" w:hAnsi="Arial" w:cs="Arial"/>
        </w:rPr>
        <w:t>人</w:t>
      </w:r>
      <w:r>
        <w:rPr>
          <w:rFonts w:hint="eastAsia" w:ascii="Arial" w:hAnsi="Arial" w:cs="Arial"/>
        </w:rPr>
        <w:t>，</w:t>
      </w:r>
      <w:r>
        <w:rPr>
          <w:rFonts w:ascii="Arial" w:hAnsi="Arial" w:cs="Arial"/>
        </w:rPr>
        <w:t>工勤在职</w:t>
      </w:r>
      <w:r>
        <w:rPr>
          <w:rFonts w:hint="eastAsia" w:ascii="Arial" w:hAnsi="Arial" w:cs="Arial"/>
        </w:rPr>
        <w:t>2</w:t>
      </w:r>
      <w:r>
        <w:rPr>
          <w:rFonts w:ascii="Arial" w:hAnsi="Arial" w:cs="Arial"/>
        </w:rPr>
        <w:t>人。离退休人员</w:t>
      </w:r>
      <w:r>
        <w:rPr>
          <w:rFonts w:hint="eastAsia" w:ascii="Arial" w:hAnsi="Arial" w:cs="Arial"/>
        </w:rPr>
        <w:t>23</w:t>
      </w:r>
      <w:r>
        <w:rPr>
          <w:rFonts w:ascii="Arial" w:hAnsi="Arial" w:cs="Arial"/>
        </w:rPr>
        <w:t>人,其中:退休人员</w:t>
      </w:r>
      <w:r>
        <w:rPr>
          <w:rFonts w:hint="eastAsia" w:ascii="Arial" w:hAnsi="Arial" w:cs="Arial"/>
        </w:rPr>
        <w:t>23</w:t>
      </w:r>
      <w:r>
        <w:rPr>
          <w:rFonts w:ascii="Arial" w:hAnsi="Arial" w:cs="Arial"/>
        </w:rPr>
        <w:t>人。</w:t>
      </w:r>
    </w:p>
    <w:p>
      <w:pPr>
        <w:pStyle w:val="4"/>
        <w:widowControl/>
        <w:spacing w:before="150" w:beforeAutospacing="0" w:after="150" w:afterAutospacing="0" w:line="460" w:lineRule="exact"/>
        <w:ind w:firstLine="420"/>
        <w:rPr>
          <w:rFonts w:ascii="Arial" w:hAnsi="Arial" w:cs="Arial"/>
        </w:rPr>
      </w:pPr>
      <w:r>
        <w:rPr>
          <w:rFonts w:ascii="Arial" w:hAnsi="Arial" w:cs="Arial"/>
        </w:rPr>
        <w:t>四、年度主要工作任务</w:t>
      </w:r>
    </w:p>
    <w:p>
      <w:pPr>
        <w:pStyle w:val="4"/>
        <w:widowControl/>
        <w:wordWrap w:val="0"/>
        <w:spacing w:beforeAutospacing="0" w:afterAutospacing="0" w:line="360" w:lineRule="auto"/>
        <w:ind w:firstLine="480" w:firstLineChars="200"/>
        <w:rPr>
          <w:rFonts w:ascii="宋体" w:cs="宋体"/>
        </w:rPr>
      </w:pPr>
      <w:r>
        <w:rPr>
          <w:rFonts w:ascii="宋体" w:hAnsi="宋体" w:cs="宋体"/>
        </w:rPr>
        <w:t>1</w:t>
      </w:r>
      <w:r>
        <w:rPr>
          <w:rFonts w:hint="eastAsia" w:ascii="宋体" w:hAnsi="宋体" w:cs="宋体"/>
        </w:rPr>
        <w:t>、完成</w:t>
      </w:r>
      <w:r>
        <w:rPr>
          <w:rFonts w:hint="eastAsia" w:ascii="宋体" w:hAnsi="宋体" w:cs="宋体"/>
          <w:lang w:eastAsia="zh-CN"/>
        </w:rPr>
        <w:t>县委、县政府</w:t>
      </w:r>
      <w:r>
        <w:rPr>
          <w:rFonts w:hint="eastAsia" w:ascii="宋体" w:hAnsi="宋体" w:cs="宋体"/>
        </w:rPr>
        <w:t>批转的审计项目。</w:t>
      </w:r>
    </w:p>
    <w:p>
      <w:pPr>
        <w:spacing w:line="360" w:lineRule="auto"/>
        <w:ind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、完成</w:t>
      </w:r>
      <w:r>
        <w:rPr>
          <w:rFonts w:hint="eastAsia" w:ascii="宋体" w:hAnsi="宋体" w:cs="宋体"/>
          <w:sz w:val="24"/>
          <w:szCs w:val="24"/>
          <w:lang w:eastAsia="zh-CN"/>
        </w:rPr>
        <w:t>巩固拓展脱贫攻坚成果</w:t>
      </w:r>
      <w:r>
        <w:rPr>
          <w:rFonts w:hint="eastAsia" w:ascii="宋体" w:hAnsi="宋体" w:cs="宋体"/>
          <w:sz w:val="24"/>
          <w:szCs w:val="24"/>
        </w:rPr>
        <w:t>、乡村振兴工作。</w:t>
      </w:r>
    </w:p>
    <w:p>
      <w:pPr>
        <w:spacing w:line="360" w:lineRule="auto"/>
        <w:ind w:firstLine="480" w:firstLineChars="200"/>
        <w:rPr>
          <w:rFonts w:ascii="宋体" w:cs="宋体"/>
          <w:sz w:val="24"/>
          <w:szCs w:val="24"/>
        </w:rPr>
      </w:pPr>
      <w:r>
        <w:rPr>
          <w:rFonts w:ascii="宋体" w:hAnsi="宋体" w:cs="宋体"/>
          <w:sz w:val="24"/>
          <w:szCs w:val="24"/>
        </w:rPr>
        <w:t>3</w:t>
      </w:r>
      <w:r>
        <w:rPr>
          <w:rFonts w:hint="eastAsia" w:ascii="宋体" w:hAnsi="宋体" w:cs="宋体"/>
          <w:sz w:val="24"/>
          <w:szCs w:val="24"/>
        </w:rPr>
        <w:t>、完成扫黑除恶工作。</w:t>
      </w:r>
    </w:p>
    <w:p>
      <w:pPr>
        <w:spacing w:line="360" w:lineRule="auto"/>
        <w:ind w:firstLine="480" w:firstLineChars="200"/>
        <w:rPr>
          <w:rFonts w:ascii="宋体" w:cs="宋体"/>
          <w:sz w:val="24"/>
          <w:szCs w:val="24"/>
        </w:rPr>
      </w:pPr>
      <w:r>
        <w:rPr>
          <w:rFonts w:ascii="宋体" w:hAnsi="宋体" w:cs="宋体"/>
          <w:sz w:val="24"/>
          <w:szCs w:val="24"/>
        </w:rPr>
        <w:t>4</w:t>
      </w:r>
      <w:r>
        <w:rPr>
          <w:rFonts w:hint="eastAsia" w:ascii="宋体" w:hAnsi="宋体" w:cs="宋体"/>
          <w:sz w:val="24"/>
          <w:szCs w:val="24"/>
        </w:rPr>
        <w:t>、完成绩效考评工作。</w:t>
      </w: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第二部分 部门预算报表</w:t>
      </w: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( 详见附表)</w:t>
      </w:r>
    </w:p>
    <w:p>
      <w:pPr>
        <w:pStyle w:val="4"/>
        <w:widowControl/>
        <w:spacing w:before="150" w:beforeAutospacing="0" w:after="150" w:afterAutospacing="0" w:line="460" w:lineRule="exact"/>
        <w:ind w:firstLine="420"/>
        <w:rPr>
          <w:rFonts w:ascii="Arial" w:hAnsi="Arial" w:cs="Arial"/>
        </w:rPr>
      </w:pPr>
      <w:r>
        <w:rPr>
          <w:rFonts w:ascii="Arial" w:hAnsi="Arial" w:cs="Arial"/>
        </w:rPr>
        <w:t>一、部门收支总体情况表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二、部门收入总体情况表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三、部门支出总体情况表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四、财政拨款收支总体情况表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五、一般公共预算支出情况表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六、一般公共预算基本支出情况表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七、财政拨款三公两费支出情况表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八、 政府性基金预算支出情况表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九、  国有资本经营预算支出情况表</w:t>
      </w: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第三部分  2023年部门预算情况说明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一、部门收支总体情况说明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(一)收入预算说明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2023年收入总预算</w:t>
      </w:r>
      <w:r>
        <w:rPr>
          <w:rFonts w:hint="eastAsia" w:ascii="Arial" w:hAnsi="Arial" w:cs="Arial"/>
        </w:rPr>
        <w:t>639.71</w:t>
      </w:r>
      <w:r>
        <w:rPr>
          <w:rFonts w:ascii="Arial" w:hAnsi="Arial" w:cs="Arial"/>
        </w:rPr>
        <w:t>万元,同比增加</w:t>
      </w:r>
      <w:r>
        <w:rPr>
          <w:rFonts w:hint="eastAsia" w:ascii="Arial" w:hAnsi="Arial" w:cs="Arial"/>
        </w:rPr>
        <w:t>167.65</w:t>
      </w:r>
      <w:r>
        <w:rPr>
          <w:rFonts w:ascii="Arial" w:hAnsi="Arial" w:cs="Arial"/>
        </w:rPr>
        <w:t>万元,增长</w:t>
      </w:r>
      <w:r>
        <w:rPr>
          <w:rFonts w:hint="eastAsia" w:ascii="Arial" w:hAnsi="Arial" w:cs="Arial"/>
        </w:rPr>
        <w:t>35.5</w:t>
      </w:r>
      <w:r>
        <w:rPr>
          <w:rFonts w:ascii="Arial" w:hAnsi="Arial" w:cs="Arial"/>
        </w:rPr>
        <w:t xml:space="preserve"> %,其中:一般公共预算拨款</w:t>
      </w:r>
      <w:r>
        <w:rPr>
          <w:rFonts w:hint="eastAsia" w:ascii="Arial" w:hAnsi="Arial" w:cs="Arial"/>
        </w:rPr>
        <w:t>536.52</w:t>
      </w:r>
      <w:r>
        <w:rPr>
          <w:rFonts w:ascii="Arial" w:hAnsi="Arial" w:cs="Arial"/>
        </w:rPr>
        <w:t>万元,占收入总预算</w:t>
      </w:r>
      <w:r>
        <w:rPr>
          <w:rFonts w:hint="eastAsia" w:ascii="Arial" w:hAnsi="Arial" w:cs="Arial"/>
        </w:rPr>
        <w:t>83.87</w:t>
      </w:r>
      <w:r>
        <w:rPr>
          <w:rFonts w:ascii="Arial" w:hAnsi="Arial" w:cs="Arial"/>
        </w:rPr>
        <w:t>%,同比增加</w:t>
      </w:r>
      <w:r>
        <w:rPr>
          <w:rFonts w:hint="eastAsia" w:ascii="Arial" w:hAnsi="Arial" w:cs="Arial"/>
        </w:rPr>
        <w:t>64.46</w:t>
      </w:r>
      <w:r>
        <w:rPr>
          <w:rFonts w:ascii="Arial" w:hAnsi="Arial" w:cs="Arial"/>
        </w:rPr>
        <w:t>万元,增长</w:t>
      </w:r>
      <w:r>
        <w:rPr>
          <w:rFonts w:hint="eastAsia" w:ascii="Arial" w:hAnsi="Arial" w:cs="Arial"/>
        </w:rPr>
        <w:t>13.66</w:t>
      </w:r>
      <w:r>
        <w:rPr>
          <w:rFonts w:ascii="Arial" w:hAnsi="Arial" w:cs="Arial"/>
        </w:rPr>
        <w:t>%;上年结转结余</w:t>
      </w:r>
      <w:r>
        <w:rPr>
          <w:rFonts w:hint="eastAsia" w:ascii="Arial" w:hAnsi="Arial" w:cs="Arial"/>
        </w:rPr>
        <w:t>103.19</w:t>
      </w:r>
      <w:r>
        <w:rPr>
          <w:rFonts w:ascii="Arial" w:hAnsi="Arial" w:cs="Arial"/>
        </w:rPr>
        <w:t>万元。收入预算总体增加的主要原因:</w:t>
      </w:r>
      <w:r>
        <w:rPr>
          <w:rFonts w:hint="eastAsia" w:ascii="Arial" w:hAnsi="Arial" w:cs="Arial"/>
        </w:rPr>
        <w:t>在职人员增加；2022年无上年结转结余，2023年有上年结转结余</w:t>
      </w:r>
      <w:r>
        <w:rPr>
          <w:rFonts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(二)支出预算说明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2023年支出总预算</w:t>
      </w:r>
      <w:r>
        <w:rPr>
          <w:rFonts w:hint="eastAsia" w:ascii="Arial" w:hAnsi="Arial" w:cs="Arial"/>
        </w:rPr>
        <w:t>639.71</w:t>
      </w:r>
      <w:r>
        <w:rPr>
          <w:rFonts w:ascii="Arial" w:hAnsi="Arial" w:cs="Arial"/>
        </w:rPr>
        <w:t>万元,同比增加</w:t>
      </w:r>
      <w:r>
        <w:rPr>
          <w:rFonts w:hint="eastAsia" w:ascii="Arial" w:hAnsi="Arial" w:cs="Arial"/>
        </w:rPr>
        <w:t>167.65</w:t>
      </w:r>
      <w:r>
        <w:rPr>
          <w:rFonts w:ascii="Arial" w:hAnsi="Arial" w:cs="Arial"/>
        </w:rPr>
        <w:t>万元,增长</w:t>
      </w:r>
      <w:r>
        <w:rPr>
          <w:rFonts w:hint="eastAsia" w:ascii="Arial" w:hAnsi="Arial" w:cs="Arial"/>
        </w:rPr>
        <w:t>35.5</w:t>
      </w:r>
      <w:r>
        <w:rPr>
          <w:rFonts w:ascii="Arial" w:hAnsi="Arial" w:cs="Arial"/>
        </w:rPr>
        <w:t xml:space="preserve"> %。</w:t>
      </w:r>
    </w:p>
    <w:p>
      <w:pPr>
        <w:pStyle w:val="4"/>
        <w:widowControl/>
        <w:spacing w:before="150" w:beforeAutospacing="0" w:after="150" w:afterAutospacing="0" w:line="460" w:lineRule="exact"/>
        <w:ind w:firstLine="420"/>
        <w:rPr>
          <w:rFonts w:ascii="Arial" w:hAnsi="Arial" w:cs="Arial"/>
        </w:rPr>
      </w:pPr>
      <w:r>
        <w:rPr>
          <w:rFonts w:ascii="Arial" w:hAnsi="Arial" w:cs="Arial"/>
        </w:rPr>
        <w:t>1、按支出功能分类科目划分,共分为</w:t>
      </w:r>
      <w:r>
        <w:rPr>
          <w:rFonts w:hint="eastAsia" w:ascii="Arial" w:hAnsi="Arial" w:cs="Arial"/>
        </w:rPr>
        <w:t>4</w:t>
      </w:r>
      <w:r>
        <w:rPr>
          <w:rFonts w:ascii="Arial" w:hAnsi="Arial" w:cs="Arial"/>
        </w:rPr>
        <w:t xml:space="preserve">类,其中: </w:t>
      </w:r>
    </w:p>
    <w:p>
      <w:pPr>
        <w:pStyle w:val="4"/>
        <w:widowControl/>
        <w:spacing w:before="150" w:beforeAutospacing="0" w:after="150" w:afterAutospacing="0" w:line="460" w:lineRule="exact"/>
        <w:ind w:firstLine="420"/>
        <w:rPr>
          <w:rFonts w:ascii="Arial" w:hAnsi="Arial" w:cs="Arial"/>
        </w:rPr>
      </w:pPr>
      <w:r>
        <w:rPr>
          <w:rFonts w:ascii="Arial" w:hAnsi="Arial" w:cs="Arial"/>
        </w:rPr>
        <w:t>(1)一般公共服务支出</w:t>
      </w:r>
      <w:r>
        <w:rPr>
          <w:rFonts w:hint="eastAsia" w:ascii="Arial" w:hAnsi="Arial" w:cs="Arial"/>
        </w:rPr>
        <w:t>527.34</w:t>
      </w:r>
      <w:r>
        <w:rPr>
          <w:rFonts w:ascii="Arial" w:hAnsi="Arial" w:cs="Arial"/>
        </w:rPr>
        <w:t>万元,占支出总预算</w:t>
      </w:r>
      <w:r>
        <w:rPr>
          <w:rFonts w:hint="eastAsia" w:ascii="Arial" w:hAnsi="Arial" w:cs="Arial"/>
        </w:rPr>
        <w:t>83.87</w:t>
      </w:r>
      <w:r>
        <w:rPr>
          <w:rFonts w:ascii="Arial" w:hAnsi="Arial" w:cs="Arial"/>
        </w:rPr>
        <w:t>%,同比增加</w:t>
      </w:r>
      <w:r>
        <w:rPr>
          <w:rFonts w:hint="eastAsia" w:ascii="Arial" w:hAnsi="Arial" w:cs="Arial"/>
        </w:rPr>
        <w:t>150.87</w:t>
      </w:r>
      <w:r>
        <w:rPr>
          <w:rFonts w:ascii="Arial" w:hAnsi="Arial" w:cs="Arial"/>
        </w:rPr>
        <w:t>万元,增长</w:t>
      </w:r>
      <w:r>
        <w:rPr>
          <w:rFonts w:hint="eastAsia" w:ascii="Arial" w:hAnsi="Arial" w:cs="Arial"/>
        </w:rPr>
        <w:t>40.07</w:t>
      </w:r>
      <w:r>
        <w:rPr>
          <w:rFonts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(2)社会保障和就业</w:t>
      </w:r>
      <w:r>
        <w:rPr>
          <w:rFonts w:hint="eastAsia" w:ascii="Arial" w:hAnsi="Arial" w:cs="Arial"/>
        </w:rPr>
        <w:t>支出59.66</w:t>
      </w:r>
      <w:r>
        <w:rPr>
          <w:rFonts w:ascii="Arial" w:hAnsi="Arial" w:cs="Arial"/>
        </w:rPr>
        <w:t>万元,占支出总预算</w:t>
      </w:r>
      <w:r>
        <w:rPr>
          <w:rFonts w:hint="eastAsia" w:ascii="Arial" w:hAnsi="Arial" w:cs="Arial"/>
        </w:rPr>
        <w:t>9.33</w:t>
      </w:r>
      <w:r>
        <w:rPr>
          <w:rFonts w:ascii="Arial" w:hAnsi="Arial" w:cs="Arial"/>
        </w:rPr>
        <w:t>%,同比增加</w:t>
      </w:r>
      <w:r>
        <w:rPr>
          <w:rFonts w:hint="eastAsia" w:ascii="Arial" w:hAnsi="Arial" w:cs="Arial"/>
        </w:rPr>
        <w:t>8.9</w:t>
      </w:r>
      <w:r>
        <w:rPr>
          <w:rFonts w:ascii="Arial" w:hAnsi="Arial" w:cs="Arial"/>
        </w:rPr>
        <w:t>万元,增长</w:t>
      </w:r>
      <w:r>
        <w:rPr>
          <w:rFonts w:hint="eastAsia" w:ascii="Arial" w:hAnsi="Arial" w:cs="Arial"/>
        </w:rPr>
        <w:t>17.53</w:t>
      </w:r>
      <w:r>
        <w:rPr>
          <w:rFonts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(3)医疗卫生</w:t>
      </w:r>
      <w:r>
        <w:rPr>
          <w:rFonts w:hint="eastAsia" w:ascii="Arial" w:hAnsi="Arial" w:cs="Arial"/>
        </w:rPr>
        <w:t>支出22.87</w:t>
      </w:r>
      <w:r>
        <w:rPr>
          <w:rFonts w:ascii="Arial" w:hAnsi="Arial" w:cs="Arial"/>
        </w:rPr>
        <w:t>万元,占支出总预算</w:t>
      </w:r>
      <w:r>
        <w:rPr>
          <w:rFonts w:hint="eastAsia" w:ascii="Arial" w:hAnsi="Arial" w:cs="Arial"/>
        </w:rPr>
        <w:t>3.58</w:t>
      </w:r>
      <w:r>
        <w:rPr>
          <w:rFonts w:ascii="Arial" w:hAnsi="Arial" w:cs="Arial"/>
        </w:rPr>
        <w:t>%,同比增加</w:t>
      </w:r>
      <w:r>
        <w:rPr>
          <w:rFonts w:hint="eastAsia" w:ascii="Arial" w:hAnsi="Arial" w:cs="Arial"/>
        </w:rPr>
        <w:t>3.41</w:t>
      </w:r>
      <w:r>
        <w:rPr>
          <w:rFonts w:ascii="Arial" w:hAnsi="Arial" w:cs="Arial"/>
        </w:rPr>
        <w:t>万元,增长</w:t>
      </w:r>
      <w:r>
        <w:rPr>
          <w:rFonts w:hint="eastAsia" w:ascii="Arial" w:hAnsi="Arial" w:cs="Arial"/>
        </w:rPr>
        <w:t>17.52</w:t>
      </w:r>
      <w:r>
        <w:rPr>
          <w:rFonts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(4)住房保障</w:t>
      </w:r>
      <w:r>
        <w:rPr>
          <w:rFonts w:hint="eastAsia" w:ascii="Arial" w:hAnsi="Arial" w:cs="Arial"/>
        </w:rPr>
        <w:t>支出29.83</w:t>
      </w:r>
      <w:r>
        <w:rPr>
          <w:rFonts w:ascii="Arial" w:hAnsi="Arial" w:cs="Arial"/>
        </w:rPr>
        <w:t>万元,占支出总预算</w:t>
      </w:r>
      <w:r>
        <w:rPr>
          <w:rFonts w:hint="eastAsia" w:ascii="Arial" w:hAnsi="Arial" w:cs="Arial"/>
        </w:rPr>
        <w:t>4.66</w:t>
      </w:r>
      <w:r>
        <w:rPr>
          <w:rFonts w:ascii="Arial" w:hAnsi="Arial" w:cs="Arial"/>
        </w:rPr>
        <w:t>%,同比增加</w:t>
      </w:r>
      <w:r>
        <w:rPr>
          <w:rFonts w:hint="eastAsia" w:ascii="Arial" w:hAnsi="Arial" w:cs="Arial"/>
        </w:rPr>
        <w:t>4.45</w:t>
      </w:r>
      <w:r>
        <w:rPr>
          <w:rFonts w:ascii="Arial" w:hAnsi="Arial" w:cs="Arial"/>
        </w:rPr>
        <w:t>万元,增长</w:t>
      </w:r>
      <w:r>
        <w:rPr>
          <w:rFonts w:hint="eastAsia" w:ascii="Arial" w:hAnsi="Arial" w:cs="Arial"/>
        </w:rPr>
        <w:t>17.53</w:t>
      </w:r>
      <w:r>
        <w:rPr>
          <w:rFonts w:ascii="Arial" w:hAnsi="Arial" w:cs="Arial"/>
        </w:rPr>
        <w:t>%</w:t>
      </w:r>
      <w:r>
        <w:rPr>
          <w:rFonts w:hint="eastAsia"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二、部门收入总体情况说明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2023年总收入预算</w:t>
      </w:r>
      <w:r>
        <w:rPr>
          <w:rFonts w:hint="eastAsia" w:ascii="Arial" w:hAnsi="Arial" w:cs="Arial"/>
        </w:rPr>
        <w:t>639.71</w:t>
      </w:r>
      <w:r>
        <w:rPr>
          <w:rFonts w:ascii="Arial" w:hAnsi="Arial" w:cs="Arial"/>
        </w:rPr>
        <w:t>万元,同比增加</w:t>
      </w:r>
      <w:r>
        <w:rPr>
          <w:rFonts w:hint="eastAsia" w:ascii="Arial" w:hAnsi="Arial" w:cs="Arial"/>
        </w:rPr>
        <w:t>167.65</w:t>
      </w:r>
      <w:r>
        <w:rPr>
          <w:rFonts w:ascii="Arial" w:hAnsi="Arial" w:cs="Arial"/>
        </w:rPr>
        <w:t>万元,增长</w:t>
      </w:r>
      <w:r>
        <w:rPr>
          <w:rFonts w:hint="eastAsia" w:ascii="Arial" w:hAnsi="Arial" w:cs="Arial"/>
        </w:rPr>
        <w:t>35.5</w:t>
      </w:r>
      <w:r>
        <w:rPr>
          <w:rFonts w:ascii="Arial" w:hAnsi="Arial" w:cs="Arial"/>
        </w:rPr>
        <w:t xml:space="preserve"> %。其中:本年收入</w:t>
      </w:r>
      <w:r>
        <w:rPr>
          <w:rFonts w:hint="eastAsia" w:ascii="Arial" w:hAnsi="Arial" w:cs="Arial"/>
        </w:rPr>
        <w:t>536.52</w:t>
      </w:r>
      <w:r>
        <w:rPr>
          <w:rFonts w:ascii="Arial" w:hAnsi="Arial" w:cs="Arial"/>
        </w:rPr>
        <w:t>万元,上年结转结余</w:t>
      </w:r>
      <w:r>
        <w:rPr>
          <w:rFonts w:hint="eastAsia" w:ascii="Arial" w:hAnsi="Arial" w:cs="Arial"/>
        </w:rPr>
        <w:t>103.19</w:t>
      </w:r>
      <w:r>
        <w:rPr>
          <w:rFonts w:ascii="Arial" w:hAnsi="Arial" w:cs="Arial"/>
        </w:rPr>
        <w:t>万元。一般公共预算</w:t>
      </w:r>
      <w:r>
        <w:rPr>
          <w:rFonts w:hint="eastAsia" w:ascii="Arial" w:hAnsi="Arial" w:cs="Arial"/>
        </w:rPr>
        <w:t>523.52</w:t>
      </w:r>
      <w:r>
        <w:rPr>
          <w:rFonts w:ascii="Arial" w:hAnsi="Arial" w:cs="Arial"/>
        </w:rPr>
        <w:t>万元,占收入总预算</w:t>
      </w:r>
      <w:r>
        <w:rPr>
          <w:rFonts w:hint="eastAsia" w:ascii="Arial" w:hAnsi="Arial" w:cs="Arial"/>
        </w:rPr>
        <w:t>81.84</w:t>
      </w:r>
      <w:r>
        <w:rPr>
          <w:rFonts w:ascii="Arial" w:hAnsi="Arial" w:cs="Arial"/>
        </w:rPr>
        <w:t>%,同比增加</w:t>
      </w:r>
      <w:r>
        <w:rPr>
          <w:rFonts w:hint="eastAsia" w:ascii="Arial" w:hAnsi="Arial" w:cs="Arial"/>
        </w:rPr>
        <w:t>51.46</w:t>
      </w:r>
      <w:r>
        <w:rPr>
          <w:rFonts w:ascii="Arial" w:hAnsi="Arial" w:cs="Arial"/>
        </w:rPr>
        <w:t>万元,增长</w:t>
      </w:r>
      <w:r>
        <w:rPr>
          <w:rFonts w:hint="eastAsia" w:ascii="Arial" w:hAnsi="Arial" w:cs="Arial"/>
        </w:rPr>
        <w:t>10.9</w:t>
      </w:r>
      <w:r>
        <w:rPr>
          <w:rFonts w:ascii="Arial" w:hAnsi="Arial" w:cs="Arial"/>
        </w:rPr>
        <w:t>%,增加的原因:</w:t>
      </w:r>
      <w:r>
        <w:rPr>
          <w:rFonts w:hint="eastAsia" w:ascii="Arial" w:hAnsi="Arial" w:cs="Arial"/>
        </w:rPr>
        <w:t>在职人员增加</w:t>
      </w:r>
      <w:r>
        <w:rPr>
          <w:rFonts w:ascii="Arial" w:hAnsi="Arial" w:cs="Arial"/>
        </w:rPr>
        <w:t>。</w:t>
      </w:r>
    </w:p>
    <w:p>
      <w:pPr>
        <w:pStyle w:val="4"/>
        <w:widowControl/>
        <w:numPr>
          <w:ilvl w:val="0"/>
          <w:numId w:val="1"/>
        </w:numPr>
        <w:spacing w:before="150" w:beforeAutospacing="0" w:after="150" w:afterAutospacing="0" w:line="460" w:lineRule="exact"/>
        <w:ind w:firstLine="420"/>
        <w:rPr>
          <w:rFonts w:ascii="Arial" w:hAnsi="Arial" w:cs="Arial"/>
        </w:rPr>
      </w:pPr>
      <w:r>
        <w:rPr>
          <w:rFonts w:ascii="Arial" w:hAnsi="Arial" w:cs="Arial"/>
        </w:rPr>
        <w:t>部门支出总体情况说明</w:t>
      </w:r>
    </w:p>
    <w:p>
      <w:pPr>
        <w:pStyle w:val="4"/>
        <w:widowControl/>
        <w:numPr>
          <w:ilvl w:val="0"/>
          <w:numId w:val="1"/>
        </w:numPr>
        <w:spacing w:before="150" w:beforeAutospacing="0" w:after="150" w:afterAutospacing="0" w:line="460" w:lineRule="exact"/>
        <w:ind w:firstLine="420"/>
        <w:rPr>
          <w:rFonts w:ascii="Arial" w:hAnsi="Arial" w:cs="Arial"/>
        </w:rPr>
      </w:pPr>
      <w:r>
        <w:rPr>
          <w:rFonts w:ascii="Arial" w:hAnsi="Arial" w:cs="Arial"/>
        </w:rPr>
        <w:t>2023年总支出预算</w:t>
      </w:r>
      <w:r>
        <w:rPr>
          <w:rFonts w:hint="eastAsia" w:ascii="Arial" w:hAnsi="Arial" w:cs="Arial"/>
        </w:rPr>
        <w:t>639.71</w:t>
      </w:r>
      <w:r>
        <w:rPr>
          <w:rFonts w:ascii="Arial" w:hAnsi="Arial" w:cs="Arial"/>
        </w:rPr>
        <w:t>万元,同比增加</w:t>
      </w:r>
      <w:r>
        <w:rPr>
          <w:rFonts w:hint="eastAsia" w:ascii="Arial" w:hAnsi="Arial" w:cs="Arial"/>
        </w:rPr>
        <w:t>167.65</w:t>
      </w:r>
      <w:r>
        <w:rPr>
          <w:rFonts w:ascii="Arial" w:hAnsi="Arial" w:cs="Arial"/>
        </w:rPr>
        <w:t>万元,增长</w:t>
      </w:r>
      <w:r>
        <w:rPr>
          <w:rFonts w:hint="eastAsia" w:ascii="Arial" w:hAnsi="Arial" w:cs="Arial"/>
        </w:rPr>
        <w:t>35.5</w:t>
      </w:r>
      <w:r>
        <w:rPr>
          <w:rFonts w:ascii="Arial" w:hAnsi="Arial" w:cs="Arial"/>
        </w:rPr>
        <w:t xml:space="preserve"> %。其中:基本支出</w:t>
      </w:r>
      <w:r>
        <w:rPr>
          <w:rFonts w:hint="eastAsia" w:ascii="Arial" w:hAnsi="Arial" w:cs="Arial"/>
        </w:rPr>
        <w:t>416.22</w:t>
      </w:r>
      <w:r>
        <w:rPr>
          <w:rFonts w:ascii="Arial" w:hAnsi="Arial" w:cs="Arial"/>
        </w:rPr>
        <w:t>万元,占总支出预算</w:t>
      </w:r>
      <w:r>
        <w:rPr>
          <w:rFonts w:hint="eastAsia" w:ascii="Arial" w:hAnsi="Arial" w:cs="Arial"/>
        </w:rPr>
        <w:t>65.06</w:t>
      </w:r>
      <w:r>
        <w:rPr>
          <w:rFonts w:ascii="Arial" w:hAnsi="Arial" w:cs="Arial"/>
        </w:rPr>
        <w:t>%,同比增加</w:t>
      </w:r>
      <w:r>
        <w:rPr>
          <w:rFonts w:hint="eastAsia" w:ascii="Arial" w:hAnsi="Arial" w:cs="Arial"/>
        </w:rPr>
        <w:t>61.16</w:t>
      </w:r>
      <w:r>
        <w:rPr>
          <w:rFonts w:ascii="Arial" w:hAnsi="Arial" w:cs="Arial"/>
        </w:rPr>
        <w:t>万元,增长</w:t>
      </w:r>
      <w:r>
        <w:rPr>
          <w:rFonts w:hint="eastAsia" w:ascii="Arial" w:hAnsi="Arial" w:cs="Arial"/>
        </w:rPr>
        <w:t>17.23</w:t>
      </w:r>
      <w:r>
        <w:rPr>
          <w:rFonts w:ascii="Arial" w:hAnsi="Arial" w:cs="Arial"/>
        </w:rPr>
        <w:t>%,增加的原因:</w:t>
      </w:r>
      <w:r>
        <w:rPr>
          <w:rFonts w:hint="eastAsia" w:ascii="Arial" w:hAnsi="Arial" w:cs="Arial"/>
        </w:rPr>
        <w:t>在职人员增加</w:t>
      </w:r>
      <w:r>
        <w:rPr>
          <w:rFonts w:ascii="Arial" w:hAnsi="Arial" w:cs="Arial"/>
        </w:rPr>
        <w:t>.;项目支出</w:t>
      </w:r>
      <w:r>
        <w:rPr>
          <w:rFonts w:hint="eastAsia" w:ascii="Arial" w:hAnsi="Arial" w:cs="Arial"/>
        </w:rPr>
        <w:t>223.49</w:t>
      </w:r>
      <w:r>
        <w:rPr>
          <w:rFonts w:ascii="Arial" w:hAnsi="Arial" w:cs="Arial"/>
        </w:rPr>
        <w:t>万元,占总支出预算</w:t>
      </w:r>
      <w:r>
        <w:rPr>
          <w:rFonts w:hint="eastAsia" w:ascii="Arial" w:hAnsi="Arial" w:cs="Arial"/>
        </w:rPr>
        <w:t>34.94</w:t>
      </w:r>
      <w:r>
        <w:rPr>
          <w:rFonts w:ascii="Arial" w:hAnsi="Arial" w:cs="Arial"/>
        </w:rPr>
        <w:t>%,同比增加</w:t>
      </w:r>
      <w:r>
        <w:rPr>
          <w:rFonts w:hint="eastAsia" w:ascii="Arial" w:hAnsi="Arial" w:cs="Arial"/>
        </w:rPr>
        <w:t>106.49</w:t>
      </w:r>
      <w:r>
        <w:rPr>
          <w:rFonts w:ascii="Arial" w:hAnsi="Arial" w:cs="Arial"/>
        </w:rPr>
        <w:t>万元,增长</w:t>
      </w:r>
      <w:r>
        <w:rPr>
          <w:rFonts w:hint="eastAsia" w:ascii="Arial" w:hAnsi="Arial" w:cs="Arial"/>
        </w:rPr>
        <w:t>91.02</w:t>
      </w:r>
      <w:r>
        <w:rPr>
          <w:rFonts w:ascii="Arial" w:hAnsi="Arial" w:cs="Arial"/>
        </w:rPr>
        <w:t>%,增加的原因:</w:t>
      </w:r>
      <w:r>
        <w:rPr>
          <w:rFonts w:hint="eastAsia" w:ascii="Arial" w:hAnsi="Arial" w:cs="Arial"/>
        </w:rPr>
        <w:t>上年</w:t>
      </w:r>
      <w:r>
        <w:rPr>
          <w:rFonts w:ascii="Arial" w:hAnsi="Arial" w:cs="Arial"/>
        </w:rPr>
        <w:t>。</w:t>
      </w:r>
    </w:p>
    <w:p>
      <w:pPr>
        <w:pStyle w:val="4"/>
        <w:widowControl/>
        <w:numPr>
          <w:ilvl w:val="0"/>
          <w:numId w:val="1"/>
        </w:numPr>
        <w:spacing w:before="150" w:beforeAutospacing="0" w:after="150" w:afterAutospacing="0" w:line="460" w:lineRule="exact"/>
        <w:ind w:firstLine="420"/>
        <w:rPr>
          <w:rFonts w:ascii="Arial" w:hAnsi="Arial" w:cs="Arial"/>
        </w:rPr>
      </w:pPr>
      <w:r>
        <w:rPr>
          <w:rFonts w:ascii="Arial" w:hAnsi="Arial" w:cs="Arial"/>
        </w:rPr>
        <w:t>财政拨款收支总体情况说明</w:t>
      </w:r>
    </w:p>
    <w:p>
      <w:pPr>
        <w:pStyle w:val="4"/>
        <w:widowControl/>
        <w:spacing w:before="150" w:beforeAutospacing="0" w:after="150" w:afterAutospacing="0" w:line="460" w:lineRule="exact"/>
        <w:ind w:firstLine="480" w:firstLineChars="200"/>
        <w:rPr>
          <w:rFonts w:ascii="Arial" w:hAnsi="Arial" w:cs="Arial"/>
        </w:rPr>
      </w:pPr>
      <w:r>
        <w:rPr>
          <w:rFonts w:ascii="Arial" w:hAnsi="Arial" w:cs="Arial"/>
        </w:rPr>
        <w:t>2023年财政拨款收入预算</w:t>
      </w:r>
      <w:r>
        <w:rPr>
          <w:rFonts w:hint="eastAsia" w:ascii="Arial" w:hAnsi="Arial" w:cs="Arial"/>
        </w:rPr>
        <w:t>639.71</w:t>
      </w:r>
      <w:r>
        <w:rPr>
          <w:rFonts w:ascii="Arial" w:hAnsi="Arial" w:cs="Arial"/>
        </w:rPr>
        <w:t>万元,同比增</w:t>
      </w:r>
      <w:r>
        <w:rPr>
          <w:rFonts w:hint="eastAsia" w:ascii="Arial" w:hAnsi="Arial" w:cs="Arial"/>
        </w:rPr>
        <w:t>加167.65</w:t>
      </w:r>
      <w:r>
        <w:rPr>
          <w:rFonts w:ascii="Arial" w:hAnsi="Arial" w:cs="Arial"/>
        </w:rPr>
        <w:t>万元,增长</w:t>
      </w:r>
      <w:r>
        <w:rPr>
          <w:rFonts w:hint="eastAsia" w:ascii="Arial" w:hAnsi="Arial" w:cs="Arial"/>
        </w:rPr>
        <w:t>35.5</w:t>
      </w:r>
      <w:r>
        <w:rPr>
          <w:rFonts w:ascii="Arial" w:hAnsi="Arial" w:cs="Arial"/>
        </w:rPr>
        <w:t xml:space="preserve"> %,其中:一般公共预算拨款</w:t>
      </w:r>
      <w:r>
        <w:rPr>
          <w:rFonts w:hint="eastAsia" w:ascii="Arial" w:hAnsi="Arial" w:cs="Arial"/>
        </w:rPr>
        <w:t>536.52</w:t>
      </w:r>
      <w:r>
        <w:rPr>
          <w:rFonts w:ascii="Arial" w:hAnsi="Arial" w:cs="Arial"/>
        </w:rPr>
        <w:t>万元,占收入总预算</w:t>
      </w:r>
      <w:r>
        <w:rPr>
          <w:rFonts w:hint="eastAsia" w:ascii="Arial" w:hAnsi="Arial" w:cs="Arial"/>
        </w:rPr>
        <w:t>83.87</w:t>
      </w:r>
      <w:r>
        <w:rPr>
          <w:rFonts w:ascii="Arial" w:hAnsi="Arial" w:cs="Arial"/>
        </w:rPr>
        <w:t>%,同比增加</w:t>
      </w:r>
      <w:r>
        <w:rPr>
          <w:rFonts w:hint="eastAsia" w:ascii="Arial" w:hAnsi="Arial" w:cs="Arial"/>
        </w:rPr>
        <w:t>64.46</w:t>
      </w:r>
      <w:r>
        <w:rPr>
          <w:rFonts w:ascii="Arial" w:hAnsi="Arial" w:cs="Arial"/>
        </w:rPr>
        <w:t>万元,增长</w:t>
      </w:r>
      <w:r>
        <w:rPr>
          <w:rFonts w:hint="eastAsia" w:ascii="Arial" w:hAnsi="Arial" w:cs="Arial"/>
        </w:rPr>
        <w:t>13.66</w:t>
      </w:r>
      <w:r>
        <w:rPr>
          <w:rFonts w:ascii="Arial" w:hAnsi="Arial" w:cs="Arial"/>
        </w:rPr>
        <w:t>%,增加的原因</w:t>
      </w:r>
      <w:r>
        <w:rPr>
          <w:rFonts w:hint="eastAsia" w:ascii="Arial" w:hAnsi="Arial" w:cs="Arial"/>
        </w:rPr>
        <w:t>在职人员增加</w:t>
      </w:r>
      <w:r>
        <w:rPr>
          <w:rFonts w:ascii="Arial" w:hAnsi="Arial" w:cs="Arial"/>
        </w:rPr>
        <w:t>;上年结转结余</w:t>
      </w:r>
      <w:r>
        <w:rPr>
          <w:rFonts w:hint="eastAsia" w:ascii="Arial" w:hAnsi="Arial" w:cs="Arial"/>
        </w:rPr>
        <w:t>103.19</w:t>
      </w:r>
      <w:r>
        <w:rPr>
          <w:rFonts w:ascii="Arial" w:hAnsi="Arial" w:cs="Arial"/>
        </w:rPr>
        <w:t>万元。</w:t>
      </w:r>
    </w:p>
    <w:p>
      <w:pPr>
        <w:pStyle w:val="4"/>
        <w:widowControl/>
        <w:spacing w:before="150" w:beforeAutospacing="0" w:after="150" w:afterAutospacing="0" w:line="460" w:lineRule="exact"/>
        <w:ind w:firstLine="420"/>
        <w:rPr>
          <w:rFonts w:ascii="Arial" w:hAnsi="Arial" w:cs="Arial"/>
        </w:rPr>
      </w:pPr>
      <w:r>
        <w:rPr>
          <w:rFonts w:ascii="Arial" w:hAnsi="Arial" w:cs="Arial"/>
        </w:rPr>
        <w:t>2023年财政拨款支出</w:t>
      </w:r>
      <w:r>
        <w:rPr>
          <w:rFonts w:hint="eastAsia" w:ascii="Arial" w:hAnsi="Arial" w:cs="Arial"/>
        </w:rPr>
        <w:t>639.71</w:t>
      </w:r>
      <w:r>
        <w:rPr>
          <w:rFonts w:ascii="Arial" w:hAnsi="Arial" w:cs="Arial"/>
        </w:rPr>
        <w:t>万元,同比增</w:t>
      </w:r>
      <w:r>
        <w:rPr>
          <w:rFonts w:hint="eastAsia" w:ascii="Arial" w:hAnsi="Arial" w:cs="Arial"/>
        </w:rPr>
        <w:t>加167.65</w:t>
      </w:r>
      <w:r>
        <w:rPr>
          <w:rFonts w:ascii="Arial" w:hAnsi="Arial" w:cs="Arial"/>
        </w:rPr>
        <w:t>万元,增长</w:t>
      </w:r>
      <w:r>
        <w:rPr>
          <w:rFonts w:hint="eastAsia" w:ascii="Arial" w:hAnsi="Arial" w:cs="Arial"/>
        </w:rPr>
        <w:t>35.5</w:t>
      </w:r>
      <w:r>
        <w:rPr>
          <w:rFonts w:ascii="Arial" w:hAnsi="Arial" w:cs="Arial"/>
        </w:rPr>
        <w:t xml:space="preserve"> %,增加的原因</w:t>
      </w:r>
      <w:r>
        <w:rPr>
          <w:rFonts w:hint="eastAsia" w:ascii="Arial" w:hAnsi="Arial" w:cs="Arial"/>
        </w:rPr>
        <w:t>：在职人员增加</w:t>
      </w:r>
      <w:r>
        <w:rPr>
          <w:rFonts w:ascii="Arial" w:hAnsi="Arial" w:cs="Arial"/>
        </w:rPr>
        <w:t>。</w:t>
      </w:r>
    </w:p>
    <w:p>
      <w:pPr>
        <w:pStyle w:val="4"/>
        <w:widowControl/>
        <w:numPr>
          <w:ilvl w:val="0"/>
          <w:numId w:val="2"/>
        </w:numPr>
        <w:spacing w:before="150" w:beforeAutospacing="0" w:after="150" w:afterAutospacing="0" w:line="460" w:lineRule="exact"/>
        <w:ind w:firstLine="420"/>
        <w:rPr>
          <w:rFonts w:ascii="Arial" w:hAnsi="Arial" w:cs="Arial"/>
        </w:rPr>
      </w:pPr>
      <w:r>
        <w:rPr>
          <w:rFonts w:ascii="Arial" w:hAnsi="Arial" w:cs="Arial"/>
        </w:rPr>
        <w:t>一般公共预算支出情况说明</w:t>
      </w:r>
    </w:p>
    <w:p>
      <w:pPr>
        <w:pStyle w:val="4"/>
        <w:widowControl/>
        <w:spacing w:before="150" w:beforeAutospacing="0" w:after="150" w:afterAutospacing="0" w:line="460" w:lineRule="exact"/>
        <w:ind w:left="420"/>
        <w:rPr>
          <w:rFonts w:ascii="Arial" w:hAnsi="Arial" w:cs="Arial"/>
        </w:rPr>
      </w:pPr>
      <w:r>
        <w:rPr>
          <w:rFonts w:ascii="Arial" w:hAnsi="Arial" w:cs="Arial"/>
        </w:rPr>
        <w:t>2023年一般公共预算支出</w:t>
      </w:r>
      <w:r>
        <w:rPr>
          <w:rFonts w:hint="eastAsia" w:ascii="Arial" w:hAnsi="Arial" w:cs="Arial"/>
        </w:rPr>
        <w:t>536.52</w:t>
      </w:r>
      <w:r>
        <w:rPr>
          <w:rFonts w:ascii="Arial" w:hAnsi="Arial" w:cs="Arial"/>
        </w:rPr>
        <w:t>万元,同比增加</w:t>
      </w:r>
      <w:r>
        <w:rPr>
          <w:rFonts w:hint="eastAsia" w:ascii="Arial" w:hAnsi="Arial" w:cs="Arial"/>
        </w:rPr>
        <w:t>64.46</w:t>
      </w:r>
      <w:r>
        <w:rPr>
          <w:rFonts w:ascii="Arial" w:hAnsi="Arial" w:cs="Arial"/>
        </w:rPr>
        <w:t>万元,增长</w:t>
      </w:r>
      <w:r>
        <w:rPr>
          <w:rFonts w:hint="eastAsia" w:ascii="Arial" w:hAnsi="Arial" w:cs="Arial"/>
        </w:rPr>
        <w:t>13.66</w:t>
      </w:r>
      <w:r>
        <w:rPr>
          <w:rFonts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按支出功能分类科目划分,共分为</w:t>
      </w:r>
      <w:r>
        <w:rPr>
          <w:rFonts w:hint="eastAsia" w:ascii="Arial" w:hAnsi="Arial" w:cs="Arial"/>
        </w:rPr>
        <w:t>4</w:t>
      </w:r>
      <w:r>
        <w:rPr>
          <w:rFonts w:ascii="Arial" w:hAnsi="Arial" w:cs="Arial"/>
        </w:rPr>
        <w:t>类,其中:</w:t>
      </w:r>
    </w:p>
    <w:p>
      <w:pPr>
        <w:pStyle w:val="4"/>
        <w:widowControl/>
        <w:spacing w:before="150" w:beforeAutospacing="0" w:after="150" w:afterAutospacing="0" w:line="460" w:lineRule="exact"/>
        <w:ind w:firstLine="420"/>
        <w:rPr>
          <w:rFonts w:ascii="Arial" w:hAnsi="Arial" w:cs="Arial"/>
        </w:rPr>
      </w:pPr>
      <w:r>
        <w:rPr>
          <w:rFonts w:ascii="Arial" w:hAnsi="Arial" w:cs="Arial"/>
        </w:rPr>
        <w:t>(1)一般公共服务类科目</w:t>
      </w:r>
      <w:r>
        <w:rPr>
          <w:rFonts w:hint="eastAsia" w:ascii="Arial" w:hAnsi="Arial" w:cs="Arial"/>
        </w:rPr>
        <w:t>424.15</w:t>
      </w:r>
      <w:r>
        <w:rPr>
          <w:rFonts w:ascii="Arial" w:hAnsi="Arial" w:cs="Arial"/>
        </w:rPr>
        <w:t>万元,占一般公共预算支出预算</w:t>
      </w:r>
      <w:r>
        <w:rPr>
          <w:rFonts w:hint="eastAsia" w:ascii="Arial" w:hAnsi="Arial" w:cs="Arial"/>
        </w:rPr>
        <w:t>79.06</w:t>
      </w:r>
      <w:r>
        <w:rPr>
          <w:rFonts w:ascii="Arial" w:hAnsi="Arial" w:cs="Arial"/>
        </w:rPr>
        <w:t>%,同比增加</w:t>
      </w:r>
      <w:r>
        <w:rPr>
          <w:rFonts w:hint="eastAsia" w:ascii="Arial" w:hAnsi="Arial" w:cs="Arial"/>
        </w:rPr>
        <w:t>47.68</w:t>
      </w:r>
      <w:r>
        <w:rPr>
          <w:rFonts w:ascii="Arial" w:hAnsi="Arial" w:cs="Arial"/>
        </w:rPr>
        <w:t>万元,增长</w:t>
      </w:r>
      <w:r>
        <w:rPr>
          <w:rFonts w:hint="eastAsia" w:ascii="Arial" w:hAnsi="Arial" w:cs="Arial"/>
        </w:rPr>
        <w:t>12.67</w:t>
      </w:r>
      <w:r>
        <w:rPr>
          <w:rFonts w:ascii="Arial" w:hAnsi="Arial" w:cs="Arial"/>
        </w:rPr>
        <w:t>%。具体如下:</w:t>
      </w:r>
    </w:p>
    <w:p>
      <w:pPr>
        <w:pStyle w:val="4"/>
        <w:widowControl/>
        <w:spacing w:before="150" w:beforeAutospacing="0" w:after="150" w:afterAutospacing="0" w:line="460" w:lineRule="exact"/>
        <w:ind w:firstLine="420"/>
        <w:rPr>
          <w:rFonts w:ascii="Arial" w:hAnsi="Arial" w:cs="Arial"/>
        </w:rPr>
      </w:pPr>
      <w:r>
        <w:rPr>
          <w:rFonts w:ascii="Arial" w:hAnsi="Arial" w:cs="Arial"/>
        </w:rPr>
        <w:t>行政运行</w:t>
      </w:r>
      <w:r>
        <w:rPr>
          <w:rFonts w:hint="eastAsia" w:ascii="Arial" w:hAnsi="Arial" w:cs="Arial"/>
        </w:rPr>
        <w:t>285.85</w:t>
      </w:r>
      <w:r>
        <w:rPr>
          <w:rFonts w:ascii="Arial" w:hAnsi="Arial" w:cs="Arial"/>
        </w:rPr>
        <w:t>万元,同比增加</w:t>
      </w:r>
      <w:r>
        <w:rPr>
          <w:rFonts w:hint="eastAsia" w:ascii="Arial" w:hAnsi="Arial" w:cs="Arial"/>
        </w:rPr>
        <w:t>40.72</w:t>
      </w:r>
      <w:r>
        <w:rPr>
          <w:rFonts w:ascii="Arial" w:hAnsi="Arial" w:cs="Arial"/>
        </w:rPr>
        <w:t>万元,增长</w:t>
      </w:r>
      <w:r>
        <w:rPr>
          <w:rFonts w:hint="eastAsia" w:ascii="Arial" w:hAnsi="Arial" w:cs="Arial"/>
        </w:rPr>
        <w:t>16.61</w:t>
      </w:r>
      <w:r>
        <w:rPr>
          <w:rFonts w:ascii="Arial" w:hAnsi="Arial" w:cs="Arial"/>
        </w:rPr>
        <w:t>%,全部是基本支出预算。主要用于国家规定的基本工资和津补贴标准等安排的人员经费支出,按县级公用经费定额标准安排的办公费、印刷费、邮电费、水电费、差旅费等日常公用经费支出。</w:t>
      </w:r>
    </w:p>
    <w:p>
      <w:pPr>
        <w:pStyle w:val="4"/>
        <w:widowControl/>
        <w:spacing w:before="274" w:beforeAutospacing="0" w:after="274" w:afterAutospacing="0" w:line="360" w:lineRule="auto"/>
        <w:ind w:firstLine="475"/>
        <w:rPr>
          <w:rFonts w:ascii="Arial" w:hAnsi="Arial" w:cs="Arial"/>
        </w:rPr>
      </w:pPr>
      <w:r>
        <w:rPr>
          <w:rFonts w:hint="eastAsia" w:ascii="Arial" w:hAnsi="Arial" w:cs="Arial"/>
        </w:rPr>
        <w:t>其他审计事务支出138.3万元，同比增加6.96万元，增长5.3％，其中：基本支出预算21.3万元，项目支出预算</w:t>
      </w:r>
      <w:r>
        <w:rPr>
          <w:rFonts w:ascii="Arial" w:hAnsi="Arial" w:cs="Arial"/>
        </w:rPr>
        <w:t>117.00</w:t>
      </w:r>
      <w:r>
        <w:rPr>
          <w:rFonts w:hint="eastAsia" w:ascii="Arial" w:hAnsi="Arial" w:cs="Arial"/>
        </w:rPr>
        <w:t>万元。主要用于审计项目办公费、印刷费、邮电费、水电费、差旅费等日常公用经费支出。</w:t>
      </w:r>
    </w:p>
    <w:p>
      <w:pPr>
        <w:pStyle w:val="4"/>
        <w:widowControl/>
        <w:spacing w:before="150" w:beforeAutospacing="0" w:after="150" w:afterAutospacing="0" w:line="460" w:lineRule="exact"/>
        <w:ind w:firstLine="420"/>
        <w:rPr>
          <w:rFonts w:ascii="Arial" w:hAnsi="Arial" w:cs="Arial"/>
        </w:rPr>
      </w:pPr>
      <w:r>
        <w:rPr>
          <w:rFonts w:ascii="Arial" w:hAnsi="Arial" w:cs="Arial"/>
        </w:rPr>
        <w:t>(2)社会保障和就业支出</w:t>
      </w:r>
      <w:r>
        <w:rPr>
          <w:rFonts w:hint="eastAsia" w:ascii="Arial" w:hAnsi="Arial" w:cs="Arial"/>
        </w:rPr>
        <w:t>39.77</w:t>
      </w:r>
      <w:r>
        <w:rPr>
          <w:rFonts w:ascii="Arial" w:hAnsi="Arial" w:cs="Arial"/>
        </w:rPr>
        <w:t>万元,占一般公共预算支出预算</w:t>
      </w:r>
      <w:r>
        <w:rPr>
          <w:rFonts w:hint="eastAsia" w:ascii="Arial" w:hAnsi="Arial" w:cs="Arial"/>
        </w:rPr>
        <w:t>7.41</w:t>
      </w:r>
      <w:r>
        <w:rPr>
          <w:rFonts w:ascii="Arial" w:hAnsi="Arial" w:cs="Arial"/>
        </w:rPr>
        <w:t>%,同比增加</w:t>
      </w:r>
      <w:r>
        <w:rPr>
          <w:rFonts w:hint="eastAsia" w:ascii="Arial" w:hAnsi="Arial" w:cs="Arial"/>
        </w:rPr>
        <w:t>5.93</w:t>
      </w:r>
      <w:r>
        <w:rPr>
          <w:rFonts w:ascii="Arial" w:hAnsi="Arial" w:cs="Arial"/>
        </w:rPr>
        <w:t>万元,增长</w:t>
      </w:r>
      <w:r>
        <w:rPr>
          <w:rFonts w:hint="eastAsia" w:ascii="Arial" w:hAnsi="Arial" w:cs="Arial"/>
        </w:rPr>
        <w:t>17.52</w:t>
      </w:r>
      <w:r>
        <w:rPr>
          <w:rFonts w:ascii="Arial" w:hAnsi="Arial" w:cs="Arial"/>
        </w:rPr>
        <w:t>%。具体如下:</w:t>
      </w:r>
    </w:p>
    <w:p>
      <w:pPr>
        <w:pStyle w:val="4"/>
        <w:widowControl/>
        <w:spacing w:before="150" w:beforeAutospacing="0" w:after="150" w:afterAutospacing="0" w:line="460" w:lineRule="exact"/>
        <w:ind w:firstLine="420"/>
        <w:rPr>
          <w:rFonts w:ascii="Arial" w:hAnsi="Arial" w:cs="Arial"/>
        </w:rPr>
      </w:pPr>
      <w:r>
        <w:rPr>
          <w:rFonts w:ascii="Arial" w:hAnsi="Arial" w:cs="Arial"/>
        </w:rPr>
        <w:t>机关事业单位基本养老保险缴费支出</w:t>
      </w:r>
      <w:r>
        <w:rPr>
          <w:rFonts w:hint="eastAsia" w:ascii="Arial" w:hAnsi="Arial" w:cs="Arial"/>
        </w:rPr>
        <w:t>39.77</w:t>
      </w:r>
      <w:r>
        <w:rPr>
          <w:rFonts w:ascii="Arial" w:hAnsi="Arial" w:cs="Arial"/>
        </w:rPr>
        <w:t>万元,同比增加</w:t>
      </w:r>
      <w:r>
        <w:rPr>
          <w:rFonts w:hint="eastAsia" w:ascii="Arial" w:hAnsi="Arial" w:cs="Arial"/>
        </w:rPr>
        <w:t>5.93</w:t>
      </w:r>
      <w:r>
        <w:rPr>
          <w:rFonts w:ascii="Arial" w:hAnsi="Arial" w:cs="Arial"/>
        </w:rPr>
        <w:t>万元,增长</w:t>
      </w:r>
      <w:r>
        <w:rPr>
          <w:rFonts w:hint="eastAsia" w:ascii="Arial" w:hAnsi="Arial" w:cs="Arial"/>
        </w:rPr>
        <w:t>17.52</w:t>
      </w:r>
      <w:r>
        <w:rPr>
          <w:rFonts w:ascii="Arial" w:hAnsi="Arial" w:cs="Arial"/>
        </w:rPr>
        <w:t>%,全部是基本支出预算。主要用于单位在职职工养老保险缴费。</w:t>
      </w:r>
    </w:p>
    <w:p>
      <w:pPr>
        <w:pStyle w:val="4"/>
        <w:widowControl/>
        <w:spacing w:before="150" w:beforeAutospacing="0" w:after="150" w:afterAutospacing="0" w:line="460" w:lineRule="exact"/>
        <w:ind w:firstLine="420"/>
        <w:rPr>
          <w:rFonts w:ascii="Arial" w:hAnsi="Arial" w:cs="Arial"/>
        </w:rPr>
      </w:pPr>
      <w:r>
        <w:rPr>
          <w:rFonts w:ascii="Arial" w:hAnsi="Arial" w:cs="Arial"/>
        </w:rPr>
        <w:t>(3)卫生健康支出</w:t>
      </w:r>
      <w:r>
        <w:rPr>
          <w:rFonts w:hint="eastAsia" w:ascii="Arial" w:hAnsi="Arial" w:cs="Arial"/>
        </w:rPr>
        <w:t>22.87</w:t>
      </w:r>
      <w:r>
        <w:rPr>
          <w:rFonts w:ascii="Arial" w:hAnsi="Arial" w:cs="Arial"/>
        </w:rPr>
        <w:t>万元,占一般公共预算支出预算</w:t>
      </w:r>
      <w:r>
        <w:rPr>
          <w:rFonts w:hint="eastAsia" w:ascii="Arial" w:hAnsi="Arial" w:cs="Arial"/>
        </w:rPr>
        <w:t>4.26</w:t>
      </w:r>
      <w:r>
        <w:rPr>
          <w:rFonts w:ascii="Arial" w:hAnsi="Arial" w:cs="Arial"/>
        </w:rPr>
        <w:t>%,同比增加</w:t>
      </w:r>
      <w:r>
        <w:rPr>
          <w:rFonts w:hint="eastAsia" w:ascii="Arial" w:hAnsi="Arial" w:cs="Arial"/>
        </w:rPr>
        <w:t>3.42</w:t>
      </w:r>
      <w:r>
        <w:rPr>
          <w:rFonts w:ascii="Arial" w:hAnsi="Arial" w:cs="Arial"/>
        </w:rPr>
        <w:t>万元,增长</w:t>
      </w:r>
      <w:r>
        <w:rPr>
          <w:rFonts w:hint="eastAsia" w:ascii="Arial" w:hAnsi="Arial" w:cs="Arial"/>
        </w:rPr>
        <w:t>17.58</w:t>
      </w:r>
      <w:r>
        <w:rPr>
          <w:rFonts w:ascii="Arial" w:hAnsi="Arial" w:cs="Arial"/>
        </w:rPr>
        <w:t>%。具体如下:</w:t>
      </w:r>
    </w:p>
    <w:p>
      <w:pPr>
        <w:pStyle w:val="4"/>
        <w:widowControl/>
        <w:spacing w:before="150" w:beforeAutospacing="0" w:after="150" w:afterAutospacing="0" w:line="460" w:lineRule="exact"/>
        <w:ind w:firstLine="420"/>
        <w:rPr>
          <w:rFonts w:ascii="Arial" w:hAnsi="Arial" w:cs="Arial"/>
        </w:rPr>
      </w:pPr>
      <w:r>
        <w:rPr>
          <w:rFonts w:ascii="Arial" w:hAnsi="Arial" w:cs="Arial"/>
        </w:rPr>
        <w:t>行政单位医疗</w:t>
      </w:r>
      <w:r>
        <w:rPr>
          <w:rFonts w:hint="eastAsia" w:ascii="Arial" w:hAnsi="Arial" w:cs="Arial"/>
        </w:rPr>
        <w:t>22.37</w:t>
      </w:r>
      <w:r>
        <w:rPr>
          <w:rFonts w:ascii="Arial" w:hAnsi="Arial" w:cs="Arial"/>
        </w:rPr>
        <w:t>万元,同比增加</w:t>
      </w:r>
      <w:r>
        <w:rPr>
          <w:rFonts w:hint="eastAsia" w:ascii="Arial" w:hAnsi="Arial" w:cs="Arial"/>
        </w:rPr>
        <w:t>3.34</w:t>
      </w:r>
      <w:r>
        <w:rPr>
          <w:rFonts w:ascii="Arial" w:hAnsi="Arial" w:cs="Arial"/>
        </w:rPr>
        <w:t>万元,增长</w:t>
      </w:r>
      <w:r>
        <w:rPr>
          <w:rFonts w:hint="eastAsia" w:ascii="Arial" w:hAnsi="Arial" w:cs="Arial"/>
        </w:rPr>
        <w:t>17.55</w:t>
      </w:r>
      <w:r>
        <w:rPr>
          <w:rFonts w:ascii="Arial" w:hAnsi="Arial" w:cs="Arial"/>
        </w:rPr>
        <w:t>%,全部是基本支出预算。是根据统一规定,按行政机关(含参公单位)在职职工工资总额的一定比例缴纳的基本医疗保险支出。</w:t>
      </w:r>
    </w:p>
    <w:p>
      <w:pPr>
        <w:pStyle w:val="4"/>
        <w:widowControl/>
        <w:spacing w:before="150" w:beforeAutospacing="0" w:after="150" w:afterAutospacing="0" w:line="460" w:lineRule="exact"/>
        <w:ind w:firstLine="420"/>
        <w:rPr>
          <w:rFonts w:ascii="Arial" w:hAnsi="Arial" w:cs="Arial"/>
        </w:rPr>
      </w:pPr>
      <w:r>
        <w:rPr>
          <w:rFonts w:ascii="Arial" w:hAnsi="Arial" w:cs="Arial"/>
        </w:rPr>
        <w:t>事业单位医疗</w:t>
      </w:r>
      <w:r>
        <w:rPr>
          <w:rFonts w:hint="eastAsia" w:ascii="Arial" w:hAnsi="Arial" w:cs="Arial"/>
        </w:rPr>
        <w:t>0.5</w:t>
      </w:r>
      <w:r>
        <w:rPr>
          <w:rFonts w:ascii="Arial" w:hAnsi="Arial" w:cs="Arial"/>
        </w:rPr>
        <w:t>万元,同比增加</w:t>
      </w:r>
      <w:r>
        <w:rPr>
          <w:rFonts w:hint="eastAsia" w:ascii="Arial" w:hAnsi="Arial" w:cs="Arial"/>
        </w:rPr>
        <w:t>0.08</w:t>
      </w:r>
      <w:r>
        <w:rPr>
          <w:rFonts w:ascii="Arial" w:hAnsi="Arial" w:cs="Arial"/>
        </w:rPr>
        <w:t>万元,增长</w:t>
      </w:r>
      <w:r>
        <w:rPr>
          <w:rFonts w:hint="eastAsia" w:ascii="Arial" w:hAnsi="Arial" w:cs="Arial"/>
        </w:rPr>
        <w:t>19.05</w:t>
      </w:r>
      <w:r>
        <w:rPr>
          <w:rFonts w:ascii="Arial" w:hAnsi="Arial" w:cs="Arial"/>
        </w:rPr>
        <w:t>%,全部是基本支出预算。是根据统一规定,按事业单位在职职工工资总额的一定比例缴纳的基本医疗保险支出。</w:t>
      </w:r>
    </w:p>
    <w:p>
      <w:pPr>
        <w:pStyle w:val="4"/>
        <w:widowControl/>
        <w:spacing w:before="150" w:beforeAutospacing="0" w:after="150" w:afterAutospacing="0" w:line="460" w:lineRule="exact"/>
        <w:ind w:firstLine="420"/>
        <w:rPr>
          <w:rFonts w:ascii="Arial" w:hAnsi="Arial" w:cs="Arial"/>
        </w:rPr>
      </w:pPr>
      <w:r>
        <w:rPr>
          <w:rFonts w:ascii="Arial" w:hAnsi="Arial" w:cs="Arial"/>
        </w:rPr>
        <w:t>(4)住房保障支出</w:t>
      </w:r>
      <w:r>
        <w:rPr>
          <w:rFonts w:hint="eastAsia" w:ascii="Arial" w:hAnsi="Arial" w:cs="Arial"/>
        </w:rPr>
        <w:t>29.83</w:t>
      </w:r>
      <w:r>
        <w:rPr>
          <w:rFonts w:ascii="Arial" w:hAnsi="Arial" w:cs="Arial"/>
        </w:rPr>
        <w:t>万元,占一般公共预算支出预算</w:t>
      </w:r>
      <w:r>
        <w:rPr>
          <w:rFonts w:hint="eastAsia" w:ascii="Arial" w:hAnsi="Arial" w:cs="Arial"/>
        </w:rPr>
        <w:t>5.56</w:t>
      </w:r>
      <w:r>
        <w:rPr>
          <w:rFonts w:ascii="Arial" w:hAnsi="Arial" w:cs="Arial"/>
        </w:rPr>
        <w:t>%,同比增加</w:t>
      </w:r>
      <w:r>
        <w:rPr>
          <w:rFonts w:hint="eastAsia" w:ascii="Arial" w:hAnsi="Arial" w:cs="Arial"/>
        </w:rPr>
        <w:t>4.45</w:t>
      </w:r>
      <w:r>
        <w:rPr>
          <w:rFonts w:ascii="Arial" w:hAnsi="Arial" w:cs="Arial"/>
        </w:rPr>
        <w:t>万元,增长</w:t>
      </w:r>
      <w:r>
        <w:rPr>
          <w:rFonts w:hint="eastAsia" w:ascii="Arial" w:hAnsi="Arial" w:cs="Arial"/>
        </w:rPr>
        <w:t>17.53</w:t>
      </w:r>
      <w:r>
        <w:rPr>
          <w:rFonts w:ascii="Arial" w:hAnsi="Arial" w:cs="Arial"/>
        </w:rPr>
        <w:t>%。具体如下:</w:t>
      </w:r>
    </w:p>
    <w:p>
      <w:pPr>
        <w:pStyle w:val="4"/>
        <w:widowControl/>
        <w:spacing w:before="150" w:beforeAutospacing="0" w:after="150" w:afterAutospacing="0" w:line="460" w:lineRule="exact"/>
        <w:ind w:firstLine="420"/>
        <w:rPr>
          <w:rFonts w:ascii="Arial" w:hAnsi="Arial" w:cs="Arial"/>
        </w:rPr>
      </w:pPr>
      <w:r>
        <w:rPr>
          <w:rFonts w:ascii="Arial" w:hAnsi="Arial" w:cs="Arial"/>
        </w:rPr>
        <w:t>住房公积金</w:t>
      </w:r>
      <w:r>
        <w:rPr>
          <w:rFonts w:hint="eastAsia" w:ascii="Arial" w:hAnsi="Arial" w:cs="Arial"/>
        </w:rPr>
        <w:t>29.83</w:t>
      </w:r>
      <w:r>
        <w:rPr>
          <w:rFonts w:ascii="Arial" w:hAnsi="Arial" w:cs="Arial"/>
        </w:rPr>
        <w:t>万元,同比增加</w:t>
      </w:r>
      <w:r>
        <w:rPr>
          <w:rFonts w:hint="eastAsia" w:ascii="Arial" w:hAnsi="Arial" w:cs="Arial"/>
        </w:rPr>
        <w:t>4.45</w:t>
      </w:r>
      <w:r>
        <w:rPr>
          <w:rFonts w:ascii="Arial" w:hAnsi="Arial" w:cs="Arial"/>
        </w:rPr>
        <w:t>万元,增长</w:t>
      </w:r>
      <w:r>
        <w:rPr>
          <w:rFonts w:hint="eastAsia" w:ascii="Arial" w:hAnsi="Arial" w:cs="Arial"/>
        </w:rPr>
        <w:t>17.53</w:t>
      </w:r>
      <w:r>
        <w:rPr>
          <w:rFonts w:ascii="Arial" w:hAnsi="Arial" w:cs="Arial"/>
        </w:rPr>
        <w:t>%,全部是基本支出预算。是按照统一规定,为局机关和局属参公单位职工缴纳的住房公积金支出。</w:t>
      </w:r>
    </w:p>
    <w:p>
      <w:pPr>
        <w:pStyle w:val="4"/>
        <w:widowControl/>
        <w:spacing w:before="150" w:beforeAutospacing="0" w:after="150" w:afterAutospacing="0" w:line="460" w:lineRule="exact"/>
        <w:ind w:firstLine="420"/>
        <w:rPr>
          <w:rFonts w:ascii="Arial" w:hAnsi="Arial" w:cs="Arial"/>
        </w:rPr>
      </w:pPr>
      <w:r>
        <w:rPr>
          <w:rFonts w:ascii="Arial" w:hAnsi="Arial" w:cs="Arial"/>
        </w:rPr>
        <w:t>六、一般公共预算基本支出情况说明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2023年一般公共预算基本支出</w:t>
      </w:r>
      <w:r>
        <w:rPr>
          <w:rFonts w:hint="eastAsia" w:ascii="Arial" w:hAnsi="Arial" w:cs="Arial"/>
        </w:rPr>
        <w:t>414.52</w:t>
      </w:r>
      <w:r>
        <w:rPr>
          <w:rFonts w:ascii="Arial" w:hAnsi="Arial" w:cs="Arial"/>
        </w:rPr>
        <w:t>万元,增加</w:t>
      </w:r>
      <w:r>
        <w:rPr>
          <w:rFonts w:hint="eastAsia" w:ascii="Arial" w:hAnsi="Arial" w:cs="Arial"/>
        </w:rPr>
        <w:t>59.46</w:t>
      </w:r>
      <w:r>
        <w:rPr>
          <w:rFonts w:ascii="Arial" w:hAnsi="Arial" w:cs="Arial"/>
        </w:rPr>
        <w:t>万元,增长</w:t>
      </w:r>
      <w:r>
        <w:rPr>
          <w:rFonts w:hint="eastAsia" w:ascii="Arial" w:hAnsi="Arial" w:cs="Arial"/>
        </w:rPr>
        <w:t>16.75</w:t>
      </w:r>
      <w:r>
        <w:rPr>
          <w:rFonts w:ascii="Arial" w:hAnsi="Arial" w:cs="Arial"/>
        </w:rPr>
        <w:t>%,增长的主要原因是</w:t>
      </w:r>
      <w:r>
        <w:rPr>
          <w:rFonts w:hint="eastAsia" w:ascii="Arial" w:hAnsi="Arial" w:cs="Arial"/>
        </w:rPr>
        <w:t>在职人员增加</w:t>
      </w:r>
      <w:r>
        <w:rPr>
          <w:rFonts w:ascii="Arial" w:hAnsi="Arial" w:cs="Arial"/>
        </w:rPr>
        <w:t>。其中:工资福利支出</w:t>
      </w:r>
      <w:r>
        <w:rPr>
          <w:rFonts w:hint="eastAsia" w:ascii="Arial" w:hAnsi="Arial" w:cs="Arial"/>
        </w:rPr>
        <w:t>360.96</w:t>
      </w:r>
      <w:r>
        <w:rPr>
          <w:rFonts w:ascii="Arial" w:hAnsi="Arial" w:cs="Arial"/>
        </w:rPr>
        <w:t>万元,增加</w:t>
      </w:r>
      <w:r>
        <w:rPr>
          <w:rFonts w:hint="eastAsia" w:ascii="Arial" w:hAnsi="Arial" w:cs="Arial"/>
        </w:rPr>
        <w:t>53.88</w:t>
      </w:r>
      <w:r>
        <w:rPr>
          <w:rFonts w:ascii="Arial" w:hAnsi="Arial" w:cs="Arial"/>
        </w:rPr>
        <w:t>万元,增长</w:t>
      </w:r>
      <w:r>
        <w:rPr>
          <w:rFonts w:hint="eastAsia" w:ascii="Arial" w:hAnsi="Arial" w:cs="Arial"/>
        </w:rPr>
        <w:t>17.55</w:t>
      </w:r>
      <w:r>
        <w:rPr>
          <w:rFonts w:ascii="Arial" w:hAnsi="Arial" w:cs="Arial"/>
        </w:rPr>
        <w:t>%,增长的主要原因是</w:t>
      </w:r>
      <w:r>
        <w:rPr>
          <w:rFonts w:hint="eastAsia" w:ascii="Arial" w:hAnsi="Arial" w:cs="Arial"/>
        </w:rPr>
        <w:t>在职人员增加</w:t>
      </w:r>
      <w:r>
        <w:rPr>
          <w:rFonts w:ascii="Arial" w:hAnsi="Arial" w:cs="Arial"/>
        </w:rPr>
        <w:t>。商品和服务支出</w:t>
      </w:r>
      <w:r>
        <w:rPr>
          <w:rFonts w:hint="eastAsia" w:ascii="Arial" w:hAnsi="Arial" w:cs="Arial"/>
        </w:rPr>
        <w:t>38.5</w:t>
      </w:r>
      <w:r>
        <w:rPr>
          <w:rFonts w:ascii="Arial" w:hAnsi="Arial" w:cs="Arial"/>
        </w:rPr>
        <w:t>万元,增加</w:t>
      </w:r>
      <w:r>
        <w:rPr>
          <w:rFonts w:hint="eastAsia" w:ascii="Arial" w:hAnsi="Arial" w:cs="Arial"/>
        </w:rPr>
        <w:t>6.16</w:t>
      </w:r>
      <w:r>
        <w:rPr>
          <w:rFonts w:ascii="Arial" w:hAnsi="Arial" w:cs="Arial"/>
        </w:rPr>
        <w:t>万元,增长</w:t>
      </w:r>
      <w:r>
        <w:rPr>
          <w:rFonts w:hint="eastAsia" w:ascii="Arial" w:hAnsi="Arial" w:cs="Arial"/>
        </w:rPr>
        <w:t>19.05</w:t>
      </w:r>
      <w:r>
        <w:rPr>
          <w:rFonts w:ascii="Arial" w:hAnsi="Arial" w:cs="Arial"/>
        </w:rPr>
        <w:t>%。增长的主要原因是</w:t>
      </w:r>
      <w:r>
        <w:rPr>
          <w:rFonts w:hint="eastAsia" w:ascii="Arial" w:hAnsi="Arial" w:cs="Arial"/>
        </w:rPr>
        <w:t>在职人员增加</w:t>
      </w:r>
      <w:r>
        <w:rPr>
          <w:rFonts w:ascii="Arial" w:hAnsi="Arial" w:cs="Arial"/>
        </w:rPr>
        <w:t>。对个人和家庭的补助</w:t>
      </w:r>
      <w:r>
        <w:rPr>
          <w:rFonts w:hint="eastAsia" w:ascii="Arial" w:hAnsi="Arial" w:cs="Arial"/>
        </w:rPr>
        <w:t>15.06</w:t>
      </w:r>
      <w:r>
        <w:rPr>
          <w:rFonts w:ascii="Arial" w:hAnsi="Arial" w:cs="Arial"/>
        </w:rPr>
        <w:t>万元,</w:t>
      </w:r>
      <w:r>
        <w:rPr>
          <w:rFonts w:hint="eastAsia" w:ascii="Arial" w:hAnsi="Arial" w:cs="Arial"/>
        </w:rPr>
        <w:t>减少0.58</w:t>
      </w:r>
      <w:r>
        <w:rPr>
          <w:rFonts w:ascii="Arial" w:hAnsi="Arial" w:cs="Arial"/>
        </w:rPr>
        <w:t>万元,下降</w:t>
      </w:r>
      <w:r>
        <w:rPr>
          <w:rFonts w:hint="eastAsia" w:ascii="Arial" w:hAnsi="Arial" w:cs="Arial"/>
        </w:rPr>
        <w:t xml:space="preserve">3.71 </w:t>
      </w:r>
      <w:r>
        <w:rPr>
          <w:rFonts w:ascii="Arial" w:hAnsi="Arial" w:cs="Arial"/>
        </w:rPr>
        <w:t>%。下降的主要原因是</w:t>
      </w:r>
      <w:r>
        <w:rPr>
          <w:rFonts w:hint="eastAsia" w:ascii="Arial" w:hAnsi="Arial" w:cs="Arial"/>
        </w:rPr>
        <w:t>退休人员减少</w:t>
      </w:r>
      <w:r>
        <w:rPr>
          <w:rFonts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七、财政拨款三公两费支出情况说明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2023年一般公共预算安排的“三公”经费共</w:t>
      </w:r>
      <w:r>
        <w:rPr>
          <w:rFonts w:hint="eastAsia" w:ascii="Arial" w:hAnsi="Arial" w:cs="Arial"/>
        </w:rPr>
        <w:t>4.3</w:t>
      </w:r>
      <w:r>
        <w:rPr>
          <w:rFonts w:ascii="Arial" w:hAnsi="Arial" w:cs="Arial"/>
        </w:rPr>
        <w:t>万元,增加</w:t>
      </w:r>
      <w:r>
        <w:rPr>
          <w:rFonts w:hint="eastAsia" w:ascii="Arial" w:hAnsi="Arial" w:cs="Arial"/>
        </w:rPr>
        <w:t>1.8</w:t>
      </w:r>
      <w:r>
        <w:rPr>
          <w:rFonts w:ascii="Arial" w:hAnsi="Arial" w:cs="Arial"/>
        </w:rPr>
        <w:t>万元,增长</w:t>
      </w:r>
      <w:r>
        <w:rPr>
          <w:rFonts w:hint="eastAsia" w:ascii="Arial" w:hAnsi="Arial" w:cs="Arial"/>
        </w:rPr>
        <w:t>72</w:t>
      </w:r>
      <w:r>
        <w:rPr>
          <w:rFonts w:ascii="Arial" w:hAnsi="Arial" w:cs="Arial"/>
        </w:rPr>
        <w:t>%。具体如下:</w:t>
      </w:r>
    </w:p>
    <w:p>
      <w:pPr>
        <w:pStyle w:val="4"/>
        <w:widowControl/>
        <w:spacing w:before="150" w:beforeAutospacing="0" w:after="150" w:afterAutospacing="0" w:line="460" w:lineRule="exact"/>
        <w:ind w:firstLine="420"/>
        <w:rPr>
          <w:rFonts w:ascii="Arial" w:hAnsi="Arial" w:cs="Arial"/>
        </w:rPr>
      </w:pPr>
      <w:r>
        <w:rPr>
          <w:rFonts w:ascii="Arial" w:hAnsi="Arial" w:cs="Arial"/>
        </w:rPr>
        <w:t>1、因公出国(境)经费无预算安排,同比无变化。</w:t>
      </w:r>
    </w:p>
    <w:p>
      <w:pPr>
        <w:pStyle w:val="4"/>
        <w:widowControl/>
        <w:spacing w:before="150" w:beforeAutospacing="0" w:after="150" w:afterAutospacing="0" w:line="460" w:lineRule="exact"/>
        <w:ind w:firstLine="420"/>
        <w:rPr>
          <w:rFonts w:ascii="Arial" w:hAnsi="Arial" w:cs="Arial"/>
        </w:rPr>
      </w:pPr>
      <w:r>
        <w:rPr>
          <w:rFonts w:ascii="Arial" w:hAnsi="Arial" w:cs="Arial"/>
        </w:rPr>
        <w:t>2、公务接待费预算</w:t>
      </w:r>
      <w:r>
        <w:rPr>
          <w:rFonts w:hint="eastAsia" w:ascii="Arial" w:hAnsi="Arial" w:cs="Arial"/>
        </w:rPr>
        <w:t>3</w:t>
      </w:r>
      <w:r>
        <w:rPr>
          <w:rFonts w:ascii="Arial" w:hAnsi="Arial" w:cs="Arial"/>
        </w:rPr>
        <w:t>万元,增加</w:t>
      </w:r>
      <w:r>
        <w:rPr>
          <w:rFonts w:hint="eastAsia" w:ascii="Arial" w:hAnsi="Arial" w:cs="Arial"/>
        </w:rPr>
        <w:t>0.5</w:t>
      </w:r>
      <w:r>
        <w:rPr>
          <w:rFonts w:ascii="Arial" w:hAnsi="Arial" w:cs="Arial"/>
        </w:rPr>
        <w:t>万元,增长</w:t>
      </w:r>
      <w:r>
        <w:rPr>
          <w:rFonts w:hint="eastAsia" w:ascii="Arial" w:hAnsi="Arial" w:cs="Arial"/>
        </w:rPr>
        <w:t>20</w:t>
      </w:r>
      <w:r>
        <w:rPr>
          <w:rFonts w:ascii="Arial" w:hAnsi="Arial" w:cs="Arial"/>
        </w:rPr>
        <w:t>%。我单位认真贯彻落实中央八项规定要求,严格执行公务接待管理办法。主要用于单位按规定开支的各类公务接待费用。</w:t>
      </w:r>
    </w:p>
    <w:p>
      <w:pPr>
        <w:pStyle w:val="4"/>
        <w:widowControl/>
        <w:spacing w:before="150" w:beforeAutospacing="0" w:after="150" w:afterAutospacing="0" w:line="460" w:lineRule="exact"/>
        <w:ind w:firstLine="420"/>
        <w:rPr>
          <w:rFonts w:ascii="Arial" w:hAnsi="Arial" w:cs="Arial"/>
        </w:rPr>
      </w:pPr>
      <w:r>
        <w:rPr>
          <w:rFonts w:ascii="Arial" w:hAnsi="Arial" w:cs="Arial"/>
        </w:rPr>
        <w:t>3、公务用车购置和运行维护费预算</w:t>
      </w:r>
      <w:r>
        <w:rPr>
          <w:rFonts w:hint="eastAsia" w:ascii="Arial" w:hAnsi="Arial" w:cs="Arial"/>
        </w:rPr>
        <w:t>0</w:t>
      </w:r>
      <w:r>
        <w:rPr>
          <w:rFonts w:ascii="Arial" w:hAnsi="Arial" w:cs="Arial"/>
        </w:rPr>
        <w:t>万元,同比无变化。</w:t>
      </w:r>
    </w:p>
    <w:p>
      <w:pPr>
        <w:pStyle w:val="4"/>
        <w:widowControl/>
        <w:spacing w:before="150" w:beforeAutospacing="0" w:after="150" w:afterAutospacing="0" w:line="460" w:lineRule="exact"/>
        <w:ind w:firstLine="420"/>
        <w:rPr>
          <w:rFonts w:ascii="Arial" w:hAnsi="Arial" w:cs="Arial"/>
        </w:rPr>
      </w:pPr>
      <w:r>
        <w:rPr>
          <w:rFonts w:ascii="Arial" w:hAnsi="Arial" w:cs="Arial"/>
        </w:rPr>
        <w:t>4、会议费预算</w:t>
      </w:r>
      <w:r>
        <w:rPr>
          <w:rFonts w:hint="eastAsia" w:ascii="Arial" w:hAnsi="Arial" w:cs="Arial"/>
        </w:rPr>
        <w:t>0.3</w:t>
      </w:r>
      <w:r>
        <w:rPr>
          <w:rFonts w:ascii="Arial" w:hAnsi="Arial" w:cs="Arial"/>
        </w:rPr>
        <w:t>万元,减少</w:t>
      </w:r>
      <w:r>
        <w:rPr>
          <w:rFonts w:hint="eastAsia" w:ascii="Arial" w:hAnsi="Arial" w:cs="Arial"/>
        </w:rPr>
        <w:t>0.34</w:t>
      </w:r>
      <w:r>
        <w:rPr>
          <w:rFonts w:ascii="Arial" w:hAnsi="Arial" w:cs="Arial"/>
        </w:rPr>
        <w:t>万元,下降</w:t>
      </w:r>
      <w:r>
        <w:rPr>
          <w:rFonts w:hint="eastAsia" w:ascii="Arial" w:hAnsi="Arial" w:cs="Arial"/>
        </w:rPr>
        <w:t>53.13</w:t>
      </w:r>
      <w:r>
        <w:rPr>
          <w:rFonts w:ascii="Arial" w:hAnsi="Arial" w:cs="Arial"/>
        </w:rPr>
        <w:t>%,下降的主要原因是</w:t>
      </w:r>
      <w:r>
        <w:rPr>
          <w:rFonts w:hint="eastAsia" w:ascii="Arial" w:hAnsi="Arial" w:cs="Arial"/>
        </w:rPr>
        <w:t>压缩开支</w:t>
      </w:r>
      <w:r>
        <w:rPr>
          <w:rFonts w:ascii="Arial" w:hAnsi="Arial" w:cs="Arial"/>
        </w:rPr>
        <w:t>;培训费预算</w:t>
      </w:r>
      <w:r>
        <w:rPr>
          <w:rFonts w:hint="eastAsia" w:ascii="Arial" w:hAnsi="Arial" w:cs="Arial"/>
        </w:rPr>
        <w:t>1</w:t>
      </w:r>
      <w:r>
        <w:rPr>
          <w:rFonts w:ascii="Arial" w:hAnsi="Arial" w:cs="Arial"/>
        </w:rPr>
        <w:t>万元,增加</w:t>
      </w:r>
      <w:r>
        <w:rPr>
          <w:rFonts w:hint="eastAsia" w:ascii="Arial" w:hAnsi="Arial" w:cs="Arial"/>
        </w:rPr>
        <w:t>0.5</w:t>
      </w:r>
      <w:r>
        <w:rPr>
          <w:rFonts w:ascii="Arial" w:hAnsi="Arial" w:cs="Arial"/>
        </w:rPr>
        <w:t>万元,增长</w:t>
      </w:r>
      <w:r>
        <w:rPr>
          <w:rFonts w:hint="eastAsia" w:ascii="Arial" w:hAnsi="Arial" w:cs="Arial"/>
        </w:rPr>
        <w:t>100</w:t>
      </w:r>
      <w:r>
        <w:rPr>
          <w:rFonts w:ascii="Arial" w:hAnsi="Arial" w:cs="Arial"/>
        </w:rPr>
        <w:t>%,增长的主要原因是</w:t>
      </w:r>
      <w:r>
        <w:rPr>
          <w:rFonts w:hint="eastAsia" w:ascii="Arial" w:hAnsi="Arial" w:cs="Arial"/>
        </w:rPr>
        <w:t>加大培训力度，提高审计人员专业素质</w:t>
      </w:r>
      <w:r>
        <w:rPr>
          <w:rFonts w:ascii="Arial" w:hAnsi="Arial" w:cs="Arial"/>
        </w:rPr>
        <w:t>。</w:t>
      </w:r>
    </w:p>
    <w:p>
      <w:pPr>
        <w:pStyle w:val="4"/>
        <w:widowControl/>
        <w:numPr>
          <w:ilvl w:val="0"/>
          <w:numId w:val="3"/>
        </w:numPr>
        <w:spacing w:before="150" w:beforeAutospacing="0" w:after="150" w:afterAutospacing="0" w:line="460" w:lineRule="exact"/>
        <w:ind w:firstLine="420"/>
        <w:rPr>
          <w:rFonts w:ascii="Arial" w:hAnsi="Arial" w:cs="Arial"/>
        </w:rPr>
      </w:pPr>
      <w:r>
        <w:rPr>
          <w:rFonts w:ascii="Arial" w:hAnsi="Arial" w:cs="Arial"/>
        </w:rPr>
        <w:t>政府性基金预算支出情况说明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我单位2023年部门预算无政府性基金预算</w:t>
      </w:r>
      <w:r>
        <w:rPr>
          <w:rFonts w:hint="eastAsia"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九、国有资本经营预算支出情况说明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我单位2023年部门预算无国有资本经营预算</w:t>
      </w:r>
      <w:r>
        <w:rPr>
          <w:rFonts w:hint="eastAsia" w:ascii="Arial" w:hAnsi="Arial" w:cs="Arial"/>
        </w:rPr>
        <w:t>。</w:t>
      </w:r>
    </w:p>
    <w:p>
      <w:pPr>
        <w:pStyle w:val="4"/>
        <w:widowControl/>
        <w:spacing w:before="150" w:beforeAutospacing="0" w:after="150" w:afterAutospacing="0" w:line="460" w:lineRule="exact"/>
        <w:ind w:firstLine="480" w:firstLineChars="200"/>
        <w:rPr>
          <w:rFonts w:ascii="Arial" w:hAnsi="Arial" w:cs="Arial"/>
        </w:rPr>
      </w:pPr>
      <w:r>
        <w:rPr>
          <w:rFonts w:ascii="Arial" w:hAnsi="Arial" w:cs="Arial"/>
        </w:rPr>
        <w:t>十、其他重要事项情况说明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(一)机关运行经费安排情况说明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2023年机关运行经费</w:t>
      </w:r>
      <w:r>
        <w:rPr>
          <w:rFonts w:hint="eastAsia" w:ascii="Arial" w:hAnsi="Arial" w:cs="Arial"/>
        </w:rPr>
        <w:t>38.5</w:t>
      </w:r>
      <w:r>
        <w:rPr>
          <w:rFonts w:ascii="Arial" w:hAnsi="Arial" w:cs="Arial"/>
        </w:rPr>
        <w:t>万元,增加</w:t>
      </w:r>
      <w:r>
        <w:rPr>
          <w:rFonts w:hint="eastAsia" w:ascii="Arial" w:hAnsi="Arial" w:cs="Arial"/>
        </w:rPr>
        <w:t>6.16</w:t>
      </w:r>
      <w:r>
        <w:rPr>
          <w:rFonts w:ascii="Arial" w:hAnsi="Arial" w:cs="Arial"/>
        </w:rPr>
        <w:t>万元,增长</w:t>
      </w:r>
      <w:r>
        <w:rPr>
          <w:rFonts w:hint="eastAsia" w:ascii="Arial" w:hAnsi="Arial" w:cs="Arial"/>
        </w:rPr>
        <w:t>19.05</w:t>
      </w:r>
      <w:r>
        <w:rPr>
          <w:rFonts w:ascii="Arial" w:hAnsi="Arial" w:cs="Arial"/>
        </w:rPr>
        <w:t>%。增长的主要原因是</w:t>
      </w:r>
      <w:r>
        <w:rPr>
          <w:rFonts w:hint="eastAsia" w:ascii="Arial" w:hAnsi="Arial" w:cs="Arial"/>
        </w:rPr>
        <w:t>在职人员增加</w:t>
      </w:r>
      <w:r>
        <w:rPr>
          <w:rFonts w:ascii="Arial" w:hAnsi="Arial" w:cs="Arial"/>
        </w:rPr>
        <w:t>。具体包括办公费</w:t>
      </w:r>
      <w:r>
        <w:rPr>
          <w:rFonts w:hint="eastAsia" w:ascii="Arial" w:hAnsi="Arial" w:cs="Arial"/>
        </w:rPr>
        <w:t>10.3</w:t>
      </w:r>
      <w:r>
        <w:rPr>
          <w:rFonts w:ascii="Arial" w:hAnsi="Arial" w:cs="Arial"/>
        </w:rPr>
        <w:t>万元、印刷费</w:t>
      </w:r>
      <w:r>
        <w:rPr>
          <w:rFonts w:hint="eastAsia" w:ascii="Arial" w:hAnsi="Arial" w:cs="Arial"/>
        </w:rPr>
        <w:t>1</w:t>
      </w:r>
      <w:r>
        <w:rPr>
          <w:rFonts w:ascii="Arial" w:hAnsi="Arial" w:cs="Arial"/>
        </w:rPr>
        <w:t>万元、差旅费</w:t>
      </w:r>
      <w:r>
        <w:rPr>
          <w:rFonts w:hint="eastAsia" w:ascii="Arial" w:hAnsi="Arial" w:cs="Arial"/>
        </w:rPr>
        <w:t>1</w:t>
      </w:r>
      <w:r>
        <w:rPr>
          <w:rFonts w:ascii="Arial" w:hAnsi="Arial" w:cs="Arial"/>
        </w:rPr>
        <w:t>万元、公务接待费</w:t>
      </w:r>
      <w:r>
        <w:rPr>
          <w:rFonts w:hint="eastAsia" w:ascii="Arial" w:hAnsi="Arial" w:cs="Arial"/>
        </w:rPr>
        <w:t>3</w:t>
      </w:r>
      <w:r>
        <w:rPr>
          <w:rFonts w:ascii="Arial" w:hAnsi="Arial" w:cs="Arial"/>
        </w:rPr>
        <w:t>万元、其他交通费用</w:t>
      </w:r>
      <w:r>
        <w:rPr>
          <w:rFonts w:hint="eastAsia" w:ascii="Arial" w:hAnsi="Arial" w:cs="Arial"/>
        </w:rPr>
        <w:t>22.2</w:t>
      </w:r>
      <w:r>
        <w:rPr>
          <w:rFonts w:ascii="Arial" w:hAnsi="Arial" w:cs="Arial"/>
        </w:rPr>
        <w:t>万元。</w:t>
      </w:r>
    </w:p>
    <w:p>
      <w:pPr>
        <w:pStyle w:val="4"/>
        <w:widowControl/>
        <w:spacing w:before="150" w:beforeAutospacing="0" w:after="150" w:afterAutospacing="0" w:line="460" w:lineRule="exact"/>
        <w:ind w:firstLine="420"/>
        <w:rPr>
          <w:rFonts w:ascii="Arial" w:hAnsi="Arial" w:cs="Arial"/>
        </w:rPr>
      </w:pPr>
      <w:r>
        <w:rPr>
          <w:rFonts w:ascii="Arial" w:hAnsi="Arial" w:cs="Arial"/>
        </w:rPr>
        <w:t>(二)政府采购预算安排情况说明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我部门2023年部门预算无政府采购预算</w:t>
      </w:r>
      <w:r>
        <w:rPr>
          <w:rFonts w:hint="eastAsia" w:ascii="Arial" w:hAnsi="Arial" w:cs="Arial"/>
        </w:rPr>
        <w:t>。</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(三)国有资产占有使用情况说明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截至2022年12月31日,本部门资产总计</w:t>
      </w:r>
      <w:r>
        <w:rPr>
          <w:rFonts w:hint="eastAsia" w:ascii="Arial" w:hAnsi="Arial" w:cs="Arial"/>
        </w:rPr>
        <w:t>50.11</w:t>
      </w:r>
      <w:r>
        <w:rPr>
          <w:rFonts w:ascii="Arial" w:hAnsi="Arial" w:cs="Arial"/>
        </w:rPr>
        <w:t>万元,其中:流动资产</w:t>
      </w:r>
      <w:r>
        <w:rPr>
          <w:rFonts w:hint="eastAsia" w:ascii="Arial" w:hAnsi="Arial" w:cs="Arial"/>
        </w:rPr>
        <w:t xml:space="preserve">25.14 </w:t>
      </w:r>
      <w:r>
        <w:rPr>
          <w:rFonts w:ascii="Arial" w:hAnsi="Arial" w:cs="Arial"/>
        </w:rPr>
        <w:t>万元,固定资产</w:t>
      </w:r>
      <w:r>
        <w:rPr>
          <w:rFonts w:hint="eastAsia" w:ascii="Arial" w:hAnsi="Arial" w:cs="Arial"/>
        </w:rPr>
        <w:t>24.96</w:t>
      </w:r>
      <w:r>
        <w:rPr>
          <w:rFonts w:ascii="Arial" w:hAnsi="Arial" w:cs="Arial"/>
        </w:rPr>
        <w:t>万元。</w:t>
      </w:r>
    </w:p>
    <w:p>
      <w:pPr>
        <w:pStyle w:val="4"/>
        <w:widowControl/>
        <w:spacing w:before="150" w:beforeAutospacing="0" w:after="150" w:afterAutospacing="0" w:line="460" w:lineRule="exact"/>
        <w:ind w:firstLine="420"/>
        <w:rPr>
          <w:rFonts w:ascii="Arial" w:hAnsi="Arial" w:cs="Arial"/>
        </w:rPr>
      </w:pPr>
      <w:r>
        <w:rPr>
          <w:rFonts w:ascii="Arial" w:hAnsi="Arial" w:cs="Arial"/>
        </w:rPr>
        <w:t>(四)重点项目预算绩效目标等情况说明</w:t>
      </w:r>
    </w:p>
    <w:p>
      <w:pPr>
        <w:pStyle w:val="4"/>
        <w:widowControl/>
        <w:spacing w:before="150" w:beforeAutospacing="0" w:after="150" w:afterAutospacing="0" w:line="460" w:lineRule="exact"/>
        <w:ind w:firstLine="420"/>
        <w:rPr>
          <w:rFonts w:ascii="Arial" w:hAnsi="Arial" w:cs="Arial"/>
        </w:rPr>
      </w:pPr>
      <w:r>
        <w:rPr>
          <w:rFonts w:hint="eastAsia" w:ascii="Arial" w:hAnsi="Arial" w:cs="Arial"/>
        </w:rPr>
        <w:t>重点项目绩效目标1个，预算金额81万元，具体情况如下:</w:t>
      </w:r>
    </w:p>
    <w:p>
      <w:pPr>
        <w:pStyle w:val="4"/>
        <w:widowControl/>
        <w:spacing w:before="150" w:beforeAutospacing="0" w:after="150" w:afterAutospacing="0" w:line="460" w:lineRule="exact"/>
        <w:ind w:firstLine="420"/>
        <w:rPr>
          <w:rFonts w:ascii="Arial" w:hAnsi="Arial" w:cs="Arial"/>
        </w:rPr>
      </w:pPr>
      <w:r>
        <w:rPr>
          <w:rFonts w:hint="eastAsia" w:ascii="Arial" w:hAnsi="Arial" w:cs="Arial"/>
        </w:rPr>
        <w:t>政府投资审计业务费项目81万元。</w:t>
      </w:r>
    </w:p>
    <w:p>
      <w:pPr>
        <w:pStyle w:val="4"/>
        <w:widowControl/>
        <w:spacing w:before="150" w:beforeAutospacing="0" w:after="150" w:afterAutospacing="0" w:line="460" w:lineRule="exact"/>
        <w:ind w:firstLine="420"/>
        <w:rPr>
          <w:rFonts w:ascii="Arial" w:hAnsi="Arial" w:cs="Arial"/>
        </w:rPr>
      </w:pPr>
      <w:r>
        <w:rPr>
          <w:rFonts w:hint="eastAsia" w:ascii="Arial" w:hAnsi="Arial" w:cs="Arial"/>
        </w:rPr>
        <w:t>立项情况：根据《审计法》及其实施条例规定，组织实施审计项目，完成财政预算执行和决算草案情况的审计、经济责任审计、政府投资项目审计等工作，用于审计业务工作经费，提出审计建议，促进财政资金提质增效。</w:t>
      </w:r>
    </w:p>
    <w:p>
      <w:pPr>
        <w:pStyle w:val="4"/>
        <w:widowControl/>
        <w:spacing w:before="150" w:beforeAutospacing="0" w:after="150" w:afterAutospacing="0" w:line="460" w:lineRule="exact"/>
        <w:ind w:firstLine="420"/>
        <w:rPr>
          <w:rFonts w:ascii="Arial" w:hAnsi="Arial" w:cs="Arial"/>
        </w:rPr>
      </w:pPr>
      <w:r>
        <w:rPr>
          <w:rFonts w:hint="eastAsia" w:ascii="Arial" w:hAnsi="Arial" w:cs="Arial"/>
        </w:rPr>
        <w:t>实施进度计划：2023.1-2023.12按建设进度执行。</w:t>
      </w:r>
    </w:p>
    <w:p>
      <w:pPr>
        <w:pStyle w:val="4"/>
        <w:widowControl/>
        <w:spacing w:before="150" w:beforeAutospacing="0" w:after="150" w:afterAutospacing="0" w:line="460" w:lineRule="exact"/>
        <w:ind w:firstLine="420"/>
        <w:rPr>
          <w:rFonts w:hint="eastAsia" w:ascii="Arial" w:hAnsi="Arial" w:cs="Arial"/>
        </w:rPr>
      </w:pPr>
      <w:r>
        <w:rPr>
          <w:rFonts w:hint="eastAsia" w:ascii="Arial" w:hAnsi="Arial" w:cs="Arial"/>
        </w:rPr>
        <w:t>年度目标：申请资金81万元，主要用于单位自身运转、维护以及保障单位履行职能方面的支出。2023年全州县审计局计划实施审计项目以及若干县人民政府交办审计项目，主要是推动中央和省重大政策贯彻落实，促进经济持续健康发展的重大政策措施落实情况跟踪审计；提高财政资金使用效益的财政金融审计；对社会保障基金、社会捐赠资金的行政事业审计;对农业农村、扶贫开发以及其他相关公共资金和建设项目的审计；对全州县投资和以全州县投资为主的建设项目以及其他关系国家利益和公共利益的重大公共工程项目的固定资产投资审计。密切关注社会风险隐患，注重反映重点领域风险隐患，维护经济发展安全，加强对领导干部行使权力的制约和监督的领导干部经济责任审计，推进党风廉政建设和反腐败工作。</w:t>
      </w:r>
    </w:p>
    <w:p>
      <w:pPr>
        <w:pStyle w:val="4"/>
        <w:widowControl/>
        <w:spacing w:before="150" w:beforeAutospacing="0" w:after="150" w:afterAutospacing="0" w:line="460" w:lineRule="exact"/>
        <w:ind w:firstLine="420"/>
        <w:rPr>
          <w:rFonts w:ascii="Arial" w:hAnsi="Arial" w:cs="Arial"/>
        </w:rPr>
      </w:pP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专业名词解释</w:t>
      </w:r>
    </w:p>
    <w:p>
      <w:pPr>
        <w:pStyle w:val="4"/>
        <w:widowControl/>
        <w:spacing w:before="274" w:beforeAutospacing="0" w:after="274" w:afterAutospacing="0" w:line="360" w:lineRule="auto"/>
        <w:ind w:firstLine="475"/>
      </w:pPr>
      <w:r>
        <w:rPr>
          <w:rFonts w:hint="eastAsia" w:ascii="Arial" w:hAnsi="Arial" w:cs="Arial"/>
        </w:rPr>
        <w:t>一、财政拨款收入：指财政部门当年拨付的资金。</w:t>
      </w:r>
    </w:p>
    <w:p>
      <w:pPr>
        <w:pStyle w:val="4"/>
        <w:widowControl/>
        <w:spacing w:before="274" w:beforeAutospacing="0" w:after="274" w:afterAutospacing="0" w:line="360" w:lineRule="auto"/>
        <w:ind w:firstLine="475"/>
      </w:pPr>
      <w:r>
        <w:rPr>
          <w:rFonts w:hint="eastAsia" w:ascii="Arial" w:hAnsi="Arial" w:cs="Arial"/>
        </w:rPr>
        <w:t>二、事业收入：指事业单位开展专业业务活动及辅助活动所取得的收入。</w:t>
      </w:r>
    </w:p>
    <w:p>
      <w:pPr>
        <w:pStyle w:val="4"/>
        <w:widowControl/>
        <w:spacing w:before="274" w:beforeAutospacing="0" w:after="274" w:afterAutospacing="0" w:line="360" w:lineRule="auto"/>
        <w:ind w:firstLine="475"/>
      </w:pPr>
      <w:r>
        <w:rPr>
          <w:rFonts w:hint="eastAsia" w:ascii="Arial" w:hAnsi="Arial" w:cs="Arial"/>
        </w:rPr>
        <w:t>三、其他收入：指除上述</w:t>
      </w:r>
      <w:r>
        <w:rPr>
          <w:rFonts w:ascii="Arial" w:hAnsi="Arial" w:cs="Arial"/>
        </w:rPr>
        <w:t>“</w:t>
      </w:r>
      <w:r>
        <w:rPr>
          <w:rFonts w:hint="eastAsia" w:ascii="Arial" w:hAnsi="Arial" w:cs="Arial"/>
        </w:rPr>
        <w:t>财政拨款收入</w:t>
      </w:r>
      <w:r>
        <w:rPr>
          <w:rFonts w:ascii="Arial" w:hAnsi="Arial" w:cs="Arial"/>
        </w:rPr>
        <w:t>”</w:t>
      </w:r>
      <w:r>
        <w:rPr>
          <w:rFonts w:hint="eastAsia" w:ascii="Arial" w:hAnsi="Arial" w:cs="Arial"/>
        </w:rPr>
        <w:t>、</w:t>
      </w:r>
      <w:r>
        <w:rPr>
          <w:rFonts w:ascii="Arial" w:hAnsi="Arial" w:cs="Arial"/>
        </w:rPr>
        <w:t>“</w:t>
      </w:r>
      <w:r>
        <w:rPr>
          <w:rFonts w:hint="eastAsia" w:ascii="Arial" w:hAnsi="Arial" w:cs="Arial"/>
        </w:rPr>
        <w:t>事业收入</w:t>
      </w:r>
      <w:r>
        <w:rPr>
          <w:rFonts w:ascii="Arial" w:hAnsi="Arial" w:cs="Arial"/>
        </w:rPr>
        <w:t>”</w:t>
      </w:r>
      <w:r>
        <w:rPr>
          <w:rFonts w:hint="eastAsia" w:ascii="Arial" w:hAnsi="Arial" w:cs="Arial"/>
        </w:rPr>
        <w:t>、</w:t>
      </w:r>
      <w:r>
        <w:rPr>
          <w:rFonts w:ascii="Arial" w:hAnsi="Arial" w:cs="Arial"/>
        </w:rPr>
        <w:t>“</w:t>
      </w:r>
      <w:r>
        <w:rPr>
          <w:rFonts w:hint="eastAsia" w:ascii="Arial" w:hAnsi="Arial" w:cs="Arial"/>
        </w:rPr>
        <w:t>经营收入</w:t>
      </w:r>
      <w:r>
        <w:rPr>
          <w:rFonts w:ascii="Arial" w:hAnsi="Arial" w:cs="Arial"/>
        </w:rPr>
        <w:t>”</w:t>
      </w:r>
      <w:r>
        <w:rPr>
          <w:rFonts w:hint="eastAsia" w:ascii="Arial" w:hAnsi="Arial" w:cs="Arial"/>
        </w:rPr>
        <w:t>等以外的收入。</w:t>
      </w:r>
    </w:p>
    <w:p>
      <w:pPr>
        <w:pStyle w:val="4"/>
        <w:widowControl/>
        <w:spacing w:before="274" w:beforeAutospacing="0" w:after="274" w:afterAutospacing="0" w:line="360" w:lineRule="auto"/>
        <w:ind w:firstLine="475"/>
      </w:pPr>
      <w:r>
        <w:rPr>
          <w:rFonts w:hint="eastAsia" w:ascii="Arial" w:hAnsi="Arial" w:cs="Arial"/>
        </w:rPr>
        <w:t>四、基本支出：指为保障机构正常运转、完成日常工作任务而发生的人员支出和公用支出。</w:t>
      </w:r>
    </w:p>
    <w:p>
      <w:pPr>
        <w:pStyle w:val="4"/>
        <w:widowControl/>
        <w:spacing w:before="274" w:beforeAutospacing="0" w:after="274" w:afterAutospacing="0" w:line="360" w:lineRule="auto"/>
        <w:ind w:firstLine="475"/>
      </w:pPr>
      <w:r>
        <w:rPr>
          <w:rFonts w:hint="eastAsia" w:ascii="Arial" w:hAnsi="Arial" w:cs="Arial"/>
        </w:rPr>
        <w:t>五、项目支出：指在基本支出之外为完成特定行政任务和事业发展目标所发生的支出。</w:t>
      </w:r>
    </w:p>
    <w:p>
      <w:pPr>
        <w:pStyle w:val="4"/>
        <w:widowControl/>
        <w:spacing w:before="274" w:beforeAutospacing="0" w:after="274" w:afterAutospacing="0" w:line="360" w:lineRule="auto"/>
        <w:ind w:firstLine="475"/>
      </w:pPr>
      <w:r>
        <w:rPr>
          <w:rFonts w:hint="eastAsia" w:ascii="Arial" w:hAnsi="Arial" w:cs="Arial"/>
        </w:rPr>
        <w:t>六、一般公共服务支出：反映政府提供一般公共服务的支出。</w:t>
      </w:r>
    </w:p>
    <w:p>
      <w:pPr>
        <w:pStyle w:val="4"/>
        <w:widowControl/>
        <w:spacing w:before="274" w:beforeAutospacing="0" w:after="274" w:afterAutospacing="0" w:line="360" w:lineRule="auto"/>
        <w:ind w:firstLine="475"/>
      </w:pPr>
      <w:r>
        <w:rPr>
          <w:rFonts w:hint="eastAsia" w:ascii="Arial" w:hAnsi="Arial" w:cs="Arial"/>
        </w:rPr>
        <w:t>七、社会保障和就业支出：反映政府在社会保障与就业方面的支出。</w:t>
      </w:r>
    </w:p>
    <w:p>
      <w:pPr>
        <w:pStyle w:val="4"/>
        <w:widowControl/>
        <w:spacing w:before="274" w:beforeAutospacing="0" w:after="274" w:afterAutospacing="0" w:line="360" w:lineRule="auto"/>
        <w:ind w:firstLine="475"/>
      </w:pPr>
      <w:r>
        <w:rPr>
          <w:rFonts w:hint="eastAsia" w:ascii="Arial" w:hAnsi="Arial" w:cs="Arial"/>
        </w:rPr>
        <w:t>八、卫生健康支出：反映政府卫生健康方面的支出。</w:t>
      </w:r>
    </w:p>
    <w:p>
      <w:pPr>
        <w:pStyle w:val="4"/>
        <w:widowControl/>
        <w:spacing w:before="274" w:beforeAutospacing="0" w:after="274" w:afterAutospacing="0" w:line="360" w:lineRule="auto"/>
        <w:ind w:firstLine="475"/>
      </w:pPr>
      <w:r>
        <w:rPr>
          <w:rFonts w:hint="eastAsia" w:ascii="Arial" w:hAnsi="Arial" w:cs="Arial"/>
        </w:rPr>
        <w:t>九、住房保障支出：集中反映政府用于住房方面的支出。</w:t>
      </w:r>
    </w:p>
    <w:p>
      <w:pPr>
        <w:pStyle w:val="4"/>
        <w:widowControl/>
        <w:spacing w:before="274" w:beforeAutospacing="0" w:after="274" w:afterAutospacing="0" w:line="360" w:lineRule="auto"/>
        <w:ind w:firstLine="475"/>
      </w:pPr>
      <w:r>
        <w:rPr>
          <w:rFonts w:hint="eastAsia" w:ascii="Arial" w:hAnsi="Arial" w:cs="Arial"/>
        </w:rPr>
        <w:t>十、</w:t>
      </w:r>
      <w:r>
        <w:rPr>
          <w:rFonts w:ascii="Arial" w:hAnsi="Arial" w:cs="Arial"/>
        </w:rPr>
        <w:t>“</w:t>
      </w:r>
      <w:r>
        <w:rPr>
          <w:rFonts w:hint="eastAsia" w:ascii="Arial" w:hAnsi="Arial" w:cs="Arial"/>
        </w:rPr>
        <w:t>三公</w:t>
      </w:r>
      <w:r>
        <w:rPr>
          <w:rFonts w:ascii="Arial" w:hAnsi="Arial" w:cs="Arial"/>
        </w:rPr>
        <w:t>”</w:t>
      </w:r>
      <w:r>
        <w:rPr>
          <w:rFonts w:hint="eastAsia" w:ascii="Arial" w:hAnsi="Arial" w:cs="Arial"/>
        </w:rPr>
        <w:t>经费：纳入财政预决算管理的</w:t>
      </w:r>
      <w:r>
        <w:rPr>
          <w:rFonts w:ascii="Arial" w:hAnsi="Arial" w:cs="Arial"/>
        </w:rPr>
        <w:t>“</w:t>
      </w:r>
      <w:r>
        <w:rPr>
          <w:rFonts w:hint="eastAsia" w:ascii="Arial" w:hAnsi="Arial" w:cs="Arial"/>
        </w:rPr>
        <w:t>三公</w:t>
      </w:r>
      <w:r>
        <w:rPr>
          <w:rFonts w:ascii="Arial" w:hAnsi="Arial" w:cs="Arial"/>
        </w:rPr>
        <w:t>”</w:t>
      </w:r>
      <w:r>
        <w:rPr>
          <w:rFonts w:hint="eastAsia" w:ascii="Arial" w:hAnsi="Arial" w:cs="Arial"/>
        </w:rPr>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4"/>
        <w:widowControl/>
        <w:spacing w:before="274" w:beforeAutospacing="0" w:after="274" w:afterAutospacing="0" w:line="360" w:lineRule="auto"/>
        <w:ind w:firstLine="475"/>
      </w:pPr>
      <w:r>
        <w:rPr>
          <w:rFonts w:hint="eastAsia" w:ascii="Arial" w:hAnsi="Arial" w:cs="Arial"/>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4"/>
        <w:widowControl/>
        <w:spacing w:beforeAutospacing="0" w:afterAutospacing="0" w:line="500" w:lineRule="exact"/>
        <w:ind w:firstLine="480" w:firstLineChars="200"/>
        <w:rPr>
          <w:rFonts w:ascii="宋体" w:cs="宋体"/>
        </w:rPr>
      </w:pPr>
      <w:r>
        <w:rPr>
          <w:rFonts w:hint="eastAsia" w:ascii="宋体" w:hAnsi="宋体" w:cs="宋体"/>
        </w:rPr>
        <w:t>十二、行政运行（审计事务）：反映行政单位</w:t>
      </w:r>
      <w:r>
        <w:rPr>
          <w:rFonts w:ascii="宋体" w:hAnsi="宋体" w:cs="宋体"/>
        </w:rPr>
        <w:t>(</w:t>
      </w:r>
      <w:r>
        <w:rPr>
          <w:rFonts w:hint="eastAsia" w:ascii="宋体" w:hAnsi="宋体" w:cs="宋体"/>
        </w:rPr>
        <w:t>包括实行公务员管理的事业单位</w:t>
      </w:r>
      <w:r>
        <w:rPr>
          <w:rFonts w:ascii="宋体" w:hAnsi="宋体" w:cs="宋体"/>
        </w:rPr>
        <w:t>)</w:t>
      </w:r>
      <w:r>
        <w:rPr>
          <w:rFonts w:hint="eastAsia" w:ascii="宋体" w:hAnsi="宋体" w:cs="宋体"/>
        </w:rPr>
        <w:t>的基本支出。</w:t>
      </w:r>
    </w:p>
    <w:p>
      <w:pPr>
        <w:pStyle w:val="4"/>
        <w:widowControl/>
        <w:spacing w:beforeAutospacing="0" w:afterAutospacing="0" w:line="500" w:lineRule="exact"/>
        <w:ind w:firstLine="480" w:firstLineChars="200"/>
        <w:rPr>
          <w:rFonts w:ascii="宋体" w:cs="宋体"/>
        </w:rPr>
      </w:pPr>
      <w:r>
        <w:rPr>
          <w:rFonts w:hint="eastAsia" w:ascii="宋体" w:hAnsi="宋体" w:cs="宋体"/>
        </w:rPr>
        <w:t>十三、审计业务：反映各级审计机构的审计、专项审计调查、聘请社会审计组织人员及技术专家等方面的支出。</w:t>
      </w:r>
    </w:p>
    <w:p>
      <w:pPr>
        <w:spacing w:line="500" w:lineRule="exact"/>
        <w:ind w:firstLine="480" w:firstLineChars="200"/>
        <w:jc w:val="left"/>
        <w:rPr>
          <w:rFonts w:ascii="宋体" w:cs="宋体"/>
          <w:sz w:val="24"/>
          <w:szCs w:val="24"/>
        </w:rPr>
      </w:pPr>
      <w:r>
        <w:rPr>
          <w:rFonts w:hint="eastAsia" w:ascii="宋体" w:hAnsi="宋体" w:cs="宋体"/>
          <w:sz w:val="24"/>
          <w:szCs w:val="24"/>
        </w:rPr>
        <w:t>十四、</w:t>
      </w:r>
      <w:r>
        <w:rPr>
          <w:rFonts w:hint="eastAsia" w:ascii="宋体" w:hAnsi="宋体" w:cs="宋体"/>
          <w:kern w:val="0"/>
          <w:sz w:val="24"/>
          <w:szCs w:val="24"/>
        </w:rPr>
        <w:t>机关事业单位基本养老保险缴费支出：反映机关事业单位实施养老保险制度由单位缴纳的基本养老保险费支出。</w:t>
      </w:r>
    </w:p>
    <w:p>
      <w:pPr>
        <w:spacing w:line="500" w:lineRule="exact"/>
        <w:ind w:firstLine="480" w:firstLineChars="200"/>
        <w:jc w:val="left"/>
        <w:rPr>
          <w:rFonts w:ascii="宋体" w:cs="宋体"/>
          <w:kern w:val="0"/>
          <w:sz w:val="24"/>
          <w:szCs w:val="24"/>
        </w:rPr>
      </w:pPr>
      <w:r>
        <w:rPr>
          <w:rFonts w:hint="eastAsia" w:ascii="宋体" w:hAnsi="宋体" w:cs="宋体"/>
          <w:sz w:val="24"/>
          <w:szCs w:val="24"/>
        </w:rPr>
        <w:t>十五、</w:t>
      </w:r>
      <w:r>
        <w:rPr>
          <w:rFonts w:hint="eastAsia" w:ascii="宋体" w:hAnsi="宋体" w:cs="宋体"/>
          <w:kern w:val="0"/>
          <w:sz w:val="24"/>
          <w:szCs w:val="24"/>
        </w:rPr>
        <w:t>行政单位医疗：反映财政部门安排的行政单位（包括实行公务员管理的事业单位）基本医疗保险缴费经费，未参加医疗保险的行政单位的公费医疗经费，按国家规定享受离休人员、红军老战士待遇人员的医疗经费。</w:t>
      </w:r>
    </w:p>
    <w:p>
      <w:pPr>
        <w:spacing w:line="500" w:lineRule="exact"/>
        <w:ind w:firstLine="480" w:firstLineChars="200"/>
        <w:jc w:val="left"/>
        <w:rPr>
          <w:rFonts w:ascii="宋体" w:cs="宋体"/>
          <w:kern w:val="0"/>
          <w:sz w:val="24"/>
          <w:szCs w:val="24"/>
        </w:rPr>
      </w:pPr>
      <w:r>
        <w:rPr>
          <w:rFonts w:hint="eastAsia" w:ascii="宋体" w:hAnsi="宋体" w:cs="宋体"/>
          <w:sz w:val="24"/>
          <w:szCs w:val="24"/>
        </w:rPr>
        <w:t>十六、</w:t>
      </w:r>
      <w:r>
        <w:rPr>
          <w:rFonts w:hint="eastAsia" w:ascii="宋体" w:hAnsi="宋体" w:cs="宋体"/>
          <w:kern w:val="0"/>
          <w:sz w:val="24"/>
          <w:szCs w:val="24"/>
        </w:rPr>
        <w:t>住房公积金：反映行政事业单位按人力资源</w:t>
      </w:r>
      <w:bookmarkStart w:id="0" w:name="_GoBack"/>
      <w:bookmarkEnd w:id="0"/>
      <w:r>
        <w:rPr>
          <w:rFonts w:hint="eastAsia" w:ascii="宋体" w:hAnsi="宋体" w:cs="宋体"/>
          <w:kern w:val="0"/>
          <w:sz w:val="24"/>
          <w:szCs w:val="24"/>
        </w:rPr>
        <w:t>和社会保障部、财政部规定的基本工资和津贴补贴以及规定比例为职工缴纳的住房公积金。</w:t>
      </w:r>
    </w:p>
    <w:p>
      <w:pPr>
        <w:pStyle w:val="4"/>
        <w:widowControl/>
        <w:spacing w:line="460" w:lineRule="exact"/>
      </w:pPr>
      <w:r>
        <w:t>​</w:t>
      </w:r>
    </w:p>
    <w:p>
      <w:pPr>
        <w:spacing w:line="460" w:lineRule="exact"/>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97E7D6"/>
    <w:multiLevelType w:val="singleLevel"/>
    <w:tmpl w:val="EA97E7D6"/>
    <w:lvl w:ilvl="0" w:tentative="0">
      <w:start w:val="5"/>
      <w:numFmt w:val="chineseCounting"/>
      <w:suff w:val="nothing"/>
      <w:lvlText w:val="%1、"/>
      <w:lvlJc w:val="left"/>
      <w:rPr>
        <w:rFonts w:hint="eastAsia"/>
      </w:rPr>
    </w:lvl>
  </w:abstractNum>
  <w:abstractNum w:abstractNumId="1">
    <w:nsid w:val="02FF886B"/>
    <w:multiLevelType w:val="singleLevel"/>
    <w:tmpl w:val="02FF886B"/>
    <w:lvl w:ilvl="0" w:tentative="0">
      <w:start w:val="8"/>
      <w:numFmt w:val="chineseCounting"/>
      <w:suff w:val="nothing"/>
      <w:lvlText w:val="%1、"/>
      <w:lvlJc w:val="left"/>
      <w:rPr>
        <w:rFonts w:hint="eastAsia"/>
      </w:rPr>
    </w:lvl>
  </w:abstractNum>
  <w:abstractNum w:abstractNumId="2">
    <w:nsid w:val="7700B24B"/>
    <w:multiLevelType w:val="singleLevel"/>
    <w:tmpl w:val="7700B24B"/>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WRhNTRmYTdmNzljMTc0Yzg0ZjNhM2I0MjQ4NWE5Y2QifQ=="/>
  </w:docVars>
  <w:rsids>
    <w:rsidRoot w:val="255B155F"/>
    <w:rsid w:val="00AE0667"/>
    <w:rsid w:val="00CA4804"/>
    <w:rsid w:val="00DF0DF0"/>
    <w:rsid w:val="022C2E9B"/>
    <w:rsid w:val="02D42FFF"/>
    <w:rsid w:val="03321AF1"/>
    <w:rsid w:val="04C75BAA"/>
    <w:rsid w:val="068707C4"/>
    <w:rsid w:val="082554DA"/>
    <w:rsid w:val="0E0F33E0"/>
    <w:rsid w:val="0E2F75DE"/>
    <w:rsid w:val="117758BA"/>
    <w:rsid w:val="133F37D4"/>
    <w:rsid w:val="14162EE9"/>
    <w:rsid w:val="148E1266"/>
    <w:rsid w:val="14BD6FE9"/>
    <w:rsid w:val="160E03F1"/>
    <w:rsid w:val="1BB13D28"/>
    <w:rsid w:val="1E021B0F"/>
    <w:rsid w:val="255B155F"/>
    <w:rsid w:val="258F5248"/>
    <w:rsid w:val="28FE0556"/>
    <w:rsid w:val="2ACA54F9"/>
    <w:rsid w:val="2B4C75C8"/>
    <w:rsid w:val="2EA4771D"/>
    <w:rsid w:val="30EE7997"/>
    <w:rsid w:val="31C11B09"/>
    <w:rsid w:val="348525CD"/>
    <w:rsid w:val="3761708D"/>
    <w:rsid w:val="3CC17DD4"/>
    <w:rsid w:val="41387635"/>
    <w:rsid w:val="43D67E46"/>
    <w:rsid w:val="45344EFF"/>
    <w:rsid w:val="45E561F9"/>
    <w:rsid w:val="4A384A13"/>
    <w:rsid w:val="50FD2F9C"/>
    <w:rsid w:val="57882E88"/>
    <w:rsid w:val="596A4F3B"/>
    <w:rsid w:val="5A7E4E87"/>
    <w:rsid w:val="5CB7254E"/>
    <w:rsid w:val="6005776C"/>
    <w:rsid w:val="61E138C1"/>
    <w:rsid w:val="63151491"/>
    <w:rsid w:val="68891D50"/>
    <w:rsid w:val="68FA68F9"/>
    <w:rsid w:val="691B0392"/>
    <w:rsid w:val="6A5C61DA"/>
    <w:rsid w:val="71D00728"/>
    <w:rsid w:val="72ED672C"/>
    <w:rsid w:val="776F3C10"/>
    <w:rsid w:val="7A5A4353"/>
    <w:rsid w:val="7BA93249"/>
    <w:rsid w:val="7BF00E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autoRedefine/>
    <w:qFormat/>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Autospacing="1" w:afterAutospacing="1"/>
      <w:jc w:val="left"/>
    </w:pPr>
    <w:rPr>
      <w:rFonts w:cs="Times New Roman"/>
      <w:kern w:val="0"/>
      <w:sz w:val="24"/>
      <w:szCs w:val="24"/>
    </w:rPr>
  </w:style>
  <w:style w:type="character" w:styleId="7">
    <w:name w:val="Strong"/>
    <w:basedOn w:val="6"/>
    <w:qFormat/>
    <w:uiPriority w:val="22"/>
    <w:rPr>
      <w:b/>
    </w:rPr>
  </w:style>
  <w:style w:type="character" w:customStyle="1" w:styleId="8">
    <w:name w:val="页眉 Char"/>
    <w:basedOn w:val="6"/>
    <w:link w:val="3"/>
    <w:uiPriority w:val="0"/>
    <w:rPr>
      <w:rFonts w:asciiTheme="minorHAnsi" w:hAnsiTheme="minorHAnsi" w:eastAsiaTheme="minorEastAsia" w:cstheme="minorBidi"/>
      <w:kern w:val="2"/>
      <w:sz w:val="18"/>
      <w:szCs w:val="18"/>
    </w:rPr>
  </w:style>
  <w:style w:type="character" w:customStyle="1" w:styleId="9">
    <w:name w:val="页脚 Char"/>
    <w:basedOn w:val="6"/>
    <w:link w:val="2"/>
    <w:autoRedefine/>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TIMIZHUO</Company>
  <Pages>9</Pages>
  <Words>5326</Words>
  <Characters>5995</Characters>
  <Lines>43</Lines>
  <Paragraphs>12</Paragraphs>
  <TotalTime>89</TotalTime>
  <ScaleCrop>false</ScaleCrop>
  <LinksUpToDate>false</LinksUpToDate>
  <CharactersWithSpaces>6008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2023-03-16T02:24:00Z</dcterms:created>
  <dc:creator>天熙</dc:creator>
  <cp:lastModifiedBy>Administrator</cp:lastModifiedBy>
  <dcterms:modified xsi:type="dcterms:W3CDTF">2024-03-15T03:18:10Z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CE55C2414BBC4A74B1EEAC206B4727F5</vt:lpwstr>
  </property>
</Properties>
</file>