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460" w:lineRule="exact"/>
        <w:rPr>
          <w:rFonts w:ascii="Arial" w:hAnsi="Arial" w:cs="Arial"/>
        </w:rPr>
      </w:pPr>
      <w:r>
        <w:rPr>
          <w:rFonts w:ascii="Arial" w:hAnsi="Arial" w:cs="Arial"/>
        </w:rPr>
        <w:t> </w:t>
      </w:r>
    </w:p>
    <w:p>
      <w:pPr>
        <w:pStyle w:val="6"/>
        <w:widowControl/>
        <w:spacing w:before="150" w:beforeAutospacing="0" w:after="150" w:afterAutospacing="0" w:line="460" w:lineRule="exact"/>
        <w:ind w:firstLine="420"/>
        <w:jc w:val="center"/>
        <w:rPr>
          <w:rFonts w:ascii="Arial" w:hAnsi="Arial" w:cs="Arial"/>
          <w:b/>
          <w:bCs/>
        </w:rPr>
      </w:pPr>
      <w:r>
        <w:rPr>
          <w:rFonts w:ascii="Arial" w:cs="Arial" w:hAnsiTheme="minorEastAsia"/>
          <w:b/>
          <w:bCs/>
        </w:rPr>
        <w:t>全州县投资促进局</w:t>
      </w:r>
      <w:r>
        <w:rPr>
          <w:rFonts w:ascii="Arial" w:hAnsi="Arial" w:cs="Arial"/>
          <w:b/>
          <w:bCs/>
        </w:rPr>
        <w:t>2023</w:t>
      </w:r>
      <w:r>
        <w:rPr>
          <w:rFonts w:ascii="Arial" w:cs="Arial" w:hAnsiTheme="minorEastAsia"/>
          <w:b/>
          <w:bCs/>
        </w:rPr>
        <w:t>年部门预算</w:t>
      </w:r>
    </w:p>
    <w:p>
      <w:pPr>
        <w:pStyle w:val="6"/>
        <w:widowControl/>
        <w:spacing w:before="150" w:beforeAutospacing="0" w:after="150" w:afterAutospacing="0" w:line="460" w:lineRule="exact"/>
        <w:ind w:firstLine="420"/>
        <w:jc w:val="center"/>
        <w:rPr>
          <w:rFonts w:ascii="Arial" w:hAnsi="Arial" w:cs="Arial"/>
        </w:rPr>
      </w:pPr>
      <w:r>
        <w:rPr>
          <w:rFonts w:ascii="Arial" w:cs="Arial" w:hAnsiTheme="minorEastAsia"/>
        </w:rPr>
        <w:t>目录</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第一部分</w:t>
      </w:r>
      <w:r>
        <w:rPr>
          <w:rFonts w:ascii="Arial" w:hAnsi="Arial" w:cs="Arial"/>
        </w:rPr>
        <w:t> </w:t>
      </w:r>
      <w:r>
        <w:rPr>
          <w:rFonts w:ascii="Arial" w:cs="Arial" w:hAnsiTheme="minorEastAsia"/>
        </w:rPr>
        <w:t>部门概况</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一、主要职能职责</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二、机构设置</w:t>
      </w:r>
      <w:r>
        <w:rPr>
          <w:rFonts w:ascii="Arial" w:hAnsi="Arial" w:cs="Arial"/>
        </w:rPr>
        <w:t>(</w:t>
      </w:r>
      <w:r>
        <w:rPr>
          <w:rFonts w:ascii="Arial" w:cs="Arial" w:hAnsiTheme="minorEastAsia"/>
        </w:rPr>
        <w:t>本级和二层单位构成</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三、编制现状及人员构成</w:t>
      </w:r>
      <w:r>
        <w:rPr>
          <w:rFonts w:ascii="Arial" w:hAnsi="Arial" w:cs="Arial"/>
        </w:rPr>
        <w:t>(</w:t>
      </w:r>
      <w:r>
        <w:rPr>
          <w:rFonts w:ascii="Arial" w:cs="Arial" w:hAnsiTheme="minorEastAsia"/>
        </w:rPr>
        <w:t>本级和二层单位</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四、年度主要工作任务</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第二部分</w:t>
      </w:r>
      <w:r>
        <w:rPr>
          <w:rFonts w:ascii="Arial" w:hAnsi="Arial" w:cs="Arial"/>
        </w:rPr>
        <w:t> </w:t>
      </w:r>
      <w:r>
        <w:rPr>
          <w:rFonts w:ascii="Arial" w:cs="Arial" w:hAnsiTheme="minorEastAsia"/>
        </w:rPr>
        <w:t>部门预算报表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一、部门收支总体情况表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二、部门收入总体情况表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三、部门支出总体情况表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四、财政拨款收支总体情况表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五、一般公共支出预算情况表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六、一般公共预算基本支出情况表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七、财政拨款三公两费支出情况表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八、</w:t>
      </w:r>
      <w:r>
        <w:rPr>
          <w:rFonts w:ascii="Arial" w:hAnsi="Arial" w:cs="Arial"/>
        </w:rPr>
        <w:t xml:space="preserve"> </w:t>
      </w:r>
      <w:r>
        <w:rPr>
          <w:rFonts w:ascii="Arial" w:cs="Arial" w:hAnsiTheme="minorEastAsia"/>
        </w:rPr>
        <w:t>政府性基金预算支出情况表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九、</w:t>
      </w:r>
      <w:r>
        <w:rPr>
          <w:rFonts w:ascii="Arial" w:hAnsi="Arial" w:cs="Arial"/>
        </w:rPr>
        <w:t>  </w:t>
      </w:r>
      <w:r>
        <w:rPr>
          <w:rFonts w:ascii="Arial" w:cs="Arial" w:hAnsiTheme="minorEastAsia"/>
        </w:rPr>
        <w:t>国有资本经营预算支出情况表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第三部分</w:t>
      </w:r>
      <w:r>
        <w:rPr>
          <w:rFonts w:ascii="Arial" w:hAnsi="Arial" w:cs="Arial"/>
        </w:rPr>
        <w:t xml:space="preserve">  2023</w:t>
      </w:r>
      <w:r>
        <w:rPr>
          <w:rFonts w:ascii="Arial" w:cs="Arial" w:hAnsiTheme="minorEastAsia"/>
        </w:rPr>
        <w:t>年部门预算情况说明</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第四部分</w:t>
      </w:r>
      <w:r>
        <w:rPr>
          <w:rFonts w:ascii="Arial" w:hAnsi="Arial" w:cs="Arial"/>
        </w:rPr>
        <w:t> </w:t>
      </w:r>
      <w:r>
        <w:rPr>
          <w:rFonts w:ascii="Arial" w:cs="Arial" w:hAnsiTheme="minorEastAsia"/>
        </w:rPr>
        <w:t>专业名词解释</w:t>
      </w:r>
    </w:p>
    <w:p>
      <w:pPr>
        <w:pStyle w:val="6"/>
        <w:widowControl/>
        <w:spacing w:before="150" w:beforeAutospacing="0" w:after="150" w:afterAutospacing="0" w:line="460" w:lineRule="exact"/>
        <w:ind w:firstLine="420"/>
        <w:jc w:val="center"/>
        <w:rPr>
          <w:rFonts w:ascii="Arial" w:hAnsi="Arial" w:cs="Arial"/>
        </w:rPr>
      </w:pPr>
      <w:r>
        <w:rPr>
          <w:rFonts w:ascii="Arial" w:cs="Arial" w:hAnsiTheme="minorEastAsia"/>
        </w:rPr>
        <w:t>第一部分</w:t>
      </w:r>
      <w:r>
        <w:rPr>
          <w:rFonts w:ascii="Arial" w:hAnsi="Arial" w:cs="Arial"/>
        </w:rPr>
        <w:t> </w:t>
      </w:r>
      <w:r>
        <w:rPr>
          <w:rFonts w:ascii="Arial" w:cs="Arial" w:hAnsiTheme="minorEastAsia"/>
        </w:rPr>
        <w:t>部门概况</w:t>
      </w:r>
    </w:p>
    <w:p>
      <w:pPr>
        <w:pStyle w:val="6"/>
        <w:widowControl/>
        <w:spacing w:before="274" w:beforeAutospacing="0" w:after="274" w:afterAutospacing="0" w:line="460" w:lineRule="exact"/>
        <w:ind w:firstLine="420"/>
        <w:rPr>
          <w:rFonts w:ascii="Arial" w:hAnsi="Arial" w:cs="Arial"/>
          <w:b/>
          <w:bCs/>
        </w:rPr>
      </w:pPr>
      <w:r>
        <w:rPr>
          <w:rFonts w:ascii="Arial" w:hAnsi="Arial" w:cs="Arial"/>
          <w:b/>
          <w:bCs/>
        </w:rPr>
        <w:t> </w:t>
      </w:r>
      <w:r>
        <w:rPr>
          <w:rFonts w:ascii="Arial" w:cs="Arial" w:hAnsiTheme="minorEastAsia"/>
          <w:b/>
          <w:bCs/>
        </w:rPr>
        <w:t>一、主要职能职责</w:t>
      </w:r>
    </w:p>
    <w:p>
      <w:pPr>
        <w:pStyle w:val="6"/>
        <w:widowControl/>
        <w:spacing w:before="274" w:beforeAutospacing="0" w:after="274" w:afterAutospacing="0" w:line="460" w:lineRule="exact"/>
        <w:ind w:firstLine="480" w:firstLineChars="200"/>
        <w:rPr>
          <w:rFonts w:hint="eastAsia" w:ascii="Arial" w:cs="Arial" w:hAnsiTheme="minorEastAsia"/>
        </w:rPr>
      </w:pPr>
      <w:r>
        <w:rPr>
          <w:rFonts w:ascii="Arial" w:cs="Arial" w:hAnsiTheme="minorEastAsia"/>
        </w:rPr>
        <w:t>全州县投资促进局贯彻落实党中央、自治区党委、市委和县委关于投资促进工作的方针政策和决策部署，在履行职责过程中坚持和加强党对投资促进工作的集中统一领导。主要职能</w:t>
      </w:r>
      <w:r>
        <w:rPr>
          <w:rFonts w:hint="eastAsia" w:ascii="Arial" w:cs="Arial" w:hAnsiTheme="minorEastAsia"/>
        </w:rPr>
        <w:t>：</w:t>
      </w:r>
    </w:p>
    <w:p>
      <w:pPr>
        <w:pStyle w:val="6"/>
        <w:widowControl/>
        <w:spacing w:before="274" w:beforeAutospacing="0" w:after="274" w:afterAutospacing="0" w:line="460" w:lineRule="exact"/>
        <w:ind w:firstLine="480" w:firstLineChars="200"/>
        <w:rPr>
          <w:rFonts w:hint="eastAsia" w:ascii="Arial" w:hAnsi="Arial" w:cs="Arial"/>
        </w:rPr>
      </w:pPr>
      <w:r>
        <w:rPr>
          <w:rFonts w:hint="eastAsia" w:ascii="Arial" w:cs="Arial" w:hAnsiTheme="minorEastAsia"/>
        </w:rPr>
        <w:t>（1）</w:t>
      </w:r>
      <w:r>
        <w:rPr>
          <w:rFonts w:ascii="Arial" w:cs="Arial" w:hAnsiTheme="minorEastAsia"/>
        </w:rPr>
        <w:t>贯彻执行国家、自治区、桂林市和县有关投资促进和开放招商的方针政策，承担县招商引资工作领导小组办公室日常工作，联系桂林市投资促进工作管理部门，配合乡村振兴工作。</w:t>
      </w:r>
    </w:p>
    <w:p>
      <w:pPr>
        <w:pStyle w:val="6"/>
        <w:widowControl/>
        <w:spacing w:before="274" w:beforeAutospacing="0" w:after="274" w:afterAutospacing="0" w:line="460" w:lineRule="exact"/>
        <w:ind w:firstLine="480" w:firstLineChars="200"/>
        <w:rPr>
          <w:rFonts w:hint="eastAsia" w:ascii="Arial" w:cs="Arial" w:hAnsiTheme="minorEastAsia"/>
        </w:rPr>
      </w:pPr>
      <w:r>
        <w:rPr>
          <w:rFonts w:ascii="Arial" w:hAnsi="Arial" w:cs="Arial"/>
        </w:rPr>
        <w:t xml:space="preserve"> (2</w:t>
      </w:r>
      <w:r>
        <w:rPr>
          <w:rFonts w:ascii="Arial" w:cs="Arial" w:hAnsiTheme="minorEastAsia"/>
        </w:rPr>
        <w:t>）参与研究拟订全县投资促进发展规划、计划及有关政策措施。研究提出全县投资促进目标任务，报县政府批准后分解下达并组织实施。研究、统计、分析全县投资促进工作情况</w:t>
      </w:r>
      <w:r>
        <w:rPr>
          <w:rFonts w:hint="eastAsia" w:ascii="Arial" w:cs="Arial" w:hAnsiTheme="minorEastAsia"/>
        </w:rPr>
        <w:t>。</w:t>
      </w:r>
    </w:p>
    <w:p>
      <w:pPr>
        <w:pStyle w:val="6"/>
        <w:widowControl/>
        <w:spacing w:before="274" w:beforeAutospacing="0" w:after="274" w:afterAutospacing="0" w:line="460" w:lineRule="exact"/>
        <w:ind w:firstLine="480" w:firstLineChars="200"/>
        <w:rPr>
          <w:rFonts w:hint="eastAsia" w:ascii="Arial" w:hAnsi="Arial" w:cs="Arial"/>
        </w:rPr>
      </w:pPr>
      <w:r>
        <w:rPr>
          <w:rFonts w:ascii="Arial" w:hAnsi="Arial" w:cs="Arial"/>
        </w:rPr>
        <w:t xml:space="preserve"> (3</w:t>
      </w:r>
      <w:r>
        <w:rPr>
          <w:rFonts w:ascii="Arial" w:cs="Arial" w:hAnsiTheme="minorEastAsia"/>
        </w:rPr>
        <w:t>）负责调查、研究全县产业招商、产业转移工作情况，组织、参与开展投资促进活动。建立和管理全县重点招商项目库、企业名录库、实施项目库。承担全县招商引资项目储备工作，会同相关行业主管部门策划、包装、推介招商引资项目。</w:t>
      </w:r>
    </w:p>
    <w:p>
      <w:pPr>
        <w:pStyle w:val="6"/>
        <w:widowControl/>
        <w:spacing w:before="274" w:beforeAutospacing="0" w:after="274" w:afterAutospacing="0" w:line="460" w:lineRule="exact"/>
        <w:ind w:firstLine="480" w:firstLineChars="200"/>
        <w:rPr>
          <w:rFonts w:hint="eastAsia" w:ascii="Arial" w:hAnsi="Arial" w:cs="Arial"/>
        </w:rPr>
      </w:pPr>
      <w:r>
        <w:rPr>
          <w:rFonts w:ascii="Arial" w:hAnsi="Arial" w:cs="Arial"/>
        </w:rPr>
        <w:t>(4</w:t>
      </w:r>
      <w:r>
        <w:rPr>
          <w:rFonts w:ascii="Arial" w:cs="Arial" w:hAnsiTheme="minorEastAsia"/>
        </w:rPr>
        <w:t>）指导全县投资促进信息化建设。承担县招商引资绩效考评小组日常工作。</w:t>
      </w:r>
    </w:p>
    <w:p>
      <w:pPr>
        <w:pStyle w:val="6"/>
        <w:widowControl/>
        <w:spacing w:before="274" w:beforeAutospacing="0" w:after="274" w:afterAutospacing="0" w:line="460" w:lineRule="exact"/>
        <w:ind w:firstLine="480" w:firstLineChars="200"/>
        <w:rPr>
          <w:rFonts w:hint="eastAsia" w:ascii="Arial" w:hAnsi="Arial" w:cs="Arial"/>
        </w:rPr>
      </w:pPr>
      <w:r>
        <w:rPr>
          <w:rFonts w:ascii="Arial" w:hAnsi="Arial" w:cs="Arial"/>
        </w:rPr>
        <w:t>(5</w:t>
      </w:r>
      <w:r>
        <w:rPr>
          <w:rFonts w:ascii="Arial" w:cs="Arial" w:hAnsiTheme="minorEastAsia"/>
        </w:rPr>
        <w:t>）承担策划、组织实施全县性重大及专题投资促进活动，开展全县产业招商工作，参与中国</w:t>
      </w:r>
      <w:r>
        <w:rPr>
          <w:rFonts w:hint="eastAsia" w:ascii="Arial" w:cs="Arial" w:hAnsiTheme="minorEastAsia"/>
        </w:rPr>
        <w:t>-</w:t>
      </w:r>
      <w:r>
        <w:rPr>
          <w:rFonts w:ascii="Arial" w:cs="Arial" w:hAnsiTheme="minorEastAsia"/>
        </w:rPr>
        <w:t>东盟博览会投资促进等工作，接洽国（境）内外来访的重要投资考察团组及客商。组织参与全县国（境）内外重要招商引资项目的洽谈、签约、跟踪、服务工作。</w:t>
      </w:r>
    </w:p>
    <w:p>
      <w:pPr>
        <w:pStyle w:val="6"/>
        <w:widowControl/>
        <w:spacing w:before="274" w:beforeAutospacing="0" w:after="274" w:afterAutospacing="0" w:line="460" w:lineRule="exact"/>
        <w:ind w:firstLine="480" w:firstLineChars="200"/>
        <w:rPr>
          <w:rFonts w:hint="eastAsia" w:ascii="Arial" w:hAnsi="Arial" w:cs="Arial"/>
        </w:rPr>
      </w:pPr>
      <w:r>
        <w:rPr>
          <w:rFonts w:ascii="Arial" w:hAnsi="Arial" w:cs="Arial"/>
        </w:rPr>
        <w:t>(6</w:t>
      </w:r>
      <w:r>
        <w:rPr>
          <w:rFonts w:ascii="Arial" w:cs="Arial" w:hAnsiTheme="minorEastAsia"/>
        </w:rPr>
        <w:t>）参与做好全县营商环境建设的有关工作，按照相关规定会同开展全县营商环境建设工作专项检查督查。承担县招商引资重点项目协调服务工作。联系指导全县建立招商引资项目代办服务工作。受理涉及全县营商环境建设投诉举报，对投诉举报事项进行分析调查，协调督促相关部门办理。</w:t>
      </w:r>
    </w:p>
    <w:p>
      <w:pPr>
        <w:pStyle w:val="6"/>
        <w:widowControl/>
        <w:spacing w:before="274" w:beforeAutospacing="0" w:after="274" w:afterAutospacing="0" w:line="460" w:lineRule="exact"/>
        <w:ind w:firstLine="480" w:firstLineChars="200"/>
        <w:rPr>
          <w:rFonts w:hint="eastAsia" w:ascii="Arial" w:hAnsi="Arial" w:cs="Arial"/>
        </w:rPr>
      </w:pPr>
      <w:r>
        <w:rPr>
          <w:rFonts w:ascii="Arial" w:hAnsi="Arial" w:cs="Arial"/>
        </w:rPr>
        <w:t>(7</w:t>
      </w:r>
      <w:r>
        <w:rPr>
          <w:rFonts w:ascii="Arial" w:cs="Arial" w:hAnsiTheme="minorEastAsia"/>
        </w:rPr>
        <w:t>）协调、服务非公有制经济发展，提供有关咨询。组织开展国（境）内外各类重要展会投资促进工作。</w:t>
      </w:r>
    </w:p>
    <w:p>
      <w:pPr>
        <w:pStyle w:val="6"/>
        <w:widowControl/>
        <w:spacing w:before="274" w:beforeAutospacing="0" w:after="274" w:afterAutospacing="0" w:line="460" w:lineRule="exact"/>
        <w:ind w:firstLine="480" w:firstLineChars="200"/>
        <w:rPr>
          <w:rFonts w:hint="eastAsia" w:ascii="Arial" w:hAnsi="Arial" w:cs="Arial"/>
        </w:rPr>
      </w:pPr>
      <w:r>
        <w:rPr>
          <w:rFonts w:ascii="Arial" w:hAnsi="Arial" w:cs="Arial"/>
        </w:rPr>
        <w:t>(8</w:t>
      </w:r>
      <w:r>
        <w:rPr>
          <w:rFonts w:ascii="Arial" w:cs="Arial" w:hAnsiTheme="minorEastAsia"/>
        </w:rPr>
        <w:t>）负责联系和管理驻外招商办事处、代表处，开展投资促进推广和委托招商工作。建立与国（境）内外投资促进机构、商（协）会专业机构的工作联系，构建完善招商引资网络，协调商（协）会组织开展投资促进、以商引商活动。联系、协调、指导驻全州异地商（协）会业务工作。</w:t>
      </w:r>
    </w:p>
    <w:p>
      <w:pPr>
        <w:pStyle w:val="6"/>
        <w:widowControl/>
        <w:spacing w:before="274" w:beforeAutospacing="0" w:after="274" w:afterAutospacing="0" w:line="460" w:lineRule="exact"/>
        <w:ind w:firstLine="480" w:firstLineChars="200"/>
        <w:rPr>
          <w:rFonts w:hint="eastAsia" w:ascii="Arial" w:hAnsi="Arial" w:cs="Arial"/>
        </w:rPr>
      </w:pPr>
      <w:r>
        <w:rPr>
          <w:rFonts w:ascii="Arial" w:cs="Arial" w:hAnsiTheme="minorEastAsia"/>
        </w:rPr>
        <w:t>（</w:t>
      </w:r>
      <w:r>
        <w:rPr>
          <w:rFonts w:ascii="Arial" w:hAnsi="Arial" w:cs="Arial"/>
        </w:rPr>
        <w:t>9</w:t>
      </w:r>
      <w:r>
        <w:rPr>
          <w:rFonts w:ascii="Arial" w:cs="Arial" w:hAnsiTheme="minorEastAsia"/>
        </w:rPr>
        <w:t>）成品油管理、再生资源管理、限上企业培育、社会消费品零售总额、快递物流、商业体系建设等商贸工作。</w:t>
      </w:r>
    </w:p>
    <w:p>
      <w:pPr>
        <w:pStyle w:val="6"/>
        <w:widowControl/>
        <w:spacing w:before="274" w:beforeAutospacing="0" w:after="274" w:afterAutospacing="0" w:line="460" w:lineRule="exact"/>
        <w:ind w:firstLine="480" w:firstLineChars="200"/>
        <w:rPr>
          <w:rFonts w:ascii="Arial" w:hAnsi="Arial" w:cs="Arial"/>
        </w:rPr>
      </w:pPr>
      <w:r>
        <w:rPr>
          <w:rFonts w:ascii="Arial" w:hAnsi="Arial" w:cs="Arial"/>
        </w:rPr>
        <w:t xml:space="preserve"> (10</w:t>
      </w:r>
      <w:r>
        <w:rPr>
          <w:rFonts w:ascii="Arial" w:cs="Arial" w:hAnsiTheme="minorEastAsia"/>
        </w:rPr>
        <w:t>）完成县委、县政府交办的其他任务。</w:t>
      </w:r>
    </w:p>
    <w:p>
      <w:pPr>
        <w:pStyle w:val="6"/>
        <w:widowControl/>
        <w:spacing w:afterAutospacing="0" w:line="460" w:lineRule="exact"/>
        <w:rPr>
          <w:rFonts w:ascii="Arial" w:hAnsi="Arial" w:cs="Arial"/>
          <w:b/>
          <w:bCs/>
        </w:rPr>
      </w:pPr>
      <w:r>
        <w:rPr>
          <w:rFonts w:ascii="Arial" w:hAnsi="Arial" w:cs="Arial"/>
        </w:rPr>
        <w:t>   </w:t>
      </w:r>
      <w:r>
        <w:rPr>
          <w:rFonts w:ascii="Arial" w:hAnsi="Arial" w:cs="Arial"/>
          <w:b/>
          <w:bCs/>
        </w:rPr>
        <w:t> </w:t>
      </w:r>
      <w:r>
        <w:rPr>
          <w:rFonts w:ascii="Arial" w:cs="Arial" w:hAnsiTheme="minorEastAsia"/>
          <w:b/>
          <w:bCs/>
        </w:rPr>
        <w:t>二、机构设置（本级和二层单位构成）</w:t>
      </w:r>
    </w:p>
    <w:p>
      <w:pPr>
        <w:spacing w:line="460" w:lineRule="exact"/>
        <w:ind w:firstLine="480" w:firstLineChars="200"/>
        <w:rPr>
          <w:rFonts w:ascii="Arial" w:hAnsi="Arial" w:cs="Arial"/>
          <w:sz w:val="24"/>
          <w:szCs w:val="24"/>
        </w:rPr>
      </w:pPr>
      <w:r>
        <w:rPr>
          <w:rFonts w:ascii="Arial" w:cs="Arial" w:hAnsiTheme="minorEastAsia"/>
          <w:sz w:val="24"/>
          <w:szCs w:val="24"/>
        </w:rPr>
        <w:t>我局部门预算编制单位共</w:t>
      </w:r>
      <w:r>
        <w:rPr>
          <w:rFonts w:ascii="Arial" w:hAnsi="Arial" w:cs="Arial"/>
          <w:sz w:val="24"/>
          <w:szCs w:val="24"/>
        </w:rPr>
        <w:t xml:space="preserve"> 1</w:t>
      </w:r>
      <w:r>
        <w:rPr>
          <w:rFonts w:ascii="Arial" w:cs="Arial" w:hAnsiTheme="minorEastAsia"/>
          <w:sz w:val="24"/>
          <w:szCs w:val="24"/>
        </w:rPr>
        <w:t>个，具体如下：</w:t>
      </w:r>
    </w:p>
    <w:p>
      <w:pPr>
        <w:spacing w:line="460" w:lineRule="exact"/>
        <w:ind w:firstLine="420"/>
        <w:rPr>
          <w:rFonts w:ascii="Arial" w:hAnsi="Arial" w:cs="Arial"/>
          <w:color w:val="FF0000"/>
          <w:sz w:val="24"/>
          <w:szCs w:val="24"/>
        </w:rPr>
      </w:pPr>
      <w:r>
        <w:rPr>
          <w:rFonts w:ascii="Arial" w:cs="Arial" w:hAnsiTheme="minorEastAsia"/>
          <w:sz w:val="24"/>
          <w:szCs w:val="24"/>
        </w:rPr>
        <w:t>参公事业单位</w:t>
      </w:r>
      <w:r>
        <w:rPr>
          <w:rFonts w:ascii="Arial" w:hAnsi="Arial" w:cs="Arial"/>
          <w:sz w:val="24"/>
          <w:szCs w:val="24"/>
        </w:rPr>
        <w:t xml:space="preserve"> 1</w:t>
      </w:r>
      <w:r>
        <w:rPr>
          <w:rFonts w:ascii="Arial" w:cs="Arial" w:hAnsiTheme="minorEastAsia"/>
          <w:sz w:val="24"/>
          <w:szCs w:val="24"/>
        </w:rPr>
        <w:t>个，即：全州县投资促进局</w:t>
      </w:r>
    </w:p>
    <w:p>
      <w:pPr>
        <w:pStyle w:val="6"/>
        <w:widowControl/>
        <w:spacing w:afterAutospacing="0" w:line="460" w:lineRule="exact"/>
        <w:rPr>
          <w:rFonts w:ascii="Arial" w:hAnsi="Arial" w:cs="Arial"/>
          <w:b/>
          <w:bCs/>
        </w:rPr>
      </w:pPr>
      <w:r>
        <w:rPr>
          <w:rFonts w:ascii="Arial" w:hAnsi="Arial" w:cs="Arial"/>
        </w:rPr>
        <w:t>    </w:t>
      </w:r>
      <w:r>
        <w:rPr>
          <w:rFonts w:ascii="Arial" w:cs="Arial" w:hAnsiTheme="minorEastAsia"/>
          <w:b/>
          <w:bCs/>
        </w:rPr>
        <w:t>三、编制现状及人员构成（本级和二层单位）</w:t>
      </w:r>
    </w:p>
    <w:p>
      <w:pPr>
        <w:pStyle w:val="6"/>
        <w:widowControl/>
        <w:spacing w:beforeAutospacing="0" w:afterAutospacing="0" w:line="460" w:lineRule="exact"/>
        <w:ind w:firstLine="480" w:firstLineChars="200"/>
        <w:rPr>
          <w:rFonts w:ascii="Arial" w:hAnsi="Arial" w:cs="Arial"/>
        </w:rPr>
      </w:pPr>
      <w:r>
        <w:rPr>
          <w:rFonts w:ascii="Arial" w:cs="Arial" w:hAnsiTheme="minorEastAsia"/>
        </w:rPr>
        <w:t>根据《全州县投资促进中心职能配置、内设机构和人员编制规定》，核定编制</w:t>
      </w:r>
      <w:r>
        <w:rPr>
          <w:rFonts w:ascii="Arial" w:hAnsi="Arial" w:cs="Arial"/>
        </w:rPr>
        <w:t>10</w:t>
      </w:r>
      <w:r>
        <w:rPr>
          <w:rFonts w:ascii="Arial" w:cs="Arial" w:hAnsiTheme="minorEastAsia"/>
        </w:rPr>
        <w:t>名，其中：行政编制（含参公单位）</w:t>
      </w:r>
      <w:r>
        <w:rPr>
          <w:rFonts w:ascii="Arial" w:hAnsi="Arial" w:cs="Arial"/>
        </w:rPr>
        <w:t>10</w:t>
      </w:r>
      <w:r>
        <w:rPr>
          <w:rFonts w:ascii="Arial" w:cs="Arial" w:hAnsiTheme="minorEastAsia"/>
        </w:rPr>
        <w:t>人。编内在职</w:t>
      </w:r>
      <w:r>
        <w:rPr>
          <w:rFonts w:ascii="Arial" w:hAnsi="Arial" w:cs="Arial"/>
        </w:rPr>
        <w:t>7</w:t>
      </w:r>
      <w:r>
        <w:rPr>
          <w:rFonts w:ascii="Arial" w:cs="Arial" w:hAnsiTheme="minorEastAsia"/>
        </w:rPr>
        <w:t>人，其中：行政在职（含参公单位）</w:t>
      </w:r>
      <w:r>
        <w:rPr>
          <w:rFonts w:ascii="Arial" w:hAnsi="Arial" w:cs="Arial"/>
        </w:rPr>
        <w:t>7</w:t>
      </w:r>
      <w:r>
        <w:rPr>
          <w:rFonts w:ascii="Arial" w:cs="Arial" w:hAnsiTheme="minorEastAsia"/>
        </w:rPr>
        <w:t>人。退休人员</w:t>
      </w:r>
      <w:r>
        <w:rPr>
          <w:rFonts w:ascii="Arial" w:hAnsi="Arial" w:cs="Arial"/>
        </w:rPr>
        <w:t>1</w:t>
      </w:r>
      <w:r>
        <w:rPr>
          <w:rFonts w:ascii="Arial" w:cs="Arial" w:hAnsiTheme="minorEastAsia"/>
        </w:rPr>
        <w:t>人。内设</w:t>
      </w:r>
      <w:r>
        <w:rPr>
          <w:rFonts w:ascii="Arial" w:hAnsi="Arial" w:cs="Arial"/>
        </w:rPr>
        <w:t>4</w:t>
      </w:r>
      <w:r>
        <w:rPr>
          <w:rFonts w:ascii="Arial" w:cs="Arial" w:hAnsiTheme="minorEastAsia"/>
        </w:rPr>
        <w:t>股</w:t>
      </w:r>
      <w:r>
        <w:rPr>
          <w:rFonts w:ascii="Arial" w:hAnsi="Arial" w:cs="Arial"/>
        </w:rPr>
        <w:t>1</w:t>
      </w:r>
      <w:r>
        <w:rPr>
          <w:rFonts w:ascii="Arial" w:cs="Arial" w:hAnsiTheme="minorEastAsia"/>
        </w:rPr>
        <w:t>室，即办公室、政策研究和信息股、投资促进股、项目协调服务股、非公经济服务股。</w:t>
      </w:r>
    </w:p>
    <w:p>
      <w:pPr>
        <w:pStyle w:val="6"/>
        <w:widowControl/>
        <w:spacing w:before="150" w:beforeAutospacing="0" w:after="150" w:afterAutospacing="0" w:line="460" w:lineRule="exact"/>
        <w:ind w:firstLine="420"/>
        <w:rPr>
          <w:rFonts w:ascii="Arial" w:hAnsi="Arial" w:cs="Arial"/>
          <w:b/>
          <w:bCs/>
        </w:rPr>
      </w:pPr>
      <w:r>
        <w:rPr>
          <w:rFonts w:ascii="Arial" w:cs="Arial" w:hAnsiTheme="minorEastAsia"/>
          <w:b/>
          <w:bCs/>
        </w:rPr>
        <w:t>四、年度主要工作任务</w:t>
      </w:r>
    </w:p>
    <w:p>
      <w:pPr>
        <w:spacing w:line="460" w:lineRule="exact"/>
        <w:ind w:firstLine="480" w:firstLineChars="200"/>
        <w:rPr>
          <w:rFonts w:ascii="Arial" w:hAnsi="Arial" w:cs="Arial"/>
          <w:sz w:val="24"/>
          <w:szCs w:val="24"/>
        </w:rPr>
      </w:pPr>
      <w:r>
        <w:rPr>
          <w:rFonts w:ascii="Arial" w:cs="Arial" w:hAnsiTheme="minorEastAsia"/>
          <w:sz w:val="24"/>
          <w:szCs w:val="24"/>
        </w:rPr>
        <w:t>按照县委、县政府的工作部署，抓住疫情放开，经济复苏关口期，早谋划、早启动，争取招商引资工作取得新的突破。</w:t>
      </w:r>
    </w:p>
    <w:p>
      <w:pPr>
        <w:spacing w:line="460" w:lineRule="exact"/>
        <w:ind w:firstLine="482" w:firstLineChars="200"/>
        <w:rPr>
          <w:rFonts w:ascii="Arial" w:hAnsi="Arial" w:cs="Arial"/>
          <w:sz w:val="24"/>
          <w:szCs w:val="24"/>
        </w:rPr>
      </w:pPr>
      <w:r>
        <w:rPr>
          <w:rFonts w:ascii="Arial" w:cs="Arial" w:hAnsiTheme="minorEastAsia"/>
          <w:b/>
          <w:bCs/>
          <w:sz w:val="24"/>
          <w:szCs w:val="24"/>
        </w:rPr>
        <w:t>（一）重点抓好工业招商。</w:t>
      </w:r>
      <w:r>
        <w:rPr>
          <w:rFonts w:ascii="Arial" w:cs="Arial" w:hAnsiTheme="minorEastAsia"/>
          <w:sz w:val="24"/>
          <w:szCs w:val="24"/>
        </w:rPr>
        <w:t>我县围绕已出台的《</w:t>
      </w:r>
      <w:r>
        <w:rPr>
          <w:rFonts w:ascii="Arial" w:hAnsi="Arial" w:cs="Arial"/>
          <w:sz w:val="24"/>
          <w:szCs w:val="24"/>
        </w:rPr>
        <w:t>2022</w:t>
      </w:r>
      <w:r>
        <w:rPr>
          <w:rFonts w:ascii="Arial" w:cs="Arial" w:hAnsiTheme="minorEastAsia"/>
          <w:sz w:val="24"/>
          <w:szCs w:val="24"/>
        </w:rPr>
        <w:t>年全州县工业招商十条激励办法》政策狠抓落实，充分发挥园区招商的载体作用，着力引进一批科技含量高、经济效益好、资源消耗少、环境影响小、带队力强的项目，推动工业招商出成效。</w:t>
      </w:r>
    </w:p>
    <w:p>
      <w:pPr>
        <w:pStyle w:val="2"/>
        <w:spacing w:line="460" w:lineRule="exact"/>
        <w:ind w:firstLine="482" w:firstLineChars="200"/>
        <w:rPr>
          <w:rFonts w:ascii="Arial" w:hAnsi="Arial" w:cs="Arial"/>
          <w:sz w:val="24"/>
          <w:szCs w:val="24"/>
        </w:rPr>
      </w:pPr>
      <w:r>
        <w:rPr>
          <w:rFonts w:ascii="Arial" w:cs="Arial" w:hAnsiTheme="minorEastAsia"/>
          <w:b/>
          <w:bCs/>
          <w:sz w:val="24"/>
          <w:szCs w:val="24"/>
        </w:rPr>
        <w:t>（二）常态化开展驻点招商工作。</w:t>
      </w:r>
      <w:r>
        <w:rPr>
          <w:rFonts w:ascii="Arial" w:hAnsi="Arial" w:cs="Arial"/>
          <w:sz w:val="24"/>
          <w:szCs w:val="24"/>
        </w:rPr>
        <w:t>1.</w:t>
      </w:r>
      <w:r>
        <w:rPr>
          <w:rFonts w:ascii="Arial" w:cs="Arial" w:hAnsiTheme="minorEastAsia"/>
          <w:sz w:val="24"/>
          <w:szCs w:val="24"/>
        </w:rPr>
        <w:t>围绕全州重点产业招商，强化成效落实，进一步加强针对性拜访对接企业和商协会，按照产业政策导向和产业规划布局，瞄准重大项目招商。前方对接联络、推介宣传，后方资源共享，合力配合，争取推动落地一批好项目、大项目。</w:t>
      </w:r>
      <w:r>
        <w:rPr>
          <w:rFonts w:ascii="Arial" w:hAnsi="Arial" w:cs="Arial"/>
          <w:sz w:val="24"/>
          <w:szCs w:val="24"/>
        </w:rPr>
        <w:t>2.</w:t>
      </w:r>
      <w:r>
        <w:rPr>
          <w:rFonts w:ascii="Arial" w:cs="Arial" w:hAnsiTheme="minorEastAsia"/>
          <w:sz w:val="24"/>
          <w:szCs w:val="24"/>
        </w:rPr>
        <w:t>以广东为中心，拓展周边资源，驻点队员在广东资源接近枯竭，通过在广东举办推介会，参加广东本土商业活动等方式拓展资源，扩大招商面和招商成功率。</w:t>
      </w:r>
    </w:p>
    <w:p>
      <w:pPr>
        <w:spacing w:line="460" w:lineRule="exact"/>
        <w:ind w:firstLine="482" w:firstLineChars="200"/>
        <w:rPr>
          <w:rFonts w:ascii="Arial" w:cs="Arial" w:hAnsiTheme="minorEastAsia"/>
          <w:sz w:val="24"/>
          <w:szCs w:val="24"/>
        </w:rPr>
      </w:pPr>
      <w:r>
        <w:rPr>
          <w:rFonts w:ascii="Arial" w:cs="Arial" w:hAnsiTheme="minorEastAsia"/>
          <w:b/>
          <w:bCs/>
          <w:sz w:val="24"/>
          <w:szCs w:val="24"/>
        </w:rPr>
        <w:t>（三）精准策划包装一批新项目。一是</w:t>
      </w:r>
      <w:r>
        <w:rPr>
          <w:rFonts w:ascii="Arial" w:cs="Arial" w:hAnsiTheme="minorEastAsia"/>
          <w:sz w:val="24"/>
          <w:szCs w:val="24"/>
        </w:rPr>
        <w:t>针对粤港澳大湾区、京津冀、长江经济带等发达地区产业转移，精心策划包装涵盖新能源、高端装备制造、化工新材料等领域工业招商项目。</w:t>
      </w:r>
      <w:r>
        <w:rPr>
          <w:rFonts w:ascii="Arial" w:cs="Arial" w:hAnsiTheme="minorEastAsia"/>
          <w:b/>
          <w:bCs/>
          <w:sz w:val="24"/>
          <w:szCs w:val="24"/>
        </w:rPr>
        <w:t>二是</w:t>
      </w:r>
      <w:r>
        <w:rPr>
          <w:rFonts w:ascii="Arial" w:cs="Arial" w:hAnsiTheme="minorEastAsia"/>
          <w:sz w:val="24"/>
          <w:szCs w:val="24"/>
        </w:rPr>
        <w:t>充分利用农产品资源、红色旅游资源、全州佛教文化和高山草原等差异化旅游资源，精心包装农业、红色旅游和大健康产业类招商项目，增强农业、旅游招商针对性。</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ascii="Arial" w:cs="Arial" w:hAnsiTheme="minorEastAsia" w:eastAsiaTheme="minorEastAsia"/>
          <w:b w:val="0"/>
          <w:bCs w:val="0"/>
          <w:kern w:val="2"/>
          <w:sz w:val="24"/>
          <w:szCs w:val="24"/>
          <w:lang w:val="en-US" w:eastAsia="zh-CN" w:bidi="ar-SA"/>
        </w:rPr>
      </w:pPr>
      <w:r>
        <w:rPr>
          <w:rFonts w:ascii="Arial" w:cs="Arial" w:hAnsiTheme="minorEastAsia" w:eastAsiaTheme="minorEastAsia"/>
          <w:b/>
          <w:bCs/>
          <w:kern w:val="2"/>
          <w:sz w:val="24"/>
          <w:szCs w:val="24"/>
          <w:lang w:val="en-US" w:eastAsia="zh-CN" w:bidi="ar-SA"/>
        </w:rPr>
        <w:t>（四）夯实招商队伍。</w:t>
      </w:r>
      <w:r>
        <w:rPr>
          <w:rFonts w:ascii="Arial" w:cs="Arial" w:hAnsiTheme="minorEastAsia" w:eastAsiaTheme="minorEastAsia"/>
          <w:b w:val="0"/>
          <w:bCs w:val="0"/>
          <w:kern w:val="2"/>
          <w:sz w:val="24"/>
          <w:szCs w:val="24"/>
          <w:lang w:val="en-US" w:eastAsia="zh-CN" w:bidi="ar-SA"/>
        </w:rPr>
        <w:t>一是补充我局缺编人数，引进和培养熟悉产业经济、掌握投资政策、通晓商务惯例、精通项目谈判的招商引资人才。二是收集“全州县招商特派员”和“全州县招商顾问”，充实资源库，扩展招商资源，助力常态化驻点招商等工作取得实效。三是加强驻点招商队伍组建、人员业务培训，着力打造一支政治思想过硬，专业能力较强的招商引资工作队伍。</w:t>
      </w:r>
    </w:p>
    <w:p>
      <w:pPr>
        <w:pStyle w:val="6"/>
        <w:widowControl/>
        <w:spacing w:before="150" w:beforeAutospacing="0" w:after="150" w:afterAutospacing="0" w:line="460" w:lineRule="exact"/>
        <w:ind w:firstLine="420"/>
        <w:jc w:val="center"/>
        <w:rPr>
          <w:rFonts w:ascii="Arial" w:hAnsi="Arial" w:cs="Arial"/>
          <w:b/>
          <w:bCs/>
        </w:rPr>
      </w:pPr>
      <w:r>
        <w:rPr>
          <w:rFonts w:ascii="Arial" w:cs="Arial" w:hAnsiTheme="minorEastAsia"/>
          <w:b/>
          <w:bCs/>
        </w:rPr>
        <w:t>第二部分</w:t>
      </w:r>
      <w:r>
        <w:rPr>
          <w:rFonts w:ascii="Arial" w:hAnsi="Arial" w:cs="Arial"/>
          <w:b/>
          <w:bCs/>
        </w:rPr>
        <w:t> </w:t>
      </w:r>
      <w:r>
        <w:rPr>
          <w:rFonts w:ascii="Arial" w:cs="Arial" w:hAnsiTheme="minorEastAsia"/>
          <w:b/>
          <w:bCs/>
        </w:rPr>
        <w:t>部门预算报表</w:t>
      </w:r>
    </w:p>
    <w:p>
      <w:pPr>
        <w:pStyle w:val="6"/>
        <w:widowControl/>
        <w:spacing w:before="150" w:beforeAutospacing="0" w:after="150" w:afterAutospacing="0" w:line="460" w:lineRule="exact"/>
        <w:ind w:firstLine="420"/>
        <w:jc w:val="center"/>
        <w:rPr>
          <w:rFonts w:ascii="Arial" w:hAnsi="Arial" w:cs="Arial"/>
        </w:rPr>
      </w:pPr>
      <w:r>
        <w:rPr>
          <w:rFonts w:ascii="Arial" w:hAnsi="Arial" w:cs="Arial"/>
        </w:rPr>
        <w:t>( </w:t>
      </w:r>
      <w:r>
        <w:rPr>
          <w:rFonts w:ascii="Arial" w:cs="Arial" w:hAnsiTheme="minorEastAsia"/>
        </w:rPr>
        <w:t>详见附表</w:t>
      </w:r>
      <w:r>
        <w:rPr>
          <w:rFonts w:ascii="Arial" w:hAnsi="Arial" w:cs="Arial"/>
        </w:rPr>
        <w:t>)</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一、部门收支总体情况表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二、部门收入总体情况表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三、部门支出总体情况表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四、财政拨款收支总体情况表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五、一般公共预算支出情况表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六、一般公共预算基本支出情况表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七、财政拨款三公两费支出情况表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八、政府性基金预算支出情况表</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九、国有资本经营预算支出情况表</w:t>
      </w:r>
    </w:p>
    <w:p>
      <w:pPr>
        <w:pStyle w:val="6"/>
        <w:widowControl/>
        <w:spacing w:before="150" w:beforeAutospacing="0" w:after="150" w:afterAutospacing="0" w:line="460" w:lineRule="exact"/>
        <w:ind w:firstLine="420"/>
        <w:jc w:val="center"/>
        <w:rPr>
          <w:rFonts w:ascii="Arial" w:hAnsi="Arial" w:cs="Arial"/>
        </w:rPr>
      </w:pPr>
      <w:r>
        <w:rPr>
          <w:rFonts w:ascii="Arial" w:cs="Arial" w:hAnsiTheme="minorEastAsia"/>
        </w:rPr>
        <w:t>第三部分</w:t>
      </w:r>
      <w:r>
        <w:rPr>
          <w:rFonts w:ascii="Arial" w:hAnsi="Arial" w:cs="Arial"/>
        </w:rPr>
        <w:t xml:space="preserve">  2023</w:t>
      </w:r>
      <w:r>
        <w:rPr>
          <w:rFonts w:ascii="Arial" w:cs="Arial" w:hAnsiTheme="minorEastAsia"/>
        </w:rPr>
        <w:t>年部门预算情况说明</w:t>
      </w:r>
    </w:p>
    <w:p>
      <w:pPr>
        <w:pStyle w:val="6"/>
        <w:widowControl/>
        <w:spacing w:before="150" w:beforeAutospacing="0" w:after="150" w:afterAutospacing="0" w:line="460" w:lineRule="exact"/>
        <w:ind w:firstLine="723" w:firstLineChars="300"/>
        <w:rPr>
          <w:rFonts w:ascii="Arial" w:hAnsi="Arial" w:cs="Arial"/>
          <w:b/>
          <w:bCs/>
        </w:rPr>
      </w:pPr>
      <w:r>
        <w:rPr>
          <w:rFonts w:ascii="Arial" w:cs="Arial" w:hAnsiTheme="minorEastAsia"/>
          <w:b/>
          <w:bCs/>
        </w:rPr>
        <w:t>一、部门收支总体情况说明</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w:t>
      </w:r>
      <w:r>
        <w:rPr>
          <w:rFonts w:ascii="Arial" w:cs="Arial" w:hAnsiTheme="minorEastAsia"/>
        </w:rPr>
        <w:t>一</w:t>
      </w:r>
      <w:r>
        <w:rPr>
          <w:rFonts w:ascii="Arial" w:hAnsi="Arial" w:cs="Arial"/>
        </w:rPr>
        <w:t>)</w:t>
      </w:r>
      <w:r>
        <w:rPr>
          <w:rFonts w:ascii="Arial" w:cs="Arial" w:hAnsiTheme="minorEastAsia"/>
        </w:rPr>
        <w:t>收入预算说明</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2023</w:t>
      </w:r>
      <w:r>
        <w:rPr>
          <w:rFonts w:ascii="Arial" w:cs="Arial" w:hAnsiTheme="minorEastAsia"/>
        </w:rPr>
        <w:t>年收入总预算</w:t>
      </w:r>
      <w:r>
        <w:rPr>
          <w:rFonts w:ascii="Arial" w:hAnsi="Arial" w:cs="Arial"/>
        </w:rPr>
        <w:t>157.63</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55.53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54.39 %,</w:t>
      </w:r>
      <w:r>
        <w:rPr>
          <w:rFonts w:ascii="Arial" w:cs="Arial" w:hAnsiTheme="minorEastAsia"/>
        </w:rPr>
        <w:t>其中</w:t>
      </w:r>
      <w:r>
        <w:rPr>
          <w:rFonts w:ascii="Arial" w:hAnsi="Arial" w:cs="Arial"/>
        </w:rPr>
        <w:t>:</w:t>
      </w:r>
      <w:r>
        <w:rPr>
          <w:rFonts w:ascii="Arial" w:cs="Arial" w:hAnsiTheme="minorEastAsia"/>
        </w:rPr>
        <w:t>一般公共预算拨款</w:t>
      </w:r>
      <w:r>
        <w:rPr>
          <w:rFonts w:ascii="Arial" w:hAnsi="Arial" w:cs="Arial"/>
        </w:rPr>
        <w:t>127.36</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80.8%,</w:t>
      </w:r>
      <w:r>
        <w:rPr>
          <w:rFonts w:ascii="Arial" w:cs="Arial" w:hAnsiTheme="minorEastAsia"/>
        </w:rPr>
        <w:t>同比增加</w:t>
      </w:r>
      <w:r>
        <w:rPr>
          <w:rFonts w:ascii="Arial" w:hAnsi="Arial" w:cs="Arial"/>
        </w:rPr>
        <w:t>25.26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24.74%;</w:t>
      </w:r>
      <w:r>
        <w:rPr>
          <w:rFonts w:ascii="Arial" w:cs="Arial" w:hAnsiTheme="minorEastAsia"/>
        </w:rPr>
        <w:t>政府性基金拨款</w:t>
      </w:r>
      <w:r>
        <w:rPr>
          <w:rFonts w:ascii="Arial" w:hAnsi="Arial" w:cs="Arial"/>
        </w:rPr>
        <w:t>0</w:t>
      </w:r>
      <w:r>
        <w:rPr>
          <w:rFonts w:ascii="Arial" w:cs="Arial" w:hAnsiTheme="minorEastAsia"/>
        </w:rPr>
        <w:t>万元，与去年相同。</w:t>
      </w:r>
    </w:p>
    <w:p>
      <w:pPr>
        <w:pStyle w:val="6"/>
        <w:widowControl/>
        <w:spacing w:before="150" w:beforeAutospacing="0" w:after="150" w:afterAutospacing="0" w:line="460" w:lineRule="exact"/>
        <w:ind w:firstLine="720" w:firstLineChars="300"/>
        <w:rPr>
          <w:rFonts w:ascii="Arial" w:hAnsi="Arial" w:cs="Arial"/>
        </w:rPr>
      </w:pPr>
      <w:r>
        <w:rPr>
          <w:rFonts w:ascii="Arial" w:cs="Arial" w:hAnsiTheme="minorEastAsia"/>
        </w:rPr>
        <w:t>收入预算总体增加的主要原因</w:t>
      </w:r>
      <w:r>
        <w:rPr>
          <w:rFonts w:ascii="Arial" w:hAnsi="Arial" w:cs="Arial"/>
        </w:rPr>
        <w:t>:</w:t>
      </w:r>
      <w:r>
        <w:rPr>
          <w:rFonts w:ascii="Arial" w:cs="Arial" w:hAnsiTheme="minorEastAsia"/>
        </w:rPr>
        <w:t>项目经费增加，人员增加，工资上调。</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w:t>
      </w:r>
      <w:r>
        <w:rPr>
          <w:rFonts w:ascii="Arial" w:cs="Arial" w:hAnsiTheme="minorEastAsia"/>
        </w:rPr>
        <w:t>二</w:t>
      </w:r>
      <w:r>
        <w:rPr>
          <w:rFonts w:ascii="Arial" w:hAnsi="Arial" w:cs="Arial"/>
        </w:rPr>
        <w:t>)</w:t>
      </w:r>
      <w:r>
        <w:rPr>
          <w:rFonts w:ascii="Arial" w:cs="Arial" w:hAnsiTheme="minorEastAsia"/>
        </w:rPr>
        <w:t>支出预算说明</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2023</w:t>
      </w:r>
      <w:r>
        <w:rPr>
          <w:rFonts w:ascii="Arial" w:cs="Arial" w:hAnsiTheme="minorEastAsia"/>
        </w:rPr>
        <w:t>年支出总预算</w:t>
      </w:r>
      <w:r>
        <w:rPr>
          <w:rFonts w:ascii="Arial" w:hAnsi="Arial" w:cs="Arial"/>
        </w:rPr>
        <w:t>157.63</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55.53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54.39%</w:t>
      </w:r>
      <w:r>
        <w:rPr>
          <w:rFonts w:ascii="Arial" w:cs="Arial" w:hAnsiTheme="minorEastAsia"/>
        </w:rPr>
        <w:t>。</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1</w:t>
      </w:r>
      <w:r>
        <w:rPr>
          <w:rFonts w:ascii="Arial" w:cs="Arial" w:hAnsiTheme="minorEastAsia"/>
        </w:rPr>
        <w:t>、按支出功能分类科目划分</w:t>
      </w:r>
      <w:r>
        <w:rPr>
          <w:rFonts w:ascii="Arial" w:hAnsi="Arial" w:cs="Arial"/>
        </w:rPr>
        <w:t>,</w:t>
      </w:r>
      <w:r>
        <w:rPr>
          <w:rFonts w:ascii="Arial" w:cs="Arial" w:hAnsiTheme="minorEastAsia"/>
        </w:rPr>
        <w:t>共分为</w:t>
      </w:r>
      <w:r>
        <w:rPr>
          <w:rFonts w:ascii="Arial" w:hAnsi="Arial" w:cs="Arial"/>
        </w:rPr>
        <w:t xml:space="preserve"> </w:t>
      </w:r>
      <w:r>
        <w:rPr>
          <w:rFonts w:hint="eastAsia" w:ascii="Arial" w:hAnsi="Arial" w:cs="Arial"/>
          <w:lang w:val="en-US" w:eastAsia="zh-CN"/>
        </w:rPr>
        <w:t>4</w:t>
      </w:r>
      <w:r>
        <w:rPr>
          <w:rFonts w:ascii="Arial" w:hAnsi="Arial" w:cs="Arial"/>
        </w:rPr>
        <w:t>  </w:t>
      </w:r>
      <w:r>
        <w:rPr>
          <w:rFonts w:ascii="Arial" w:cs="Arial" w:hAnsiTheme="minorEastAsia"/>
        </w:rPr>
        <w:t>类</w:t>
      </w:r>
      <w:r>
        <w:rPr>
          <w:rFonts w:ascii="Arial" w:hAnsi="Arial" w:cs="Arial"/>
        </w:rPr>
        <w:t>,</w:t>
      </w:r>
      <w:r>
        <w:rPr>
          <w:rFonts w:ascii="Arial" w:cs="Arial" w:hAnsiTheme="minorEastAsia"/>
        </w:rPr>
        <w:t>其中</w:t>
      </w:r>
      <w:r>
        <w:rPr>
          <w:rFonts w:ascii="Arial" w:hAnsi="Arial" w:cs="Arial"/>
        </w:rPr>
        <w:t xml:space="preserve">: </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(1)</w:t>
      </w:r>
      <w:r>
        <w:rPr>
          <w:rFonts w:ascii="Arial" w:cs="Arial" w:hAnsiTheme="minorEastAsia"/>
        </w:rPr>
        <w:t>一般公共服务支出</w:t>
      </w:r>
      <w:r>
        <w:rPr>
          <w:rFonts w:ascii="Arial" w:hAnsi="Arial" w:cs="Arial"/>
        </w:rPr>
        <w:t>125.53</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79.64 %,</w:t>
      </w:r>
      <w:r>
        <w:rPr>
          <w:rFonts w:ascii="Arial" w:cs="Arial" w:hAnsiTheme="minorEastAsia"/>
        </w:rPr>
        <w:t>同比增加</w:t>
      </w:r>
      <w:r>
        <w:rPr>
          <w:rFonts w:ascii="Arial" w:hAnsi="Arial" w:cs="Arial"/>
        </w:rPr>
        <w:t>48.54</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63.05%;</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(2)</w:t>
      </w:r>
      <w:r>
        <w:rPr>
          <w:rFonts w:ascii="Arial" w:cs="Arial" w:hAnsiTheme="minorEastAsia"/>
        </w:rPr>
        <w:t>社会保障和就业</w:t>
      </w:r>
      <w:r>
        <w:rPr>
          <w:rFonts w:ascii="Arial" w:hAnsi="Arial" w:cs="Arial"/>
        </w:rPr>
        <w:t>17.31</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10.98%,</w:t>
      </w:r>
      <w:r>
        <w:rPr>
          <w:rFonts w:ascii="Arial" w:cs="Arial" w:hAnsiTheme="minorEastAsia"/>
        </w:rPr>
        <w:t>同比增加</w:t>
      </w:r>
      <w:r>
        <w:rPr>
          <w:rFonts w:ascii="Arial" w:hAnsi="Arial" w:cs="Arial"/>
        </w:rPr>
        <w:t>3.68</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27%;</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(3)</w:t>
      </w:r>
      <w:r>
        <w:rPr>
          <w:rFonts w:ascii="Arial" w:cs="Arial" w:hAnsiTheme="minorEastAsia"/>
        </w:rPr>
        <w:t>医疗卫生</w:t>
      </w:r>
      <w:r>
        <w:rPr>
          <w:rFonts w:ascii="Arial" w:hAnsi="Arial" w:cs="Arial"/>
        </w:rPr>
        <w:t>6.45</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4.09%,</w:t>
      </w:r>
      <w:r>
        <w:rPr>
          <w:rFonts w:ascii="Arial" w:cs="Arial" w:hAnsiTheme="minorEastAsia"/>
        </w:rPr>
        <w:t>同比增加</w:t>
      </w:r>
      <w:r>
        <w:rPr>
          <w:rFonts w:ascii="Arial" w:hAnsi="Arial" w:cs="Arial"/>
        </w:rPr>
        <w:t>1.47</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29.52%;</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(4)</w:t>
      </w:r>
      <w:r>
        <w:rPr>
          <w:rFonts w:ascii="Arial" w:cs="Arial" w:hAnsiTheme="minorEastAsia"/>
        </w:rPr>
        <w:t>住房保障支出</w:t>
      </w:r>
      <w:r>
        <w:rPr>
          <w:rFonts w:ascii="Arial" w:hAnsi="Arial" w:cs="Arial"/>
        </w:rPr>
        <w:t>8.34</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5.29%,</w:t>
      </w:r>
      <w:r>
        <w:rPr>
          <w:rFonts w:ascii="Arial" w:cs="Arial" w:hAnsiTheme="minorEastAsia"/>
        </w:rPr>
        <w:t>同比增加</w:t>
      </w:r>
      <w:r>
        <w:rPr>
          <w:rFonts w:ascii="Arial" w:hAnsi="Arial" w:cs="Arial"/>
        </w:rPr>
        <w:t>1.84</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28.31%</w:t>
      </w:r>
      <w:r>
        <w:rPr>
          <w:rFonts w:ascii="Arial" w:cs="Arial" w:hAnsiTheme="minorEastAsia"/>
        </w:rPr>
        <w:t>。</w:t>
      </w:r>
    </w:p>
    <w:p>
      <w:pPr>
        <w:pStyle w:val="6"/>
        <w:widowControl/>
        <w:spacing w:before="150" w:beforeAutospacing="0" w:after="150" w:afterAutospacing="0" w:line="460" w:lineRule="exact"/>
        <w:ind w:firstLine="723" w:firstLineChars="300"/>
        <w:rPr>
          <w:rFonts w:ascii="Arial" w:hAnsi="Arial" w:cs="Arial"/>
          <w:b/>
          <w:bCs/>
        </w:rPr>
      </w:pPr>
      <w:r>
        <w:rPr>
          <w:rFonts w:ascii="Arial" w:cs="Arial" w:hAnsiTheme="minorEastAsia"/>
          <w:b/>
          <w:bCs/>
        </w:rPr>
        <w:t>二、部门收入总体情况说明</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2023</w:t>
      </w:r>
      <w:r>
        <w:rPr>
          <w:rFonts w:ascii="Arial" w:cs="Arial" w:hAnsiTheme="minorEastAsia"/>
        </w:rPr>
        <w:t>年总收入预算</w:t>
      </w:r>
      <w:r>
        <w:rPr>
          <w:rFonts w:ascii="Arial" w:hAnsi="Arial" w:cs="Arial"/>
        </w:rPr>
        <w:t>157.63</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55.53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54.3%</w:t>
      </w:r>
      <w:r>
        <w:rPr>
          <w:rFonts w:ascii="Arial" w:cs="Arial" w:hAnsiTheme="minorEastAsia"/>
        </w:rPr>
        <w:t>。其中</w:t>
      </w:r>
      <w:r>
        <w:rPr>
          <w:rFonts w:ascii="Arial" w:hAnsi="Arial" w:cs="Arial"/>
        </w:rPr>
        <w:t>:</w:t>
      </w:r>
      <w:r>
        <w:rPr>
          <w:rFonts w:ascii="Arial" w:cs="Arial" w:hAnsiTheme="minorEastAsia"/>
        </w:rPr>
        <w:t>本年收入</w:t>
      </w:r>
      <w:r>
        <w:rPr>
          <w:rFonts w:ascii="Arial" w:hAnsi="Arial" w:cs="Arial"/>
        </w:rPr>
        <w:t>127.36</w:t>
      </w:r>
      <w:r>
        <w:rPr>
          <w:rFonts w:ascii="Arial" w:cs="Arial" w:hAnsiTheme="minorEastAsia"/>
        </w:rPr>
        <w:t>万元</w:t>
      </w:r>
      <w:r>
        <w:rPr>
          <w:rFonts w:ascii="Arial" w:hAnsi="Arial" w:cs="Arial"/>
        </w:rPr>
        <w:t>,</w:t>
      </w:r>
      <w:r>
        <w:rPr>
          <w:rFonts w:ascii="Arial" w:cs="Arial" w:hAnsiTheme="minorEastAsia"/>
        </w:rPr>
        <w:t>上年结转结余</w:t>
      </w:r>
      <w:r>
        <w:rPr>
          <w:rFonts w:ascii="Arial" w:hAnsi="Arial" w:cs="Arial"/>
        </w:rPr>
        <w:t>30.26</w:t>
      </w:r>
      <w:r>
        <w:rPr>
          <w:rFonts w:ascii="Arial" w:cs="Arial" w:hAnsiTheme="minorEastAsia"/>
        </w:rPr>
        <w:t>万元。一般公共预算</w:t>
      </w:r>
      <w:r>
        <w:rPr>
          <w:rFonts w:ascii="Arial" w:hAnsi="Arial" w:cs="Arial"/>
        </w:rPr>
        <w:t>127.36</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80.8%,</w:t>
      </w:r>
      <w:r>
        <w:rPr>
          <w:rFonts w:ascii="Arial" w:cs="Arial" w:hAnsiTheme="minorEastAsia"/>
        </w:rPr>
        <w:t>同比增加</w:t>
      </w:r>
      <w:r>
        <w:rPr>
          <w:rFonts w:ascii="Arial" w:hAnsi="Arial" w:cs="Arial"/>
        </w:rPr>
        <w:t>25.26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24.74%,</w:t>
      </w:r>
      <w:r>
        <w:rPr>
          <w:rFonts w:ascii="Arial" w:cs="Arial" w:hAnsiTheme="minorEastAsia"/>
        </w:rPr>
        <w:t>增加的原因</w:t>
      </w:r>
      <w:r>
        <w:rPr>
          <w:rFonts w:ascii="Arial" w:hAnsi="Arial" w:cs="Arial"/>
        </w:rPr>
        <w:t>:</w:t>
      </w:r>
      <w:r>
        <w:rPr>
          <w:rFonts w:ascii="Arial" w:cs="Arial" w:hAnsiTheme="minorEastAsia"/>
        </w:rPr>
        <w:t>人员增加、工资上调</w:t>
      </w:r>
      <w:r>
        <w:rPr>
          <w:rFonts w:ascii="Arial" w:hAnsi="Arial" w:cs="Arial"/>
        </w:rPr>
        <w:t>;</w:t>
      </w:r>
      <w:r>
        <w:rPr>
          <w:rFonts w:ascii="Arial" w:cs="Arial" w:hAnsiTheme="minorEastAsia"/>
        </w:rPr>
        <w:t>政府性基金预算</w:t>
      </w:r>
      <w:r>
        <w:rPr>
          <w:rFonts w:ascii="Arial" w:hAnsi="Arial" w:cs="Arial"/>
        </w:rPr>
        <w:t>0</w:t>
      </w:r>
      <w:r>
        <w:rPr>
          <w:rFonts w:ascii="Arial" w:cs="Arial" w:hAnsiTheme="minorEastAsia"/>
        </w:rPr>
        <w:t>万元</w:t>
      </w:r>
      <w:r>
        <w:rPr>
          <w:rFonts w:ascii="Arial" w:hAnsi="Arial" w:cs="Arial"/>
        </w:rPr>
        <w:t>,</w:t>
      </w:r>
      <w:r>
        <w:rPr>
          <w:rFonts w:ascii="Arial" w:cs="Arial" w:hAnsiTheme="minorEastAsia"/>
        </w:rPr>
        <w:t>与去年相同。</w:t>
      </w:r>
    </w:p>
    <w:p>
      <w:pPr>
        <w:pStyle w:val="6"/>
        <w:widowControl/>
        <w:spacing w:before="150" w:beforeAutospacing="0" w:after="150" w:afterAutospacing="0" w:line="460" w:lineRule="exact"/>
        <w:ind w:left="420" w:firstLine="241" w:firstLineChars="100"/>
        <w:rPr>
          <w:rFonts w:ascii="Arial" w:hAnsi="Arial" w:cs="Arial"/>
          <w:b/>
          <w:bCs/>
        </w:rPr>
      </w:pPr>
      <w:r>
        <w:rPr>
          <w:rFonts w:ascii="Arial" w:cs="Arial" w:hAnsiTheme="minorEastAsia"/>
          <w:b/>
          <w:bCs/>
        </w:rPr>
        <w:t>三、部门支出总体情况说明</w:t>
      </w:r>
    </w:p>
    <w:p>
      <w:pPr>
        <w:pStyle w:val="6"/>
        <w:widowControl/>
        <w:spacing w:before="150" w:beforeAutospacing="0" w:after="150" w:afterAutospacing="0" w:line="460" w:lineRule="exact"/>
        <w:ind w:left="420" w:firstLine="240" w:firstLineChars="100"/>
        <w:jc w:val="both"/>
        <w:rPr>
          <w:rFonts w:ascii="Arial" w:hAnsi="Arial" w:cs="Arial"/>
        </w:rPr>
      </w:pPr>
      <w:r>
        <w:rPr>
          <w:rFonts w:ascii="Arial" w:hAnsi="Arial" w:cs="Arial"/>
        </w:rPr>
        <w:t>2023</w:t>
      </w:r>
      <w:r>
        <w:rPr>
          <w:rFonts w:ascii="Arial" w:cs="Arial" w:hAnsiTheme="minorEastAsia"/>
        </w:rPr>
        <w:t>年总支出预算</w:t>
      </w:r>
      <w:r>
        <w:rPr>
          <w:rFonts w:ascii="Arial" w:hAnsi="Arial" w:cs="Arial"/>
        </w:rPr>
        <w:t>157.63</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55.53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54.3%</w:t>
      </w:r>
      <w:r>
        <w:rPr>
          <w:rFonts w:ascii="Arial" w:cs="Arial" w:hAnsiTheme="minorEastAsia"/>
        </w:rPr>
        <w:t>。其中</w:t>
      </w:r>
      <w:r>
        <w:rPr>
          <w:rFonts w:ascii="Arial" w:hAnsi="Arial" w:cs="Arial"/>
        </w:rPr>
        <w:t>:</w:t>
      </w:r>
      <w:r>
        <w:rPr>
          <w:rFonts w:ascii="Arial" w:cs="Arial" w:hAnsiTheme="minorEastAsia"/>
        </w:rPr>
        <w:t>基本支出</w:t>
      </w:r>
      <w:r>
        <w:rPr>
          <w:rFonts w:ascii="Arial" w:hAnsi="Arial" w:cs="Arial"/>
        </w:rPr>
        <w:t>111.63</w:t>
      </w:r>
      <w:r>
        <w:rPr>
          <w:rFonts w:ascii="Arial" w:cs="Arial" w:hAnsiTheme="minorEastAsia"/>
        </w:rPr>
        <w:t>万元</w:t>
      </w:r>
      <w:r>
        <w:rPr>
          <w:rFonts w:ascii="Arial" w:hAnsi="Arial" w:cs="Arial"/>
        </w:rPr>
        <w:t>,</w:t>
      </w:r>
      <w:r>
        <w:rPr>
          <w:rFonts w:ascii="Arial" w:cs="Arial" w:hAnsiTheme="minorEastAsia"/>
        </w:rPr>
        <w:t>占总支出预算</w:t>
      </w:r>
      <w:r>
        <w:rPr>
          <w:rFonts w:ascii="Arial" w:hAnsi="Arial" w:cs="Arial"/>
        </w:rPr>
        <w:t>70.82%,</w:t>
      </w:r>
      <w:r>
        <w:rPr>
          <w:rFonts w:ascii="Arial" w:cs="Arial" w:hAnsiTheme="minorEastAsia"/>
        </w:rPr>
        <w:t>同比增加</w:t>
      </w:r>
      <w:r>
        <w:rPr>
          <w:rFonts w:ascii="Arial" w:hAnsi="Arial" w:cs="Arial"/>
        </w:rPr>
        <w:t>25.53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29.65%,</w:t>
      </w:r>
      <w:r>
        <w:rPr>
          <w:rFonts w:ascii="Arial" w:cs="Arial" w:hAnsiTheme="minorEastAsia"/>
        </w:rPr>
        <w:t>增加的原因</w:t>
      </w:r>
      <w:r>
        <w:rPr>
          <w:rFonts w:ascii="Arial" w:hAnsi="Arial" w:cs="Arial"/>
        </w:rPr>
        <w:t>:</w:t>
      </w:r>
      <w:r>
        <w:rPr>
          <w:rFonts w:ascii="Arial" w:cs="Arial" w:hAnsiTheme="minorEastAsia"/>
        </w:rPr>
        <w:t>人员增加、工资上调</w:t>
      </w:r>
      <w:r>
        <w:rPr>
          <w:rFonts w:ascii="Arial" w:hAnsi="Arial" w:cs="Arial"/>
        </w:rPr>
        <w:t>;</w:t>
      </w:r>
      <w:r>
        <w:rPr>
          <w:rFonts w:ascii="Arial" w:cs="Arial" w:hAnsiTheme="minorEastAsia"/>
        </w:rPr>
        <w:t>项目支出</w:t>
      </w:r>
      <w:r>
        <w:rPr>
          <w:rFonts w:ascii="Arial" w:hAnsi="Arial" w:cs="Arial"/>
        </w:rPr>
        <w:t>46</w:t>
      </w:r>
      <w:r>
        <w:rPr>
          <w:rFonts w:ascii="Arial" w:cs="Arial" w:hAnsiTheme="minorEastAsia"/>
        </w:rPr>
        <w:t>万元</w:t>
      </w:r>
      <w:r>
        <w:rPr>
          <w:rFonts w:ascii="Arial" w:hAnsi="Arial" w:cs="Arial"/>
        </w:rPr>
        <w:t>,</w:t>
      </w:r>
      <w:r>
        <w:rPr>
          <w:rFonts w:ascii="Arial" w:cs="Arial" w:hAnsiTheme="minorEastAsia"/>
        </w:rPr>
        <w:t>占总支出预算</w:t>
      </w:r>
      <w:r>
        <w:rPr>
          <w:rFonts w:ascii="Arial" w:hAnsi="Arial" w:cs="Arial"/>
        </w:rPr>
        <w:t>29.18%,</w:t>
      </w:r>
      <w:r>
        <w:rPr>
          <w:rFonts w:ascii="Arial" w:cs="Arial" w:hAnsiTheme="minorEastAsia"/>
        </w:rPr>
        <w:t>同比增加</w:t>
      </w:r>
      <w:r>
        <w:rPr>
          <w:rFonts w:ascii="Arial" w:hAnsi="Arial" w:cs="Arial"/>
        </w:rPr>
        <w:t>30</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187.5%,</w:t>
      </w:r>
      <w:r>
        <w:rPr>
          <w:rFonts w:ascii="Arial" w:cs="Arial" w:hAnsiTheme="minorEastAsia"/>
        </w:rPr>
        <w:t>增加的原因</w:t>
      </w:r>
      <w:r>
        <w:rPr>
          <w:rFonts w:ascii="Arial" w:hAnsi="Arial" w:cs="Arial"/>
        </w:rPr>
        <w:t>:</w:t>
      </w:r>
      <w:r>
        <w:rPr>
          <w:rFonts w:ascii="Arial" w:cs="Arial" w:hAnsiTheme="minorEastAsia"/>
        </w:rPr>
        <w:t>增设各地投资办事处工作经费。</w:t>
      </w:r>
    </w:p>
    <w:p>
      <w:pPr>
        <w:pStyle w:val="6"/>
        <w:widowControl/>
        <w:spacing w:before="150" w:beforeAutospacing="0" w:after="150" w:afterAutospacing="0" w:line="460" w:lineRule="exact"/>
        <w:ind w:left="420"/>
        <w:rPr>
          <w:rFonts w:hint="eastAsia" w:ascii="Arial" w:hAnsi="Arial" w:cs="Arial"/>
          <w:b/>
          <w:bCs/>
        </w:rPr>
      </w:pPr>
      <w:r>
        <w:rPr>
          <w:rFonts w:ascii="Arial" w:cs="Arial" w:hAnsiTheme="minorEastAsia"/>
          <w:b/>
          <w:bCs/>
        </w:rPr>
        <w:t>四、政拨款收支总体情况说明</w:t>
      </w:r>
    </w:p>
    <w:p>
      <w:pPr>
        <w:pStyle w:val="6"/>
        <w:widowControl/>
        <w:spacing w:before="150" w:beforeAutospacing="0" w:after="150" w:afterAutospacing="0" w:line="460" w:lineRule="exact"/>
        <w:ind w:firstLine="420"/>
        <w:rPr>
          <w:rFonts w:hint="eastAsia" w:ascii="Arial" w:hAnsi="Arial" w:cs="Arial"/>
          <w:b/>
          <w:bCs/>
        </w:rPr>
      </w:pPr>
      <w:r>
        <w:rPr>
          <w:rFonts w:ascii="Arial" w:hAnsi="Arial" w:cs="Arial"/>
        </w:rPr>
        <w:t>2023</w:t>
      </w:r>
      <w:r>
        <w:rPr>
          <w:rFonts w:ascii="Arial" w:cs="Arial" w:hAnsiTheme="minorEastAsia"/>
        </w:rPr>
        <w:t>年财政拨款收入预算</w:t>
      </w:r>
      <w:r>
        <w:rPr>
          <w:rFonts w:ascii="Arial" w:hAnsi="Arial" w:cs="Arial"/>
        </w:rPr>
        <w:t>127.36</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25.26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24.74 %,</w:t>
      </w:r>
      <w:r>
        <w:rPr>
          <w:rFonts w:ascii="Arial" w:cs="Arial" w:hAnsiTheme="minorEastAsia"/>
        </w:rPr>
        <w:t>其中</w:t>
      </w:r>
      <w:r>
        <w:rPr>
          <w:rFonts w:ascii="Arial" w:hAnsi="Arial" w:cs="Arial"/>
        </w:rPr>
        <w:t>:</w:t>
      </w:r>
      <w:r>
        <w:rPr>
          <w:rFonts w:ascii="Arial" w:cs="Arial" w:hAnsiTheme="minorEastAsia"/>
        </w:rPr>
        <w:t>一般公共预算拨款</w:t>
      </w:r>
      <w:r>
        <w:rPr>
          <w:rFonts w:ascii="Arial" w:hAnsi="Arial" w:cs="Arial"/>
        </w:rPr>
        <w:t>127.36</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80.8%,</w:t>
      </w:r>
      <w:r>
        <w:rPr>
          <w:rFonts w:ascii="Arial" w:cs="Arial" w:hAnsiTheme="minorEastAsia"/>
        </w:rPr>
        <w:t>同比增加</w:t>
      </w:r>
      <w:r>
        <w:rPr>
          <w:rFonts w:ascii="Arial" w:hAnsi="Arial" w:cs="Arial"/>
        </w:rPr>
        <w:t>25.26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24.74 %,</w:t>
      </w:r>
      <w:r>
        <w:rPr>
          <w:rFonts w:ascii="Arial" w:cs="Arial" w:hAnsiTheme="minorEastAsia"/>
        </w:rPr>
        <w:t>增加的原因：人员增加、工资上调</w:t>
      </w:r>
      <w:r>
        <w:rPr>
          <w:rFonts w:ascii="Arial" w:hAnsi="Arial" w:cs="Arial"/>
        </w:rPr>
        <w:t>;</w:t>
      </w:r>
      <w:r>
        <w:rPr>
          <w:rFonts w:ascii="Arial" w:cs="Arial" w:hAnsiTheme="minorEastAsia"/>
        </w:rPr>
        <w:t>政府性基金拨款</w:t>
      </w:r>
      <w:r>
        <w:rPr>
          <w:rFonts w:ascii="Arial" w:hAnsi="Arial" w:cs="Arial"/>
        </w:rPr>
        <w:t>0</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0 %,</w:t>
      </w:r>
      <w:r>
        <w:rPr>
          <w:rFonts w:ascii="Arial" w:cs="Arial" w:hAnsiTheme="minorEastAsia"/>
        </w:rPr>
        <w:t>与去年相同</w:t>
      </w:r>
      <w:r>
        <w:rPr>
          <w:rFonts w:ascii="Arial" w:hAnsi="Arial" w:cs="Arial"/>
        </w:rPr>
        <w:t>;</w:t>
      </w:r>
      <w:r>
        <w:rPr>
          <w:rFonts w:ascii="Arial" w:cs="Arial" w:hAnsiTheme="minorEastAsia"/>
        </w:rPr>
        <w:t>上年结转结余</w:t>
      </w:r>
      <w:r>
        <w:rPr>
          <w:rFonts w:ascii="Arial" w:hAnsi="Arial" w:cs="Arial"/>
        </w:rPr>
        <w:t>30.26</w:t>
      </w:r>
      <w:r>
        <w:rPr>
          <w:rFonts w:ascii="Arial" w:cs="Arial" w:hAnsiTheme="minorEastAsia"/>
        </w:rPr>
        <w:t>万元。</w:t>
      </w:r>
    </w:p>
    <w:p>
      <w:pPr>
        <w:pStyle w:val="6"/>
        <w:widowControl/>
        <w:spacing w:before="150" w:beforeAutospacing="0" w:after="150" w:afterAutospacing="0" w:line="460" w:lineRule="exact"/>
        <w:ind w:firstLine="420"/>
        <w:rPr>
          <w:rFonts w:ascii="Arial" w:hAnsi="Arial" w:cs="Arial"/>
          <w:b/>
          <w:bCs/>
        </w:rPr>
      </w:pPr>
      <w:r>
        <w:rPr>
          <w:rFonts w:ascii="Arial" w:hAnsi="Arial" w:cs="Arial"/>
        </w:rPr>
        <w:t>2023</w:t>
      </w:r>
      <w:r>
        <w:rPr>
          <w:rFonts w:ascii="Arial" w:cs="Arial" w:hAnsiTheme="minorEastAsia"/>
        </w:rPr>
        <w:t>年财政拨款支出</w:t>
      </w:r>
      <w:r>
        <w:rPr>
          <w:rFonts w:ascii="Arial" w:hAnsi="Arial" w:cs="Arial"/>
        </w:rPr>
        <w:t>157.63</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55.53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54.3%,</w:t>
      </w:r>
      <w:r>
        <w:rPr>
          <w:rFonts w:ascii="Arial" w:cs="Arial" w:hAnsiTheme="minorEastAsia"/>
        </w:rPr>
        <w:t>增加的原因：项目支出增加、人员支出增加、工资上调。</w:t>
      </w:r>
    </w:p>
    <w:p>
      <w:pPr>
        <w:pStyle w:val="6"/>
        <w:widowControl/>
        <w:spacing w:before="150" w:beforeAutospacing="0" w:after="150" w:afterAutospacing="0" w:line="460" w:lineRule="exact"/>
        <w:ind w:left="420" w:firstLine="241" w:firstLineChars="100"/>
        <w:rPr>
          <w:rFonts w:ascii="Arial" w:hAnsi="Arial" w:cs="Arial"/>
          <w:b/>
          <w:bCs/>
        </w:rPr>
      </w:pPr>
      <w:r>
        <w:rPr>
          <w:rFonts w:ascii="Arial" w:cs="Arial" w:hAnsiTheme="minorEastAsia"/>
          <w:b/>
          <w:bCs/>
        </w:rPr>
        <w:t>五、一般公共预算支出情况说明</w:t>
      </w:r>
    </w:p>
    <w:p>
      <w:pPr>
        <w:pStyle w:val="6"/>
        <w:widowControl/>
        <w:spacing w:before="150" w:beforeAutospacing="0" w:after="150" w:afterAutospacing="0" w:line="460" w:lineRule="exact"/>
        <w:ind w:firstLine="480" w:firstLineChars="200"/>
        <w:rPr>
          <w:rFonts w:ascii="Arial" w:hAnsi="Arial" w:cs="Arial"/>
        </w:rPr>
      </w:pPr>
      <w:r>
        <w:rPr>
          <w:rFonts w:ascii="Arial" w:hAnsi="Arial" w:cs="Arial"/>
        </w:rPr>
        <w:t>2023</w:t>
      </w:r>
      <w:r>
        <w:rPr>
          <w:rFonts w:ascii="Arial" w:cs="Arial" w:hAnsiTheme="minorEastAsia"/>
        </w:rPr>
        <w:t>年一般公共预算支出</w:t>
      </w:r>
      <w:r>
        <w:rPr>
          <w:rFonts w:ascii="Arial" w:hAnsi="Arial" w:cs="Arial"/>
        </w:rPr>
        <w:t>157.63</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55.53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54.3%</w:t>
      </w:r>
      <w:r>
        <w:rPr>
          <w:rFonts w:ascii="Arial" w:cs="Arial" w:hAnsiTheme="minorEastAsia"/>
        </w:rPr>
        <w:t>。</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按支出功能分类科目划分</w:t>
      </w:r>
      <w:r>
        <w:rPr>
          <w:rFonts w:ascii="Arial" w:hAnsi="Arial" w:cs="Arial"/>
        </w:rPr>
        <w:t>,</w:t>
      </w:r>
      <w:r>
        <w:rPr>
          <w:rFonts w:ascii="Arial" w:cs="Arial" w:hAnsiTheme="minorEastAsia"/>
        </w:rPr>
        <w:t>共分为</w:t>
      </w:r>
      <w:r>
        <w:rPr>
          <w:rFonts w:ascii="Arial" w:hAnsi="Arial" w:cs="Arial"/>
        </w:rPr>
        <w:t>4</w:t>
      </w:r>
      <w:r>
        <w:rPr>
          <w:rFonts w:ascii="Arial" w:cs="Arial" w:hAnsiTheme="minorEastAsia"/>
        </w:rPr>
        <w:t>类</w:t>
      </w:r>
      <w:r>
        <w:rPr>
          <w:rFonts w:ascii="Arial" w:hAnsi="Arial" w:cs="Arial"/>
        </w:rPr>
        <w:t>,</w:t>
      </w:r>
      <w:r>
        <w:rPr>
          <w:rFonts w:ascii="Arial" w:cs="Arial" w:hAnsiTheme="minorEastAsia"/>
        </w:rPr>
        <w:t>其中</w:t>
      </w:r>
      <w:r>
        <w:rPr>
          <w:rFonts w:ascii="Arial" w:hAnsi="Arial" w:cs="Arial"/>
        </w:rPr>
        <w:t>:</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(1)</w:t>
      </w:r>
      <w:r>
        <w:rPr>
          <w:rFonts w:ascii="Arial" w:cs="Arial" w:hAnsiTheme="minorEastAsia"/>
        </w:rPr>
        <w:t>一般公共服务类科目</w:t>
      </w:r>
      <w:r>
        <w:rPr>
          <w:rFonts w:ascii="Arial" w:hAnsi="Arial" w:cs="Arial"/>
        </w:rPr>
        <w:t>125.53</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79.64%,</w:t>
      </w:r>
      <w:r>
        <w:rPr>
          <w:rFonts w:ascii="Arial" w:cs="Arial" w:hAnsiTheme="minorEastAsia"/>
        </w:rPr>
        <w:t>同比增加</w:t>
      </w:r>
      <w:r>
        <w:rPr>
          <w:rFonts w:ascii="Arial" w:hAnsi="Arial" w:cs="Arial"/>
        </w:rPr>
        <w:t>48.54</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63.05%</w:t>
      </w:r>
      <w:r>
        <w:rPr>
          <w:rFonts w:ascii="Arial" w:cs="Arial" w:hAnsiTheme="minorEastAsia"/>
        </w:rPr>
        <w:t>。具体如下</w:t>
      </w:r>
      <w:r>
        <w:rPr>
          <w:rFonts w:ascii="Arial" w:hAnsi="Arial" w:cs="Arial"/>
        </w:rPr>
        <w:t>:</w:t>
      </w:r>
    </w:p>
    <w:p>
      <w:pPr>
        <w:pStyle w:val="6"/>
        <w:widowControl/>
        <w:spacing w:before="150" w:beforeAutospacing="0" w:after="150" w:afterAutospacing="0" w:line="460" w:lineRule="exact"/>
        <w:ind w:firstLine="720" w:firstLineChars="300"/>
        <w:rPr>
          <w:rFonts w:ascii="Arial" w:hAnsi="Arial" w:cs="Arial"/>
        </w:rPr>
      </w:pPr>
      <w:r>
        <w:rPr>
          <w:rFonts w:ascii="Arial" w:cs="Arial" w:hAnsiTheme="minorEastAsia"/>
        </w:rPr>
        <w:t>行政运行</w:t>
      </w:r>
      <w:r>
        <w:rPr>
          <w:rFonts w:ascii="Arial" w:hAnsi="Arial" w:cs="Arial"/>
        </w:rPr>
        <w:t>76.21</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15.22</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24.95%,</w:t>
      </w:r>
      <w:r>
        <w:rPr>
          <w:rFonts w:ascii="Arial" w:cs="Arial" w:hAnsiTheme="minorEastAsia"/>
        </w:rPr>
        <w:t>全部是基本支出预算。主要用于国家规定的基本工资和津补贴标准等安排的人员经费支出</w:t>
      </w:r>
      <w:r>
        <w:rPr>
          <w:rFonts w:ascii="Arial" w:hAnsi="Arial" w:cs="Arial"/>
        </w:rPr>
        <w:t>,</w:t>
      </w:r>
      <w:r>
        <w:rPr>
          <w:rFonts w:ascii="Arial" w:cs="Arial" w:hAnsiTheme="minorEastAsia"/>
        </w:rPr>
        <w:t>按县级公用经费定额标准安排的办公费、印刷费、邮电费、水电费、差旅费等日常公用经费支出。</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(2)</w:t>
      </w:r>
      <w:r>
        <w:rPr>
          <w:rFonts w:ascii="Arial" w:cs="Arial" w:hAnsiTheme="minorEastAsia"/>
        </w:rPr>
        <w:t>社会保障和就业支出</w:t>
      </w:r>
      <w:r>
        <w:rPr>
          <w:rFonts w:ascii="Arial" w:hAnsi="Arial" w:cs="Arial"/>
        </w:rPr>
        <w:t>17.31</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10.98%,</w:t>
      </w:r>
      <w:r>
        <w:rPr>
          <w:rFonts w:ascii="Arial" w:cs="Arial" w:hAnsiTheme="minorEastAsia"/>
        </w:rPr>
        <w:t>同比增加</w:t>
      </w:r>
      <w:r>
        <w:rPr>
          <w:rFonts w:ascii="Arial" w:hAnsi="Arial" w:cs="Arial"/>
        </w:rPr>
        <w:t>3.68</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27%</w:t>
      </w:r>
      <w:r>
        <w:rPr>
          <w:rFonts w:ascii="Arial" w:cs="Arial" w:hAnsiTheme="minorEastAsia"/>
        </w:rPr>
        <w:t>。具体如下</w:t>
      </w:r>
      <w:r>
        <w:rPr>
          <w:rFonts w:ascii="Arial" w:hAnsi="Arial" w:cs="Arial"/>
        </w:rPr>
        <w:t>:</w:t>
      </w:r>
    </w:p>
    <w:p>
      <w:pPr>
        <w:pStyle w:val="6"/>
        <w:widowControl/>
        <w:spacing w:before="150" w:beforeAutospacing="0" w:after="150" w:afterAutospacing="0" w:line="460" w:lineRule="exact"/>
        <w:ind w:firstLine="720" w:firstLineChars="300"/>
        <w:rPr>
          <w:rFonts w:ascii="Arial" w:hAnsi="Arial" w:cs="Arial"/>
        </w:rPr>
      </w:pPr>
      <w:r>
        <w:rPr>
          <w:rFonts w:ascii="Arial" w:cs="Arial" w:hAnsiTheme="minorEastAsia"/>
        </w:rPr>
        <w:t>机关事业单位基本养老保险缴费支出</w:t>
      </w:r>
      <w:r>
        <w:rPr>
          <w:rFonts w:ascii="Arial" w:hAnsi="Arial" w:cs="Arial"/>
        </w:rPr>
        <w:t>11.12</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2.46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28.41%,</w:t>
      </w:r>
      <w:r>
        <w:rPr>
          <w:rFonts w:ascii="Arial" w:cs="Arial" w:hAnsiTheme="minorEastAsia"/>
        </w:rPr>
        <w:t>全部是基本支出预算。主要用于单位在职职工养老保险缴费。</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(3)</w:t>
      </w:r>
      <w:r>
        <w:rPr>
          <w:rFonts w:ascii="Arial" w:cs="Arial" w:hAnsiTheme="minorEastAsia"/>
        </w:rPr>
        <w:t>卫生健康支出</w:t>
      </w:r>
      <w:r>
        <w:rPr>
          <w:rFonts w:ascii="Arial" w:hAnsi="Arial" w:cs="Arial"/>
        </w:rPr>
        <w:t>6.45</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4.09%,</w:t>
      </w:r>
      <w:r>
        <w:rPr>
          <w:rFonts w:ascii="Arial" w:cs="Arial" w:hAnsiTheme="minorEastAsia"/>
        </w:rPr>
        <w:t>同比增加</w:t>
      </w:r>
      <w:r>
        <w:rPr>
          <w:rFonts w:ascii="Arial" w:hAnsi="Arial" w:cs="Arial"/>
        </w:rPr>
        <w:t>1.47</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29.52%</w:t>
      </w:r>
      <w:r>
        <w:rPr>
          <w:rFonts w:ascii="Arial" w:cs="Arial" w:hAnsiTheme="minorEastAsia"/>
        </w:rPr>
        <w:t>。具体如下</w:t>
      </w:r>
      <w:r>
        <w:rPr>
          <w:rFonts w:ascii="Arial" w:hAnsi="Arial" w:cs="Arial"/>
        </w:rPr>
        <w:t>:</w:t>
      </w:r>
    </w:p>
    <w:p>
      <w:pPr>
        <w:pStyle w:val="6"/>
        <w:widowControl/>
        <w:spacing w:before="150" w:beforeAutospacing="0" w:after="150" w:afterAutospacing="0" w:line="460" w:lineRule="exact"/>
        <w:ind w:firstLine="720" w:firstLineChars="300"/>
        <w:rPr>
          <w:rFonts w:ascii="Arial" w:hAnsi="Arial" w:cs="Arial"/>
        </w:rPr>
      </w:pPr>
      <w:r>
        <w:rPr>
          <w:rFonts w:ascii="Arial" w:cs="Arial" w:hAnsiTheme="minorEastAsia"/>
        </w:rPr>
        <w:t>行政单位医疗</w:t>
      </w:r>
      <w:r>
        <w:rPr>
          <w:rFonts w:ascii="Arial" w:hAnsi="Arial" w:cs="Arial"/>
        </w:rPr>
        <w:t>6.15</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1.47</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29.52%,</w:t>
      </w:r>
      <w:r>
        <w:rPr>
          <w:rFonts w:ascii="Arial" w:cs="Arial" w:hAnsiTheme="minorEastAsia"/>
        </w:rPr>
        <w:t>全部是基本支出预算。是根据统一规定</w:t>
      </w:r>
      <w:r>
        <w:rPr>
          <w:rFonts w:ascii="Arial" w:hAnsi="Arial" w:cs="Arial"/>
        </w:rPr>
        <w:t>,</w:t>
      </w:r>
      <w:r>
        <w:rPr>
          <w:rFonts w:ascii="Arial" w:cs="Arial" w:hAnsiTheme="minorEastAsia"/>
        </w:rPr>
        <w:t>按行政机关</w:t>
      </w:r>
      <w:r>
        <w:rPr>
          <w:rFonts w:ascii="Arial" w:hAnsi="Arial" w:cs="Arial"/>
        </w:rPr>
        <w:t>(</w:t>
      </w:r>
      <w:r>
        <w:rPr>
          <w:rFonts w:ascii="Arial" w:cs="Arial" w:hAnsiTheme="minorEastAsia"/>
        </w:rPr>
        <w:t>含参公单位</w:t>
      </w:r>
      <w:r>
        <w:rPr>
          <w:rFonts w:ascii="Arial" w:hAnsi="Arial" w:cs="Arial"/>
        </w:rPr>
        <w:t>)</w:t>
      </w:r>
      <w:r>
        <w:rPr>
          <w:rFonts w:ascii="Arial" w:cs="Arial" w:hAnsiTheme="minorEastAsia"/>
        </w:rPr>
        <w:t>在职职工工资总额的一定比例缴纳的基本医疗保险支出。</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(4)</w:t>
      </w:r>
      <w:r>
        <w:rPr>
          <w:rFonts w:ascii="Arial" w:cs="Arial" w:hAnsiTheme="minorEastAsia"/>
        </w:rPr>
        <w:t>住房保障支出</w:t>
      </w:r>
      <w:r>
        <w:rPr>
          <w:rFonts w:ascii="Arial" w:hAnsi="Arial" w:cs="Arial"/>
        </w:rPr>
        <w:t>8.34</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5.29%,</w:t>
      </w:r>
      <w:r>
        <w:rPr>
          <w:rFonts w:ascii="Arial" w:cs="Arial" w:hAnsiTheme="minorEastAsia"/>
        </w:rPr>
        <w:t>同比增加</w:t>
      </w:r>
      <w:r>
        <w:rPr>
          <w:rFonts w:ascii="Arial" w:hAnsi="Arial" w:cs="Arial"/>
        </w:rPr>
        <w:t>1.84</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28.31%</w:t>
      </w:r>
      <w:r>
        <w:rPr>
          <w:rFonts w:ascii="Arial" w:cs="Arial" w:hAnsiTheme="minorEastAsia"/>
        </w:rPr>
        <w:t>。具体如下</w:t>
      </w:r>
      <w:r>
        <w:rPr>
          <w:rFonts w:ascii="Arial" w:hAnsi="Arial" w:cs="Arial"/>
        </w:rPr>
        <w:t>:</w:t>
      </w:r>
    </w:p>
    <w:p>
      <w:pPr>
        <w:pStyle w:val="6"/>
        <w:widowControl/>
        <w:spacing w:before="150" w:beforeAutospacing="0" w:after="150" w:afterAutospacing="0" w:line="460" w:lineRule="exact"/>
        <w:ind w:firstLine="720" w:firstLineChars="300"/>
        <w:rPr>
          <w:rFonts w:ascii="Arial" w:hAnsi="Arial" w:cs="Arial"/>
          <w:b/>
          <w:bCs/>
        </w:rPr>
      </w:pPr>
      <w:r>
        <w:rPr>
          <w:rFonts w:ascii="Arial" w:cs="Arial" w:hAnsiTheme="minorEastAsia"/>
        </w:rPr>
        <w:t>住房公积金</w:t>
      </w:r>
      <w:r>
        <w:rPr>
          <w:rFonts w:ascii="Arial" w:hAnsi="Arial" w:cs="Arial"/>
        </w:rPr>
        <w:t>8.34</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1.84</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28.31%,</w:t>
      </w:r>
      <w:r>
        <w:rPr>
          <w:rFonts w:ascii="Arial" w:cs="Arial" w:hAnsiTheme="minorEastAsia"/>
        </w:rPr>
        <w:t>全部是基本支出预算。是按照统一规定</w:t>
      </w:r>
      <w:r>
        <w:rPr>
          <w:rFonts w:ascii="Arial" w:hAnsi="Arial" w:cs="Arial"/>
        </w:rPr>
        <w:t>,</w:t>
      </w:r>
      <w:r>
        <w:rPr>
          <w:rFonts w:ascii="Arial" w:cs="Arial" w:hAnsiTheme="minorEastAsia"/>
        </w:rPr>
        <w:t>为局机关和局属参公单位职工缴纳的住房公积金支出。</w:t>
      </w:r>
    </w:p>
    <w:p>
      <w:pPr>
        <w:pStyle w:val="6"/>
        <w:widowControl/>
        <w:spacing w:before="150" w:beforeAutospacing="0" w:after="150" w:afterAutospacing="0" w:line="460" w:lineRule="exact"/>
        <w:ind w:firstLine="723" w:firstLineChars="300"/>
        <w:rPr>
          <w:rFonts w:ascii="Arial" w:hAnsi="Arial" w:cs="Arial"/>
          <w:b/>
          <w:bCs/>
        </w:rPr>
      </w:pPr>
      <w:r>
        <w:rPr>
          <w:rFonts w:ascii="Arial" w:cs="Arial" w:hAnsiTheme="minorEastAsia"/>
          <w:b/>
          <w:bCs/>
        </w:rPr>
        <w:t>六、一般公共预算基本支出情况说明</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2023</w:t>
      </w:r>
      <w:r>
        <w:rPr>
          <w:rFonts w:ascii="Arial" w:cs="Arial" w:hAnsiTheme="minorEastAsia"/>
        </w:rPr>
        <w:t>年一般公共预算基本支出</w:t>
      </w:r>
      <w:r>
        <w:rPr>
          <w:rFonts w:ascii="Arial" w:hAnsi="Arial" w:cs="Arial"/>
        </w:rPr>
        <w:t>111.36</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25.26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29.34%,</w:t>
      </w:r>
      <w:r>
        <w:rPr>
          <w:rFonts w:ascii="Arial" w:cs="Arial" w:hAnsiTheme="minorEastAsia"/>
        </w:rPr>
        <w:t>增长的主要原因是人员增加、工资上调。其中</w:t>
      </w:r>
      <w:r>
        <w:rPr>
          <w:rFonts w:ascii="Arial" w:hAnsi="Arial" w:cs="Arial"/>
        </w:rPr>
        <w:t>:</w:t>
      </w:r>
      <w:r>
        <w:rPr>
          <w:rFonts w:ascii="Arial" w:cs="Arial" w:hAnsiTheme="minorEastAsia"/>
        </w:rPr>
        <w:t>工资福利支出</w:t>
      </w:r>
      <w:r>
        <w:rPr>
          <w:rFonts w:ascii="Arial" w:hAnsi="Arial" w:cs="Arial"/>
        </w:rPr>
        <w:t>100.89</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22.23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28.26%,</w:t>
      </w:r>
      <w:r>
        <w:rPr>
          <w:rFonts w:ascii="Arial" w:cs="Arial" w:hAnsiTheme="minorEastAsia"/>
        </w:rPr>
        <w:t>增长的主要原因是人员增加、工资上调。商品和服务支出</w:t>
      </w:r>
      <w:r>
        <w:rPr>
          <w:rFonts w:ascii="Arial" w:hAnsi="Arial" w:cs="Arial"/>
        </w:rPr>
        <w:t>9.87</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3.03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44.3%</w:t>
      </w:r>
      <w:r>
        <w:rPr>
          <w:rFonts w:ascii="Arial" w:cs="Arial" w:hAnsiTheme="minorEastAsia"/>
        </w:rPr>
        <w:t>。增长的主要原因是其他交通费用增加。对个人和家庭的补助</w:t>
      </w:r>
      <w:r>
        <w:rPr>
          <w:rFonts w:ascii="Arial" w:hAnsi="Arial" w:cs="Arial"/>
        </w:rPr>
        <w:t>0.6</w:t>
      </w:r>
      <w:r>
        <w:rPr>
          <w:rFonts w:ascii="Arial" w:cs="Arial" w:hAnsiTheme="minorEastAsia"/>
        </w:rPr>
        <w:t>万元</w:t>
      </w:r>
      <w:r>
        <w:rPr>
          <w:rFonts w:ascii="Arial" w:hAnsi="Arial" w:cs="Arial"/>
        </w:rPr>
        <w:t>,</w:t>
      </w:r>
      <w:r>
        <w:rPr>
          <w:rFonts w:ascii="Arial" w:cs="Arial" w:hAnsiTheme="minorEastAsia"/>
        </w:rPr>
        <w:t>与去年相同。</w:t>
      </w:r>
    </w:p>
    <w:p>
      <w:pPr>
        <w:pStyle w:val="6"/>
        <w:widowControl/>
        <w:spacing w:before="150" w:beforeAutospacing="0" w:after="150" w:afterAutospacing="0" w:line="460" w:lineRule="exact"/>
        <w:ind w:firstLine="723" w:firstLineChars="300"/>
        <w:rPr>
          <w:rFonts w:ascii="Arial" w:hAnsi="Arial" w:cs="Arial"/>
          <w:b/>
          <w:bCs/>
        </w:rPr>
      </w:pPr>
      <w:r>
        <w:rPr>
          <w:rFonts w:ascii="Arial" w:cs="Arial" w:hAnsiTheme="minorEastAsia"/>
          <w:b/>
          <w:bCs/>
        </w:rPr>
        <w:t>七、财政拨款三公两费支出情况说明</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2023</w:t>
      </w:r>
      <w:r>
        <w:rPr>
          <w:rFonts w:ascii="Arial" w:cs="Arial" w:hAnsiTheme="minorEastAsia"/>
        </w:rPr>
        <w:t>年一般公共预算安排的</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经费共</w:t>
      </w:r>
      <w:r>
        <w:rPr>
          <w:rFonts w:ascii="Arial" w:hAnsi="Arial" w:cs="Arial"/>
        </w:rPr>
        <w:t>6.45</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3.21</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99.07 %</w:t>
      </w:r>
      <w:r>
        <w:rPr>
          <w:rFonts w:ascii="Arial" w:cs="Arial" w:hAnsiTheme="minorEastAsia"/>
        </w:rPr>
        <w:t>。具体如下</w:t>
      </w:r>
      <w:r>
        <w:rPr>
          <w:rFonts w:ascii="Arial" w:hAnsi="Arial" w:cs="Arial"/>
        </w:rPr>
        <w:t>:</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1</w:t>
      </w:r>
      <w:r>
        <w:rPr>
          <w:rFonts w:ascii="Arial" w:cs="Arial" w:hAnsiTheme="minorEastAsia"/>
        </w:rPr>
        <w:t>、因公出国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经费无预算安排</w:t>
      </w:r>
      <w:r>
        <w:rPr>
          <w:rFonts w:ascii="Arial" w:hAnsi="Arial" w:cs="Arial"/>
        </w:rPr>
        <w:t>,</w:t>
      </w:r>
      <w:r>
        <w:rPr>
          <w:rFonts w:ascii="Arial" w:cs="Arial" w:hAnsiTheme="minorEastAsia"/>
        </w:rPr>
        <w:t>同比无变化。</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2</w:t>
      </w:r>
      <w:r>
        <w:rPr>
          <w:rFonts w:ascii="Arial" w:cs="Arial" w:hAnsiTheme="minorEastAsia"/>
        </w:rPr>
        <w:t>、公务接待费预算</w:t>
      </w:r>
      <w:r>
        <w:rPr>
          <w:rFonts w:ascii="Arial" w:hAnsi="Arial" w:cs="Arial"/>
        </w:rPr>
        <w:t>6.32</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3.08</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95.06%</w:t>
      </w:r>
      <w:r>
        <w:rPr>
          <w:rFonts w:ascii="Arial" w:cs="Arial" w:hAnsiTheme="minorEastAsia"/>
        </w:rPr>
        <w:t>。我单位认真贯彻落实中央八项规定要求</w:t>
      </w:r>
      <w:r>
        <w:rPr>
          <w:rFonts w:ascii="Arial" w:hAnsi="Arial" w:cs="Arial"/>
        </w:rPr>
        <w:t>,</w:t>
      </w:r>
      <w:r>
        <w:rPr>
          <w:rFonts w:ascii="Arial" w:cs="Arial" w:hAnsiTheme="minorEastAsia"/>
        </w:rPr>
        <w:t>严格执行公务接待管理办法。主要用于单位按规定开支的各类公务接待费用，但因商贸工作由工信局划拨到我局，业务量大大增加，公务接待相应增加。</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3</w:t>
      </w:r>
      <w:r>
        <w:rPr>
          <w:rFonts w:ascii="Arial" w:cs="Arial" w:hAnsiTheme="minorEastAsia"/>
        </w:rPr>
        <w:t>、公务用车购置和运行维护费预算</w:t>
      </w:r>
      <w:r>
        <w:rPr>
          <w:rFonts w:ascii="Arial" w:hAnsi="Arial" w:cs="Arial"/>
        </w:rPr>
        <w:t>0</w:t>
      </w:r>
      <w:r>
        <w:rPr>
          <w:rFonts w:ascii="Arial" w:cs="Arial" w:hAnsiTheme="minorEastAsia"/>
        </w:rPr>
        <w:t>万元，与去年相同。</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4</w:t>
      </w:r>
      <w:r>
        <w:rPr>
          <w:rFonts w:ascii="Arial" w:cs="Arial" w:hAnsiTheme="minorEastAsia"/>
        </w:rPr>
        <w:t>、会议费预算</w:t>
      </w:r>
      <w:r>
        <w:rPr>
          <w:rFonts w:ascii="Arial" w:hAnsi="Arial" w:cs="Arial"/>
        </w:rPr>
        <w:t>0.13</w:t>
      </w:r>
      <w:r>
        <w:rPr>
          <w:rFonts w:ascii="Arial" w:cs="Arial" w:hAnsiTheme="minorEastAsia"/>
        </w:rPr>
        <w:t>万元</w:t>
      </w:r>
      <w:r>
        <w:rPr>
          <w:rFonts w:ascii="Arial" w:hAnsi="Arial" w:cs="Arial"/>
        </w:rPr>
        <w:t>,</w:t>
      </w:r>
      <w:r>
        <w:rPr>
          <w:rFonts w:ascii="Arial" w:cs="Arial" w:hAnsiTheme="minorEastAsia"/>
        </w:rPr>
        <w:t>较去年增加</w:t>
      </w:r>
      <w:r>
        <w:rPr>
          <w:rFonts w:ascii="Arial" w:hAnsi="Arial" w:cs="Arial"/>
        </w:rPr>
        <w:t>0.13</w:t>
      </w:r>
      <w:r>
        <w:rPr>
          <w:rFonts w:ascii="Arial" w:cs="Arial" w:hAnsiTheme="minorEastAsia"/>
        </w:rPr>
        <w:t>万元</w:t>
      </w:r>
      <w:r>
        <w:rPr>
          <w:rFonts w:hint="eastAsia" w:ascii="Arial" w:cs="Arial" w:hAnsiTheme="minorEastAsia"/>
          <w:lang w:eastAsia="zh-CN"/>
        </w:rPr>
        <w:t>，</w:t>
      </w:r>
      <w:r>
        <w:rPr>
          <w:rFonts w:hint="eastAsia" w:ascii="Arial" w:cs="Arial" w:hAnsiTheme="minorEastAsia"/>
          <w:lang w:val="en-US" w:eastAsia="zh-CN"/>
        </w:rPr>
        <w:t>增加原因是工信局划拨商务工作，培训会议增加</w:t>
      </w:r>
      <w:r>
        <w:rPr>
          <w:rFonts w:ascii="Arial" w:cs="Arial" w:hAnsiTheme="minorEastAsia"/>
        </w:rPr>
        <w:t>。</w:t>
      </w:r>
      <w:bookmarkStart w:id="0" w:name="_GoBack"/>
      <w:bookmarkEnd w:id="0"/>
    </w:p>
    <w:p>
      <w:pPr>
        <w:pStyle w:val="6"/>
        <w:widowControl/>
        <w:spacing w:before="150" w:beforeAutospacing="0" w:after="150" w:afterAutospacing="0" w:line="460" w:lineRule="exact"/>
        <w:ind w:firstLine="723" w:firstLineChars="300"/>
        <w:rPr>
          <w:rFonts w:ascii="Arial" w:hAnsi="Arial" w:cs="Arial"/>
          <w:b/>
          <w:bCs/>
        </w:rPr>
      </w:pPr>
      <w:r>
        <w:rPr>
          <w:rFonts w:ascii="Arial" w:cs="Arial" w:hAnsiTheme="minorEastAsia"/>
          <w:b/>
          <w:bCs/>
        </w:rPr>
        <w:t>八、政府性基金预算支出情况说明</w:t>
      </w:r>
    </w:p>
    <w:p>
      <w:pPr>
        <w:pStyle w:val="6"/>
        <w:widowControl/>
        <w:spacing w:before="150" w:beforeAutospacing="0" w:after="150" w:afterAutospacing="0" w:line="460" w:lineRule="exact"/>
        <w:ind w:firstLine="720" w:firstLineChars="300"/>
        <w:rPr>
          <w:rFonts w:ascii="Arial" w:hAnsi="Arial" w:cs="Arial"/>
        </w:rPr>
      </w:pPr>
      <w:r>
        <w:rPr>
          <w:rFonts w:ascii="Arial" w:cs="Arial" w:hAnsiTheme="minorEastAsia"/>
        </w:rPr>
        <w:t>我单位</w:t>
      </w:r>
      <w:r>
        <w:rPr>
          <w:rFonts w:ascii="Arial" w:hAnsi="Arial" w:cs="Arial"/>
        </w:rPr>
        <w:t>2023</w:t>
      </w:r>
      <w:r>
        <w:rPr>
          <w:rFonts w:ascii="Arial" w:cs="Arial" w:hAnsiTheme="minorEastAsia"/>
        </w:rPr>
        <w:t>年无政府性基金预算支出预算。</w:t>
      </w:r>
    </w:p>
    <w:p>
      <w:pPr>
        <w:pStyle w:val="6"/>
        <w:widowControl/>
        <w:spacing w:before="150" w:beforeAutospacing="0" w:after="150" w:afterAutospacing="0" w:line="460" w:lineRule="exact"/>
        <w:ind w:firstLine="723" w:firstLineChars="300"/>
        <w:rPr>
          <w:rFonts w:ascii="Arial" w:hAnsi="Arial" w:cs="Arial"/>
          <w:b/>
          <w:bCs/>
        </w:rPr>
      </w:pPr>
      <w:r>
        <w:rPr>
          <w:rFonts w:ascii="Arial" w:cs="Arial" w:hAnsiTheme="minorEastAsia"/>
          <w:b/>
          <w:bCs/>
        </w:rPr>
        <w:t>九、国有资本经营预算支出情况说明</w:t>
      </w:r>
    </w:p>
    <w:p>
      <w:pPr>
        <w:pStyle w:val="6"/>
        <w:widowControl/>
        <w:spacing w:before="150" w:beforeAutospacing="0" w:after="150" w:afterAutospacing="0" w:line="460" w:lineRule="exact"/>
        <w:ind w:firstLine="720" w:firstLineChars="300"/>
        <w:rPr>
          <w:rFonts w:ascii="Arial" w:hAnsi="Arial" w:cs="Arial"/>
        </w:rPr>
      </w:pPr>
      <w:r>
        <w:rPr>
          <w:rFonts w:ascii="Arial" w:cs="Arial" w:hAnsiTheme="minorEastAsia"/>
        </w:rPr>
        <w:t>我单位</w:t>
      </w:r>
      <w:r>
        <w:rPr>
          <w:rFonts w:ascii="Arial" w:hAnsi="Arial" w:cs="Arial"/>
        </w:rPr>
        <w:t>2023</w:t>
      </w:r>
      <w:r>
        <w:rPr>
          <w:rFonts w:ascii="Arial" w:cs="Arial" w:hAnsiTheme="minorEastAsia"/>
        </w:rPr>
        <w:t>年部门预算无国有资本经营预算</w:t>
      </w:r>
    </w:p>
    <w:p>
      <w:pPr>
        <w:pStyle w:val="6"/>
        <w:widowControl/>
        <w:spacing w:before="150" w:beforeAutospacing="0" w:after="150" w:afterAutospacing="0" w:line="460" w:lineRule="exact"/>
        <w:ind w:firstLine="723" w:firstLineChars="300"/>
        <w:rPr>
          <w:rFonts w:ascii="Arial" w:hAnsi="Arial" w:cs="Arial"/>
          <w:b/>
          <w:bCs/>
        </w:rPr>
      </w:pPr>
      <w:r>
        <w:rPr>
          <w:rFonts w:ascii="Arial" w:cs="Arial" w:hAnsiTheme="minorEastAsia"/>
          <w:b/>
          <w:bCs/>
        </w:rPr>
        <w:t>十、其他重要事项情况说明</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w:t>
      </w:r>
      <w:r>
        <w:rPr>
          <w:rFonts w:ascii="Arial" w:cs="Arial" w:hAnsiTheme="minorEastAsia"/>
        </w:rPr>
        <w:t>一</w:t>
      </w:r>
      <w:r>
        <w:rPr>
          <w:rFonts w:ascii="Arial" w:hAnsi="Arial" w:cs="Arial"/>
        </w:rPr>
        <w:t>)</w:t>
      </w:r>
      <w:r>
        <w:rPr>
          <w:rFonts w:ascii="Arial" w:cs="Arial" w:hAnsiTheme="minorEastAsia"/>
        </w:rPr>
        <w:t>机关运行经费安排情况说明</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2023</w:t>
      </w:r>
      <w:r>
        <w:rPr>
          <w:rFonts w:ascii="Arial" w:cs="Arial" w:hAnsiTheme="minorEastAsia"/>
        </w:rPr>
        <w:t>年机关运行经费</w:t>
      </w:r>
      <w:r>
        <w:rPr>
          <w:rFonts w:ascii="Arial" w:hAnsi="Arial" w:cs="Arial"/>
        </w:rPr>
        <w:t>9.87</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3.03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44.3%</w:t>
      </w:r>
      <w:r>
        <w:rPr>
          <w:rFonts w:ascii="Arial" w:cs="Arial" w:hAnsiTheme="minorEastAsia"/>
        </w:rPr>
        <w:t>。增长</w:t>
      </w:r>
      <w:r>
        <w:rPr>
          <w:rFonts w:ascii="Arial" w:hAnsi="Arial" w:cs="Arial"/>
        </w:rPr>
        <w:t>(</w:t>
      </w:r>
      <w:r>
        <w:rPr>
          <w:rFonts w:ascii="Arial" w:cs="Arial" w:hAnsiTheme="minorEastAsia"/>
        </w:rPr>
        <w:t>下降</w:t>
      </w:r>
      <w:r>
        <w:rPr>
          <w:rFonts w:ascii="Arial" w:hAnsi="Arial" w:cs="Arial"/>
        </w:rPr>
        <w:t>)</w:t>
      </w:r>
      <w:r>
        <w:rPr>
          <w:rFonts w:ascii="Arial" w:cs="Arial" w:hAnsiTheme="minorEastAsia"/>
        </w:rPr>
        <w:t>的主要原因是人员增加，其他交通费用增加。具体包括办公费</w:t>
      </w:r>
      <w:r>
        <w:rPr>
          <w:rFonts w:ascii="Arial" w:hAnsi="Arial" w:cs="Arial"/>
        </w:rPr>
        <w:t>0.98</w:t>
      </w:r>
      <w:r>
        <w:rPr>
          <w:rFonts w:ascii="Arial" w:cs="Arial" w:hAnsiTheme="minorEastAsia"/>
        </w:rPr>
        <w:t>万元、印刷费</w:t>
      </w:r>
      <w:r>
        <w:rPr>
          <w:rFonts w:ascii="Arial" w:hAnsi="Arial" w:cs="Arial"/>
        </w:rPr>
        <w:t>0.15</w:t>
      </w:r>
      <w:r>
        <w:rPr>
          <w:rFonts w:ascii="Arial" w:cs="Arial" w:hAnsiTheme="minorEastAsia"/>
        </w:rPr>
        <w:t>万元、邮电费</w:t>
      </w:r>
      <w:r>
        <w:rPr>
          <w:rFonts w:ascii="Arial" w:hAnsi="Arial" w:cs="Arial"/>
        </w:rPr>
        <w:t xml:space="preserve"> 0.15</w:t>
      </w:r>
      <w:r>
        <w:rPr>
          <w:rFonts w:ascii="Arial" w:cs="Arial" w:hAnsiTheme="minorEastAsia"/>
        </w:rPr>
        <w:t>万元、差旅费</w:t>
      </w:r>
      <w:r>
        <w:rPr>
          <w:rFonts w:ascii="Arial" w:hAnsi="Arial" w:cs="Arial"/>
        </w:rPr>
        <w:t>1.5</w:t>
      </w:r>
      <w:r>
        <w:rPr>
          <w:rFonts w:ascii="Arial" w:cs="Arial" w:hAnsiTheme="minorEastAsia"/>
        </w:rPr>
        <w:t>万元、会议费</w:t>
      </w:r>
      <w:r>
        <w:rPr>
          <w:rFonts w:ascii="Arial" w:hAnsi="Arial" w:cs="Arial"/>
        </w:rPr>
        <w:t>0.13</w:t>
      </w:r>
      <w:r>
        <w:rPr>
          <w:rFonts w:ascii="Arial" w:cs="Arial" w:hAnsiTheme="minorEastAsia"/>
        </w:rPr>
        <w:t>万元、公务接待费</w:t>
      </w:r>
      <w:r>
        <w:rPr>
          <w:rFonts w:ascii="Arial" w:hAnsi="Arial" w:cs="Arial"/>
        </w:rPr>
        <w:t>0.23</w:t>
      </w:r>
      <w:r>
        <w:rPr>
          <w:rFonts w:ascii="Arial" w:cs="Arial" w:hAnsiTheme="minorEastAsia"/>
        </w:rPr>
        <w:t>万元、其他交通费用</w:t>
      </w:r>
      <w:r>
        <w:rPr>
          <w:rFonts w:ascii="Arial" w:hAnsi="Arial" w:cs="Arial"/>
        </w:rPr>
        <w:t>6.72</w:t>
      </w:r>
      <w:r>
        <w:rPr>
          <w:rFonts w:ascii="Arial" w:cs="Arial" w:hAnsiTheme="minorEastAsia"/>
        </w:rPr>
        <w:t>万元和其他商品和服务支出</w:t>
      </w:r>
      <w:r>
        <w:rPr>
          <w:rFonts w:ascii="Arial" w:hAnsi="Arial" w:cs="Arial"/>
        </w:rPr>
        <w:t>0.01</w:t>
      </w:r>
      <w:r>
        <w:rPr>
          <w:rFonts w:ascii="Arial" w:cs="Arial" w:hAnsiTheme="minorEastAsia"/>
        </w:rPr>
        <w:t>万元。</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w:t>
      </w:r>
      <w:r>
        <w:rPr>
          <w:rFonts w:ascii="Arial" w:cs="Arial" w:hAnsiTheme="minorEastAsia"/>
        </w:rPr>
        <w:t>二</w:t>
      </w:r>
      <w:r>
        <w:rPr>
          <w:rFonts w:ascii="Arial" w:hAnsi="Arial" w:cs="Arial"/>
        </w:rPr>
        <w:t>)</w:t>
      </w:r>
      <w:r>
        <w:rPr>
          <w:rFonts w:ascii="Arial" w:cs="Arial" w:hAnsiTheme="minorEastAsia"/>
        </w:rPr>
        <w:t>政府采购预算安排情况说明</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我部门</w:t>
      </w:r>
      <w:r>
        <w:rPr>
          <w:rFonts w:ascii="Arial" w:hAnsi="Arial" w:cs="Arial"/>
        </w:rPr>
        <w:t>2023</w:t>
      </w:r>
      <w:r>
        <w:rPr>
          <w:rFonts w:ascii="Arial" w:cs="Arial" w:hAnsiTheme="minorEastAsia"/>
        </w:rPr>
        <w:t>年无政府采购预算</w:t>
      </w:r>
    </w:p>
    <w:p>
      <w:pPr>
        <w:pStyle w:val="6"/>
        <w:widowControl/>
        <w:spacing w:before="150" w:beforeAutospacing="0" w:after="150" w:afterAutospacing="0" w:line="460" w:lineRule="exact"/>
        <w:ind w:firstLine="480" w:firstLineChars="200"/>
        <w:rPr>
          <w:rFonts w:ascii="Arial" w:hAnsi="Arial" w:cs="Arial"/>
        </w:rPr>
      </w:pPr>
      <w:r>
        <w:rPr>
          <w:rFonts w:ascii="Arial" w:cs="Arial" w:hAnsiTheme="minorEastAsia"/>
        </w:rPr>
        <w:t>（三）国有资产占有使用情况说明</w:t>
      </w:r>
    </w:p>
    <w:p>
      <w:pPr>
        <w:pStyle w:val="6"/>
        <w:widowControl/>
        <w:spacing w:before="150" w:beforeAutospacing="0" w:after="150" w:afterAutospacing="0" w:line="460" w:lineRule="exact"/>
        <w:ind w:firstLine="720" w:firstLineChars="300"/>
        <w:rPr>
          <w:rFonts w:ascii="Arial" w:hAnsi="Arial" w:cs="Arial"/>
        </w:rPr>
      </w:pPr>
      <w:r>
        <w:rPr>
          <w:rFonts w:ascii="Arial" w:cs="Arial" w:hAnsiTheme="minorEastAsia"/>
        </w:rPr>
        <w:t>截至</w:t>
      </w:r>
      <w:r>
        <w:rPr>
          <w:rFonts w:ascii="Arial" w:hAnsi="Arial" w:cs="Arial"/>
        </w:rPr>
        <w:t>2022</w:t>
      </w:r>
      <w:r>
        <w:rPr>
          <w:rFonts w:ascii="Arial" w:cs="Arial" w:hAnsiTheme="minorEastAsia"/>
        </w:rPr>
        <w:t>年</w:t>
      </w:r>
      <w:r>
        <w:rPr>
          <w:rFonts w:ascii="Arial" w:hAnsi="Arial" w:cs="Arial"/>
        </w:rPr>
        <w:t>12</w:t>
      </w:r>
      <w:r>
        <w:rPr>
          <w:rFonts w:ascii="Arial" w:cs="Arial" w:hAnsiTheme="minorEastAsia"/>
        </w:rPr>
        <w:t>月</w:t>
      </w:r>
      <w:r>
        <w:rPr>
          <w:rFonts w:ascii="Arial" w:hAnsi="Arial" w:cs="Arial"/>
        </w:rPr>
        <w:t>31</w:t>
      </w:r>
      <w:r>
        <w:rPr>
          <w:rFonts w:ascii="Arial" w:cs="Arial" w:hAnsiTheme="minorEastAsia"/>
        </w:rPr>
        <w:t>日</w:t>
      </w:r>
      <w:r>
        <w:rPr>
          <w:rFonts w:ascii="Arial" w:hAnsi="Arial" w:cs="Arial"/>
        </w:rPr>
        <w:t>,</w:t>
      </w:r>
      <w:r>
        <w:rPr>
          <w:rFonts w:ascii="Arial" w:cs="Arial" w:hAnsiTheme="minorEastAsia"/>
        </w:rPr>
        <w:t>本部门资产总计</w:t>
      </w:r>
      <w:r>
        <w:rPr>
          <w:rFonts w:ascii="Arial" w:hAnsi="Arial" w:cs="Arial"/>
        </w:rPr>
        <w:t>21.44</w:t>
      </w:r>
      <w:r>
        <w:rPr>
          <w:rFonts w:ascii="Arial" w:cs="Arial" w:hAnsiTheme="minorEastAsia"/>
        </w:rPr>
        <w:t>万元</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流动资产</w:t>
      </w:r>
      <w:r>
        <w:rPr>
          <w:rFonts w:ascii="Arial" w:hAnsi="Arial" w:eastAsia="MS Mincho" w:cs="Arial"/>
        </w:rPr>
        <w:t>  </w:t>
      </w:r>
      <w:r>
        <w:rPr>
          <w:rFonts w:ascii="Arial" w:hAnsi="Arial" w:cs="Arial"/>
        </w:rPr>
        <w:t>11.97</w:t>
      </w:r>
      <w:r>
        <w:rPr>
          <w:rFonts w:ascii="Arial" w:cs="Arial" w:hAnsiTheme="minorEastAsia"/>
        </w:rPr>
        <w:t>万元</w:t>
      </w:r>
      <w:r>
        <w:rPr>
          <w:rFonts w:ascii="Arial" w:hAnsi="Arial" w:cs="Arial"/>
        </w:rPr>
        <w:t>,</w:t>
      </w:r>
      <w:r>
        <w:rPr>
          <w:rFonts w:ascii="Arial" w:cs="Arial" w:hAnsiTheme="minorEastAsia"/>
        </w:rPr>
        <w:t>固定资产</w:t>
      </w:r>
      <w:r>
        <w:rPr>
          <w:rFonts w:ascii="Arial" w:hAnsi="Arial" w:cs="Arial"/>
        </w:rPr>
        <w:t>9.47</w:t>
      </w:r>
      <w:r>
        <w:rPr>
          <w:rFonts w:ascii="Arial" w:cs="Arial" w:hAnsiTheme="minorEastAsia"/>
        </w:rPr>
        <w:t>万元。</w:t>
      </w:r>
    </w:p>
    <w:p>
      <w:pPr>
        <w:pStyle w:val="6"/>
        <w:widowControl/>
        <w:spacing w:before="150" w:beforeAutospacing="0" w:after="150" w:afterAutospacing="0" w:line="460" w:lineRule="exact"/>
        <w:ind w:firstLine="720" w:firstLineChars="300"/>
        <w:rPr>
          <w:rFonts w:ascii="Arial" w:hAnsi="Arial" w:cs="Arial"/>
        </w:rPr>
      </w:pPr>
      <w:r>
        <w:rPr>
          <w:rFonts w:ascii="Arial" w:cs="Arial" w:hAnsiTheme="minorEastAsia"/>
        </w:rPr>
        <w:t>本部门无实际可调配使用车辆。</w:t>
      </w:r>
    </w:p>
    <w:p>
      <w:pPr>
        <w:pStyle w:val="6"/>
        <w:widowControl/>
        <w:spacing w:before="150" w:beforeAutospacing="0" w:after="150" w:afterAutospacing="0" w:line="460" w:lineRule="exact"/>
        <w:ind w:firstLine="720" w:firstLineChars="300"/>
        <w:rPr>
          <w:rFonts w:ascii="Arial" w:hAnsi="Arial" w:cs="Arial"/>
        </w:rPr>
      </w:pPr>
      <w:r>
        <w:rPr>
          <w:rFonts w:ascii="Arial" w:hAnsi="Arial" w:cs="Arial"/>
        </w:rPr>
        <w:t>(</w:t>
      </w:r>
      <w:r>
        <w:rPr>
          <w:rFonts w:ascii="Arial" w:cs="Arial" w:hAnsiTheme="minorEastAsia"/>
        </w:rPr>
        <w:t>四</w:t>
      </w:r>
      <w:r>
        <w:rPr>
          <w:rFonts w:ascii="Arial" w:hAnsi="Arial" w:cs="Arial"/>
        </w:rPr>
        <w:t>)</w:t>
      </w:r>
      <w:r>
        <w:rPr>
          <w:rFonts w:ascii="Arial" w:cs="Arial" w:hAnsiTheme="minorEastAsia"/>
        </w:rPr>
        <w:t>重点项目预算绩效目标等情况说明</w:t>
      </w:r>
    </w:p>
    <w:p>
      <w:pPr>
        <w:pStyle w:val="6"/>
        <w:widowControl/>
        <w:spacing w:before="150" w:beforeAutospacing="0" w:after="150" w:afterAutospacing="0" w:line="460" w:lineRule="exact"/>
        <w:ind w:firstLine="720" w:firstLineChars="300"/>
        <w:rPr>
          <w:rFonts w:ascii="Arial" w:hAnsi="Arial" w:cs="Arial"/>
        </w:rPr>
      </w:pPr>
      <w:r>
        <w:rPr>
          <w:rFonts w:hint="eastAsia" w:ascii="Arial" w:cs="Arial" w:hAnsiTheme="minorEastAsia"/>
        </w:rPr>
        <w:t>详细内容</w:t>
      </w:r>
      <w:r>
        <w:rPr>
          <w:rFonts w:ascii="Arial" w:cs="Arial" w:hAnsiTheme="minorEastAsia"/>
        </w:rPr>
        <w:t>见</w:t>
      </w:r>
      <w:r>
        <w:rPr>
          <w:rFonts w:hint="eastAsia" w:ascii="Arial" w:cs="Arial" w:hAnsiTheme="minorEastAsia"/>
        </w:rPr>
        <w:t>公开表的</w:t>
      </w:r>
      <w:r>
        <w:rPr>
          <w:rFonts w:ascii="Arial" w:cs="Arial" w:hAnsiTheme="minorEastAsia"/>
        </w:rPr>
        <w:t>附表十</w:t>
      </w:r>
      <w:r>
        <w:rPr>
          <w:rFonts w:hint="eastAsia" w:ascii="Arial" w:cs="Arial" w:hAnsiTheme="minorEastAsia"/>
        </w:rPr>
        <w:t>。</w:t>
      </w:r>
    </w:p>
    <w:p>
      <w:pPr>
        <w:pStyle w:val="6"/>
        <w:widowControl/>
        <w:spacing w:before="150" w:beforeAutospacing="0" w:after="150" w:afterAutospacing="0" w:line="460" w:lineRule="exact"/>
        <w:ind w:firstLine="420"/>
        <w:jc w:val="center"/>
        <w:rPr>
          <w:rFonts w:ascii="Arial" w:hAnsi="Arial" w:cs="Arial"/>
        </w:rPr>
      </w:pPr>
      <w:r>
        <w:rPr>
          <w:rFonts w:ascii="Arial" w:cs="Arial" w:hAnsiTheme="minorEastAsia"/>
        </w:rPr>
        <w:t>专业名词解释</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一、财政拨款收入</w:t>
      </w:r>
      <w:r>
        <w:rPr>
          <w:rFonts w:ascii="Arial" w:hAnsi="Arial" w:cs="Arial"/>
        </w:rPr>
        <w:t>:</w:t>
      </w:r>
      <w:r>
        <w:rPr>
          <w:rFonts w:ascii="Arial" w:cs="Arial" w:hAnsiTheme="minorEastAsia"/>
        </w:rPr>
        <w:t>指财政部门当年拨付的资金。</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二、事业收入</w:t>
      </w:r>
      <w:r>
        <w:rPr>
          <w:rFonts w:ascii="Arial" w:hAnsi="Arial" w:cs="Arial"/>
        </w:rPr>
        <w:t>:</w:t>
      </w:r>
      <w:r>
        <w:rPr>
          <w:rFonts w:ascii="Arial" w:cs="Arial" w:hAnsiTheme="minorEastAsia"/>
        </w:rPr>
        <w:t>指事业单位开展专业业务活动及辅助活动所取得的收入。</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三、其他收入</w:t>
      </w:r>
      <w:r>
        <w:rPr>
          <w:rFonts w:ascii="Arial" w:hAnsi="Arial" w:cs="Arial"/>
        </w:rPr>
        <w:t>:</w:t>
      </w:r>
      <w:r>
        <w:rPr>
          <w:rFonts w:ascii="Arial" w:cs="Arial" w:hAnsiTheme="minorEastAsia"/>
        </w:rPr>
        <w:t>指除上述</w:t>
      </w:r>
      <w:r>
        <w:rPr>
          <w:rFonts w:ascii="Arial" w:hAnsi="Arial" w:cs="Arial"/>
        </w:rPr>
        <w:t>“</w:t>
      </w:r>
      <w:r>
        <w:rPr>
          <w:rFonts w:ascii="Arial" w:cs="Arial" w:hAnsiTheme="minorEastAsia"/>
        </w:rPr>
        <w:t>财政拨款收入</w:t>
      </w:r>
      <w:r>
        <w:rPr>
          <w:rFonts w:ascii="Arial" w:hAnsi="Arial" w:cs="Arial"/>
        </w:rPr>
        <w:t>”</w:t>
      </w:r>
      <w:r>
        <w:rPr>
          <w:rFonts w:ascii="Arial" w:cs="Arial" w:hAnsiTheme="minorEastAsia"/>
        </w:rPr>
        <w:t>、</w:t>
      </w:r>
      <w:r>
        <w:rPr>
          <w:rFonts w:ascii="Arial" w:hAnsi="Arial" w:cs="Arial"/>
        </w:rPr>
        <w:t>“</w:t>
      </w:r>
      <w:r>
        <w:rPr>
          <w:rFonts w:ascii="Arial" w:cs="Arial" w:hAnsiTheme="minorEastAsia"/>
        </w:rPr>
        <w:t>事业收入</w:t>
      </w:r>
      <w:r>
        <w:rPr>
          <w:rFonts w:ascii="Arial" w:hAnsi="Arial" w:cs="Arial"/>
        </w:rPr>
        <w:t>”</w:t>
      </w:r>
      <w:r>
        <w:rPr>
          <w:rFonts w:ascii="Arial" w:cs="Arial" w:hAnsiTheme="minorEastAsia"/>
        </w:rPr>
        <w:t>、</w:t>
      </w:r>
      <w:r>
        <w:rPr>
          <w:rFonts w:ascii="Arial" w:hAnsi="Arial" w:cs="Arial"/>
        </w:rPr>
        <w:t>“</w:t>
      </w:r>
      <w:r>
        <w:rPr>
          <w:rFonts w:ascii="Arial" w:cs="Arial" w:hAnsiTheme="minorEastAsia"/>
        </w:rPr>
        <w:t>经营收入</w:t>
      </w:r>
      <w:r>
        <w:rPr>
          <w:rFonts w:ascii="Arial" w:hAnsi="Arial" w:cs="Arial"/>
        </w:rPr>
        <w:t>”</w:t>
      </w:r>
      <w:r>
        <w:rPr>
          <w:rFonts w:ascii="Arial" w:cs="Arial" w:hAnsiTheme="minorEastAsia"/>
        </w:rPr>
        <w:t>等以外的收入。</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四、基本支出</w:t>
      </w:r>
      <w:r>
        <w:rPr>
          <w:rFonts w:ascii="Arial" w:hAnsi="Arial" w:cs="Arial"/>
        </w:rPr>
        <w:t>:</w:t>
      </w:r>
      <w:r>
        <w:rPr>
          <w:rFonts w:ascii="Arial" w:cs="Arial" w:hAnsiTheme="minorEastAsia"/>
        </w:rPr>
        <w:t>指为保障机构正常运转、完成日常工作任务而发生的人员支出和公用支出。</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五、项目支出</w:t>
      </w:r>
      <w:r>
        <w:rPr>
          <w:rFonts w:ascii="Arial" w:hAnsi="Arial" w:cs="Arial"/>
        </w:rPr>
        <w:t>:</w:t>
      </w:r>
      <w:r>
        <w:rPr>
          <w:rFonts w:ascii="Arial" w:cs="Arial" w:hAnsiTheme="minorEastAsia"/>
        </w:rPr>
        <w:t>指在基本支出之外为完成特定行政任务和事业发展目标所发生的支出。</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六、一般公共服务支出</w:t>
      </w:r>
      <w:r>
        <w:rPr>
          <w:rFonts w:ascii="Arial" w:hAnsi="Arial" w:cs="Arial"/>
        </w:rPr>
        <w:t>:</w:t>
      </w:r>
      <w:r>
        <w:rPr>
          <w:rFonts w:ascii="Arial" w:cs="Arial" w:hAnsiTheme="minorEastAsia"/>
        </w:rPr>
        <w:t>反映政府提供一般公共服务的支出。</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七、社会保障和就业支出</w:t>
      </w:r>
      <w:r>
        <w:rPr>
          <w:rFonts w:ascii="Arial" w:hAnsi="Arial" w:cs="Arial"/>
        </w:rPr>
        <w:t>:</w:t>
      </w:r>
      <w:r>
        <w:rPr>
          <w:rFonts w:ascii="Arial" w:cs="Arial" w:hAnsiTheme="minorEastAsia"/>
        </w:rPr>
        <w:t>反映政府在社会保障与就业方面的支出。</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八、卫生健康支出</w:t>
      </w:r>
      <w:r>
        <w:rPr>
          <w:rFonts w:ascii="Arial" w:hAnsi="Arial" w:cs="Arial"/>
        </w:rPr>
        <w:t>:</w:t>
      </w:r>
      <w:r>
        <w:rPr>
          <w:rFonts w:ascii="Arial" w:cs="Arial" w:hAnsiTheme="minorEastAsia"/>
        </w:rPr>
        <w:t>反映政府卫生健康方面的支出。</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九、住房保障支出</w:t>
      </w:r>
      <w:r>
        <w:rPr>
          <w:rFonts w:ascii="Arial" w:hAnsi="Arial" w:cs="Arial"/>
        </w:rPr>
        <w:t>:</w:t>
      </w:r>
      <w:r>
        <w:rPr>
          <w:rFonts w:ascii="Arial" w:cs="Arial" w:hAnsiTheme="minorEastAsia"/>
        </w:rPr>
        <w:t>集中反映政府用于住房方面的支出。</w:t>
      </w:r>
    </w:p>
    <w:p>
      <w:pPr>
        <w:pStyle w:val="6"/>
        <w:widowControl/>
        <w:spacing w:before="150" w:beforeAutospacing="0" w:after="150" w:afterAutospacing="0" w:line="460" w:lineRule="exact"/>
        <w:ind w:firstLine="420"/>
        <w:rPr>
          <w:rFonts w:ascii="Arial" w:hAnsi="Arial" w:cs="Arial"/>
        </w:rPr>
      </w:pPr>
      <w:r>
        <w:rPr>
          <w:rFonts w:ascii="Arial" w:cs="Arial" w:hAnsiTheme="minorEastAsia"/>
        </w:rPr>
        <w:t>十、</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w:t>
      </w:r>
      <w:r>
        <w:rPr>
          <w:rFonts w:ascii="Arial" w:hAnsi="Arial" w:cs="Arial"/>
        </w:rPr>
        <w:t>:</w:t>
      </w:r>
      <w:r>
        <w:rPr>
          <w:rFonts w:ascii="Arial" w:cs="Arial" w:hAnsiTheme="minorEastAsia"/>
        </w:rPr>
        <w:t>纳入财政预决算管理的</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w:t>
      </w:r>
      <w:r>
        <w:rPr>
          <w:rFonts w:ascii="Arial" w:hAnsi="Arial" w:cs="Arial"/>
        </w:rPr>
        <w:t>,</w:t>
      </w:r>
      <w:r>
        <w:rPr>
          <w:rFonts w:ascii="Arial" w:cs="Arial" w:hAnsiTheme="minorEastAsia"/>
        </w:rPr>
        <w:t>是指各部门用财政拨款安排的因公出国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费、公务用车购置及运行费和公务接待费。其中</w:t>
      </w:r>
      <w:r>
        <w:rPr>
          <w:rFonts w:ascii="Arial" w:hAnsi="Arial" w:cs="Arial"/>
        </w:rPr>
        <w:t>,</w:t>
      </w:r>
      <w:r>
        <w:rPr>
          <w:rFonts w:ascii="Arial" w:cs="Arial" w:hAnsiTheme="minorEastAsia"/>
        </w:rPr>
        <w:t>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费反映单位公务出国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的国际旅费、国外城市间交通费、住宿费、伙食费、培训费、公杂费等支出</w:t>
      </w:r>
      <w:r>
        <w:rPr>
          <w:rFonts w:ascii="Arial" w:hAnsi="Arial" w:cs="Arial"/>
        </w:rPr>
        <w:t>;</w:t>
      </w:r>
      <w:r>
        <w:rPr>
          <w:rFonts w:ascii="Arial" w:cs="Arial" w:hAnsiTheme="minorEastAsia"/>
        </w:rPr>
        <w:t>公务用车购置及运行费反映单位公务用车车辆购置支出</w:t>
      </w:r>
      <w:r>
        <w:rPr>
          <w:rFonts w:ascii="Arial" w:hAnsi="Arial" w:cs="Arial"/>
        </w:rPr>
        <w:t>(</w:t>
      </w:r>
      <w:r>
        <w:rPr>
          <w:rFonts w:ascii="Arial" w:cs="Arial" w:hAnsiTheme="minorEastAsia"/>
        </w:rPr>
        <w:t>含车辆购置税</w:t>
      </w:r>
      <w:r>
        <w:rPr>
          <w:rFonts w:ascii="Arial" w:hAnsi="Arial" w:cs="Arial"/>
        </w:rPr>
        <w:t>)</w:t>
      </w:r>
      <w:r>
        <w:rPr>
          <w:rFonts w:ascii="Arial" w:cs="Arial" w:hAnsiTheme="minorEastAsia"/>
        </w:rPr>
        <w:t>及租用费、燃料费、维修费、过路过桥费、保险费、安全奖励费用等支出</w:t>
      </w:r>
      <w:r>
        <w:rPr>
          <w:rFonts w:ascii="Arial" w:hAnsi="Arial" w:cs="Arial"/>
        </w:rPr>
        <w:t>;</w:t>
      </w:r>
      <w:r>
        <w:rPr>
          <w:rFonts w:ascii="Arial" w:cs="Arial" w:hAnsiTheme="minorEastAsia"/>
        </w:rPr>
        <w:t>公务接待费反映单位按规定开支的各类公务接待</w:t>
      </w:r>
      <w:r>
        <w:rPr>
          <w:rFonts w:ascii="Arial" w:hAnsi="Arial" w:cs="Arial"/>
        </w:rPr>
        <w:t>(</w:t>
      </w:r>
      <w:r>
        <w:rPr>
          <w:rFonts w:ascii="Arial" w:cs="Arial" w:hAnsiTheme="minorEastAsia"/>
        </w:rPr>
        <w:t>含外宾接待</w:t>
      </w:r>
      <w:r>
        <w:rPr>
          <w:rFonts w:ascii="Arial" w:hAnsi="Arial" w:cs="Arial"/>
        </w:rPr>
        <w:t>)</w:t>
      </w:r>
      <w:r>
        <w:rPr>
          <w:rFonts w:ascii="Arial" w:cs="Arial" w:hAnsiTheme="minorEastAsia"/>
        </w:rPr>
        <w:t>支出。</w:t>
      </w:r>
    </w:p>
    <w:p>
      <w:pPr>
        <w:pStyle w:val="6"/>
        <w:widowControl/>
        <w:spacing w:before="150" w:beforeAutospacing="0" w:after="150" w:afterAutospacing="0" w:line="460" w:lineRule="exact"/>
        <w:ind w:firstLine="720" w:firstLineChars="300"/>
        <w:rPr>
          <w:rFonts w:ascii="Arial" w:hAnsi="Arial" w:cs="Arial"/>
        </w:rPr>
      </w:pPr>
      <w:r>
        <w:rPr>
          <w:rFonts w:ascii="Arial" w:cs="Arial" w:hAnsiTheme="minorEastAsia"/>
        </w:rPr>
        <w:t>十一、机关运行经费</w:t>
      </w:r>
      <w:r>
        <w:rPr>
          <w:rFonts w:ascii="Arial" w:hAnsi="Arial" w:cs="Arial"/>
        </w:rPr>
        <w:t>:</w:t>
      </w:r>
      <w:r>
        <w:rPr>
          <w:rFonts w:ascii="Arial" w:cs="Arial" w:hAnsiTheme="minorEastAsia"/>
        </w:rPr>
        <w:t>为保障行政单位</w:t>
      </w:r>
      <w:r>
        <w:rPr>
          <w:rFonts w:ascii="Arial" w:hAnsi="Arial" w:cs="Arial"/>
        </w:rPr>
        <w:t>(</w:t>
      </w:r>
      <w:r>
        <w:rPr>
          <w:rFonts w:ascii="Arial" w:cs="Arial" w:hAnsiTheme="minorEastAsia"/>
        </w:rPr>
        <w:t>含参照公务员法管理的事业单位</w:t>
      </w:r>
      <w:r>
        <w:rPr>
          <w:rFonts w:ascii="Arial" w:hAnsi="Arial" w:cs="Arial"/>
        </w:rPr>
        <w:t>)</w:t>
      </w:r>
      <w:r>
        <w:rPr>
          <w:rFonts w:ascii="Arial" w:cs="Arial" w:hAnsiTheme="minorEastAsia"/>
        </w:rPr>
        <w:t>运行用于购买货物和服务的各项资金</w:t>
      </w:r>
      <w:r>
        <w:rPr>
          <w:rFonts w:ascii="Arial" w:hAnsi="Arial" w:cs="Arial"/>
        </w:rPr>
        <w:t>,</w:t>
      </w:r>
      <w:r>
        <w:rPr>
          <w:rFonts w:ascii="Arial" w:cs="Arial" w:hAnsiTheme="minorEastAsia"/>
        </w:rPr>
        <w:t>包括办公及印刷费、邮电费、差旅费、会议费、福利费、日常维修费、专用材料及一般设备购置费、办公用房水电费、办公用房取暖费、办公用房物业管理费、公务用车运行维护费以及其他费用。</w:t>
      </w:r>
    </w:p>
    <w:p>
      <w:pPr>
        <w:pStyle w:val="6"/>
        <w:widowControl/>
        <w:spacing w:beforeAutospacing="0" w:afterAutospacing="0" w:line="460" w:lineRule="exact"/>
        <w:ind w:firstLine="480" w:firstLineChars="200"/>
        <w:rPr>
          <w:rFonts w:ascii="Arial" w:hAnsi="Arial" w:cs="Arial"/>
        </w:rPr>
      </w:pPr>
      <w:r>
        <w:rPr>
          <w:rFonts w:ascii="Arial" w:hAnsi="Arial" w:eastAsia="MS Mincho" w:cs="Arial"/>
        </w:rPr>
        <w:t> </w:t>
      </w:r>
      <w:r>
        <w:rPr>
          <w:rFonts w:ascii="Arial" w:hAnsi="宋体" w:eastAsia="宋体" w:cs="Arial"/>
        </w:rPr>
        <w:t>十二、招商引资：指用于招商引资、优化经济环境等方面的支出。</w:t>
      </w:r>
    </w:p>
    <w:p>
      <w:pPr>
        <w:pStyle w:val="6"/>
        <w:widowControl/>
        <w:spacing w:beforeAutospacing="0" w:afterAutospacing="0" w:line="460" w:lineRule="exact"/>
        <w:ind w:firstLine="480" w:firstLineChars="200"/>
        <w:rPr>
          <w:rFonts w:ascii="Arial" w:hAnsi="Arial" w:cs="Arial"/>
        </w:rPr>
      </w:pPr>
      <w:r>
        <w:rPr>
          <w:rFonts w:ascii="Arial" w:cs="Arial" w:hAnsiTheme="minorEastAsia"/>
        </w:rPr>
        <w:t>十三、</w:t>
      </w:r>
      <w:r>
        <w:rPr>
          <w:rFonts w:ascii="Arial" w:hAnsi="Arial" w:cs="Arial"/>
        </w:rPr>
        <w:t xml:space="preserve"> </w:t>
      </w:r>
      <w:r>
        <w:rPr>
          <w:rFonts w:ascii="Arial" w:cs="Arial" w:hAnsiTheme="minorEastAsia"/>
        </w:rPr>
        <w:t>机关事业单位基本养老保险缴费支出：指机关事业单位实施养老保险制度由单位缴纳的基本养老保险费支出。</w:t>
      </w:r>
    </w:p>
    <w:p>
      <w:pPr>
        <w:pStyle w:val="6"/>
        <w:widowControl/>
        <w:spacing w:beforeAutospacing="0" w:afterAutospacing="0" w:line="460" w:lineRule="exact"/>
        <w:ind w:firstLine="480" w:firstLineChars="200"/>
        <w:rPr>
          <w:rFonts w:ascii="Arial" w:hAnsi="Arial" w:cs="Arial"/>
        </w:rPr>
      </w:pPr>
      <w:r>
        <w:rPr>
          <w:rFonts w:ascii="Arial" w:cs="Arial" w:hAnsiTheme="minorEastAsia"/>
        </w:rPr>
        <w:t>十四、行政单位医疗：指财政部门集中安排的行政单位基本医疗保险缴费经费，未参加医疗保险的行政单位的公费医疗经费，按国家规定享受离休人员、红军老战士待遇人员的医疗经费。</w:t>
      </w:r>
    </w:p>
    <w:p>
      <w:pPr>
        <w:spacing w:line="460" w:lineRule="exact"/>
        <w:ind w:firstLine="480" w:firstLineChars="200"/>
        <w:rPr>
          <w:rFonts w:ascii="Arial" w:hAnsi="Arial" w:cs="Arial"/>
          <w:sz w:val="24"/>
          <w:szCs w:val="24"/>
        </w:rPr>
      </w:pPr>
      <w:r>
        <w:rPr>
          <w:rFonts w:ascii="Arial" w:cs="Arial" w:hAnsiTheme="minorEastAsia"/>
          <w:sz w:val="24"/>
          <w:szCs w:val="24"/>
        </w:rPr>
        <w:t>十五、住房公积金：指行政事业单位按人力资源和社会保障部、财政部规定的基本工资和津贴补贴以及规定比例为职工缴纳的住房公积金。</w:t>
      </w:r>
    </w:p>
    <w:p>
      <w:pPr>
        <w:pStyle w:val="2"/>
        <w:spacing w:line="460" w:lineRule="exact"/>
        <w:ind w:firstLine="5520" w:firstLineChars="2300"/>
        <w:rPr>
          <w:rFonts w:ascii="Arial" w:hAnsi="Arial" w:cs="Arial"/>
          <w:sz w:val="24"/>
          <w:szCs w:val="24"/>
        </w:rPr>
      </w:pPr>
      <w:r>
        <w:rPr>
          <w:rFonts w:ascii="Arial" w:cs="Arial" w:hAnsiTheme="minorEastAsia"/>
          <w:sz w:val="24"/>
          <w:szCs w:val="24"/>
        </w:rPr>
        <w:t>全州县投资促进局</w:t>
      </w:r>
      <w:r>
        <w:rPr>
          <w:rFonts w:ascii="Arial" w:hAnsi="Arial" w:cs="Arial"/>
          <w:sz w:val="24"/>
          <w:szCs w:val="24"/>
        </w:rPr>
        <w:t xml:space="preserve"> </w:t>
      </w:r>
    </w:p>
    <w:p>
      <w:pPr>
        <w:pStyle w:val="2"/>
        <w:spacing w:line="460" w:lineRule="exact"/>
        <w:ind w:firstLine="240"/>
        <w:jc w:val="right"/>
        <w:rPr>
          <w:rFonts w:ascii="Arial" w:hAnsi="Arial" w:cs="Arial"/>
          <w:sz w:val="24"/>
          <w:szCs w:val="24"/>
        </w:rPr>
      </w:pPr>
      <w:r>
        <w:rPr>
          <w:rFonts w:ascii="Arial" w:hAnsi="Arial" w:cs="Arial"/>
          <w:sz w:val="24"/>
          <w:szCs w:val="24"/>
        </w:rPr>
        <w:t>2023</w:t>
      </w:r>
      <w:r>
        <w:rPr>
          <w:rFonts w:ascii="Arial" w:cs="Arial" w:hAnsiTheme="minorEastAsia"/>
          <w:sz w:val="24"/>
          <w:szCs w:val="24"/>
        </w:rPr>
        <w:t>年</w:t>
      </w:r>
      <w:r>
        <w:rPr>
          <w:rFonts w:ascii="Arial" w:hAnsi="Arial" w:cs="Arial"/>
          <w:sz w:val="24"/>
          <w:szCs w:val="24"/>
        </w:rPr>
        <w:t>3</w:t>
      </w:r>
      <w:r>
        <w:rPr>
          <w:rFonts w:ascii="Arial" w:cs="Arial" w:hAnsiTheme="minorEastAsia"/>
          <w:sz w:val="24"/>
          <w:szCs w:val="24"/>
        </w:rPr>
        <w:t>月</w:t>
      </w:r>
      <w:r>
        <w:rPr>
          <w:rFonts w:ascii="Arial" w:hAnsi="Arial" w:cs="Arial"/>
          <w:sz w:val="24"/>
          <w:szCs w:val="24"/>
        </w:rPr>
        <w:t>27</w:t>
      </w:r>
      <w:r>
        <w:rPr>
          <w:rFonts w:ascii="Arial" w:cs="Arial" w:hAnsiTheme="minorEastAsia"/>
          <w:sz w:val="24"/>
          <w:szCs w:val="24"/>
        </w:rPr>
        <w:t>日</w:t>
      </w:r>
      <w:r>
        <w:rPr>
          <w:rFonts w:ascii="Arial" w:hAnsi="Arial" w:cs="Arial"/>
          <w:sz w:val="24"/>
          <w:szCs w:val="24"/>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231DE7"/>
    <w:rsid w:val="0031380D"/>
    <w:rsid w:val="004D7568"/>
    <w:rsid w:val="007200AE"/>
    <w:rsid w:val="007402CA"/>
    <w:rsid w:val="00AF27D2"/>
    <w:rsid w:val="00BE1545"/>
    <w:rsid w:val="00E4130F"/>
    <w:rsid w:val="012810B4"/>
    <w:rsid w:val="01282E62"/>
    <w:rsid w:val="012F2443"/>
    <w:rsid w:val="01954136"/>
    <w:rsid w:val="022C2E9B"/>
    <w:rsid w:val="026003DA"/>
    <w:rsid w:val="033E4BBF"/>
    <w:rsid w:val="034F4BFC"/>
    <w:rsid w:val="036F6B27"/>
    <w:rsid w:val="03F06553"/>
    <w:rsid w:val="043A598D"/>
    <w:rsid w:val="047F723D"/>
    <w:rsid w:val="04877EA0"/>
    <w:rsid w:val="04C74740"/>
    <w:rsid w:val="04C75BAA"/>
    <w:rsid w:val="050634BB"/>
    <w:rsid w:val="0532605E"/>
    <w:rsid w:val="05B91F47"/>
    <w:rsid w:val="05F257ED"/>
    <w:rsid w:val="060A0D89"/>
    <w:rsid w:val="068707C4"/>
    <w:rsid w:val="07126147"/>
    <w:rsid w:val="073A569E"/>
    <w:rsid w:val="07514F8E"/>
    <w:rsid w:val="07AD40C1"/>
    <w:rsid w:val="07C136C9"/>
    <w:rsid w:val="082C148A"/>
    <w:rsid w:val="08317D74"/>
    <w:rsid w:val="085A5FF7"/>
    <w:rsid w:val="0870581B"/>
    <w:rsid w:val="089477AB"/>
    <w:rsid w:val="08B03E69"/>
    <w:rsid w:val="09016473"/>
    <w:rsid w:val="094822F4"/>
    <w:rsid w:val="095F637E"/>
    <w:rsid w:val="0A5B7E05"/>
    <w:rsid w:val="0A9F4195"/>
    <w:rsid w:val="0AB80DB3"/>
    <w:rsid w:val="0B0C739D"/>
    <w:rsid w:val="0B4D1E43"/>
    <w:rsid w:val="0B8E5FB8"/>
    <w:rsid w:val="0BC35C62"/>
    <w:rsid w:val="0BC83278"/>
    <w:rsid w:val="0C112E71"/>
    <w:rsid w:val="0C5211DB"/>
    <w:rsid w:val="0CAA5832"/>
    <w:rsid w:val="0CCE2B10"/>
    <w:rsid w:val="0CE73BD2"/>
    <w:rsid w:val="0CF307C8"/>
    <w:rsid w:val="0D4C612B"/>
    <w:rsid w:val="0D7731A8"/>
    <w:rsid w:val="0E2F75DE"/>
    <w:rsid w:val="0E4137B5"/>
    <w:rsid w:val="0F441788"/>
    <w:rsid w:val="10E548CC"/>
    <w:rsid w:val="10FE773C"/>
    <w:rsid w:val="111156C1"/>
    <w:rsid w:val="117758BA"/>
    <w:rsid w:val="1182211B"/>
    <w:rsid w:val="11CB3AC2"/>
    <w:rsid w:val="12323B41"/>
    <w:rsid w:val="12353631"/>
    <w:rsid w:val="12570470"/>
    <w:rsid w:val="12C549B5"/>
    <w:rsid w:val="130D1EB8"/>
    <w:rsid w:val="134C29E0"/>
    <w:rsid w:val="134E640D"/>
    <w:rsid w:val="135B0E75"/>
    <w:rsid w:val="14092680"/>
    <w:rsid w:val="14496F20"/>
    <w:rsid w:val="14665D24"/>
    <w:rsid w:val="14BD6FE9"/>
    <w:rsid w:val="14DE58EF"/>
    <w:rsid w:val="15747FCD"/>
    <w:rsid w:val="15EE7D7F"/>
    <w:rsid w:val="1666025D"/>
    <w:rsid w:val="166E7112"/>
    <w:rsid w:val="16B03286"/>
    <w:rsid w:val="16FF7D6A"/>
    <w:rsid w:val="17832749"/>
    <w:rsid w:val="17CE60BA"/>
    <w:rsid w:val="18672E4D"/>
    <w:rsid w:val="18B51028"/>
    <w:rsid w:val="18C94AD3"/>
    <w:rsid w:val="197131A1"/>
    <w:rsid w:val="19C84D8B"/>
    <w:rsid w:val="19DF45AE"/>
    <w:rsid w:val="19E716B5"/>
    <w:rsid w:val="19EA2F53"/>
    <w:rsid w:val="19EA6AAF"/>
    <w:rsid w:val="19EF056A"/>
    <w:rsid w:val="19FD4A34"/>
    <w:rsid w:val="1A0A6ADB"/>
    <w:rsid w:val="1A2F6BB8"/>
    <w:rsid w:val="1A635AB5"/>
    <w:rsid w:val="1A907657"/>
    <w:rsid w:val="1AE45BF4"/>
    <w:rsid w:val="1BD16179"/>
    <w:rsid w:val="1BFB31F6"/>
    <w:rsid w:val="1C185B56"/>
    <w:rsid w:val="1C3B7A96"/>
    <w:rsid w:val="1CDA105D"/>
    <w:rsid w:val="1D100F23"/>
    <w:rsid w:val="1E7B6870"/>
    <w:rsid w:val="1E86274F"/>
    <w:rsid w:val="1F914883"/>
    <w:rsid w:val="1FBC7140"/>
    <w:rsid w:val="1FFC753C"/>
    <w:rsid w:val="20301983"/>
    <w:rsid w:val="20450EE3"/>
    <w:rsid w:val="20A24B5E"/>
    <w:rsid w:val="20C938C2"/>
    <w:rsid w:val="214B42D7"/>
    <w:rsid w:val="219E23A2"/>
    <w:rsid w:val="22341318"/>
    <w:rsid w:val="22B1460E"/>
    <w:rsid w:val="23EA72C1"/>
    <w:rsid w:val="24F627AC"/>
    <w:rsid w:val="255B155F"/>
    <w:rsid w:val="255F65A3"/>
    <w:rsid w:val="258F5248"/>
    <w:rsid w:val="25BA7C7E"/>
    <w:rsid w:val="25C96113"/>
    <w:rsid w:val="267A25E8"/>
    <w:rsid w:val="26FB22FC"/>
    <w:rsid w:val="27035654"/>
    <w:rsid w:val="271C2272"/>
    <w:rsid w:val="277B0402"/>
    <w:rsid w:val="278F0C96"/>
    <w:rsid w:val="27B30E28"/>
    <w:rsid w:val="27DD40F7"/>
    <w:rsid w:val="28153891"/>
    <w:rsid w:val="283755B5"/>
    <w:rsid w:val="28773C04"/>
    <w:rsid w:val="288307FB"/>
    <w:rsid w:val="28CD7CC8"/>
    <w:rsid w:val="28E219C5"/>
    <w:rsid w:val="28E514B5"/>
    <w:rsid w:val="29006CED"/>
    <w:rsid w:val="295E3016"/>
    <w:rsid w:val="296C5733"/>
    <w:rsid w:val="2A002645"/>
    <w:rsid w:val="2A135BAE"/>
    <w:rsid w:val="2A481CFC"/>
    <w:rsid w:val="2A585CB7"/>
    <w:rsid w:val="2A665F0A"/>
    <w:rsid w:val="2A8A2314"/>
    <w:rsid w:val="2A8E16D9"/>
    <w:rsid w:val="2A97058D"/>
    <w:rsid w:val="2AAD2DA1"/>
    <w:rsid w:val="2ADE440E"/>
    <w:rsid w:val="2B342280"/>
    <w:rsid w:val="2C475FE3"/>
    <w:rsid w:val="2CBF45DD"/>
    <w:rsid w:val="2DE7182C"/>
    <w:rsid w:val="2E163EBF"/>
    <w:rsid w:val="2EA4771D"/>
    <w:rsid w:val="2EF361A4"/>
    <w:rsid w:val="2FB219C5"/>
    <w:rsid w:val="2FC736C3"/>
    <w:rsid w:val="2FD91648"/>
    <w:rsid w:val="3002294D"/>
    <w:rsid w:val="30403475"/>
    <w:rsid w:val="3075311F"/>
    <w:rsid w:val="3103697D"/>
    <w:rsid w:val="314C7F52"/>
    <w:rsid w:val="31B639EF"/>
    <w:rsid w:val="31C11B09"/>
    <w:rsid w:val="31CA7C8B"/>
    <w:rsid w:val="31CF6156"/>
    <w:rsid w:val="31DA4C7C"/>
    <w:rsid w:val="32821B23"/>
    <w:rsid w:val="329955BA"/>
    <w:rsid w:val="32F3657D"/>
    <w:rsid w:val="332C45EC"/>
    <w:rsid w:val="334D3EDF"/>
    <w:rsid w:val="335D7E9A"/>
    <w:rsid w:val="33835B53"/>
    <w:rsid w:val="33E12879"/>
    <w:rsid w:val="33E365F1"/>
    <w:rsid w:val="34943D90"/>
    <w:rsid w:val="34D81ECE"/>
    <w:rsid w:val="354B08F2"/>
    <w:rsid w:val="35A46254"/>
    <w:rsid w:val="36015455"/>
    <w:rsid w:val="366D4898"/>
    <w:rsid w:val="36AC3612"/>
    <w:rsid w:val="3701395E"/>
    <w:rsid w:val="3731555C"/>
    <w:rsid w:val="37757EA8"/>
    <w:rsid w:val="37FA03AE"/>
    <w:rsid w:val="386341A5"/>
    <w:rsid w:val="387E2D8D"/>
    <w:rsid w:val="38D26C34"/>
    <w:rsid w:val="390C2146"/>
    <w:rsid w:val="39292CF8"/>
    <w:rsid w:val="3995038E"/>
    <w:rsid w:val="399C171C"/>
    <w:rsid w:val="39AC420B"/>
    <w:rsid w:val="39DC5FBD"/>
    <w:rsid w:val="3A2F2590"/>
    <w:rsid w:val="3ABE3914"/>
    <w:rsid w:val="3B3B6D13"/>
    <w:rsid w:val="3B6F5CE0"/>
    <w:rsid w:val="3BB0325D"/>
    <w:rsid w:val="3C6276EB"/>
    <w:rsid w:val="3C940DD1"/>
    <w:rsid w:val="3CB74ABF"/>
    <w:rsid w:val="3CDE3DFA"/>
    <w:rsid w:val="3E467EA9"/>
    <w:rsid w:val="410F4ECA"/>
    <w:rsid w:val="41390199"/>
    <w:rsid w:val="41474664"/>
    <w:rsid w:val="416845DA"/>
    <w:rsid w:val="41F67E38"/>
    <w:rsid w:val="42044303"/>
    <w:rsid w:val="4255383B"/>
    <w:rsid w:val="427D5E63"/>
    <w:rsid w:val="42AB0C22"/>
    <w:rsid w:val="43762FDE"/>
    <w:rsid w:val="43AF029E"/>
    <w:rsid w:val="44D22496"/>
    <w:rsid w:val="44EB3558"/>
    <w:rsid w:val="45344EFF"/>
    <w:rsid w:val="45E5444B"/>
    <w:rsid w:val="45E561F9"/>
    <w:rsid w:val="45EC546D"/>
    <w:rsid w:val="4618037D"/>
    <w:rsid w:val="46431172"/>
    <w:rsid w:val="46470C62"/>
    <w:rsid w:val="467D3251"/>
    <w:rsid w:val="473B309B"/>
    <w:rsid w:val="4770243A"/>
    <w:rsid w:val="47A53E92"/>
    <w:rsid w:val="47E349BA"/>
    <w:rsid w:val="47FB61A8"/>
    <w:rsid w:val="489D100D"/>
    <w:rsid w:val="48AC4702"/>
    <w:rsid w:val="48E54249"/>
    <w:rsid w:val="48EC3D42"/>
    <w:rsid w:val="496A248A"/>
    <w:rsid w:val="4A834233"/>
    <w:rsid w:val="4A8F2BD7"/>
    <w:rsid w:val="4AA93C99"/>
    <w:rsid w:val="4B26353C"/>
    <w:rsid w:val="4C0F3FD0"/>
    <w:rsid w:val="4C7958ED"/>
    <w:rsid w:val="4DA77477"/>
    <w:rsid w:val="4DB017E2"/>
    <w:rsid w:val="4DCC40A8"/>
    <w:rsid w:val="4E265601"/>
    <w:rsid w:val="4E3857E7"/>
    <w:rsid w:val="4E8D742E"/>
    <w:rsid w:val="4EEF1E97"/>
    <w:rsid w:val="50593A6B"/>
    <w:rsid w:val="50EC0D83"/>
    <w:rsid w:val="516B614C"/>
    <w:rsid w:val="519E21E4"/>
    <w:rsid w:val="51DD247A"/>
    <w:rsid w:val="52546BE0"/>
    <w:rsid w:val="5325232B"/>
    <w:rsid w:val="53536E98"/>
    <w:rsid w:val="536C7F5A"/>
    <w:rsid w:val="53A414A2"/>
    <w:rsid w:val="53D77AC9"/>
    <w:rsid w:val="5459020F"/>
    <w:rsid w:val="54DA0EF3"/>
    <w:rsid w:val="54F93A6F"/>
    <w:rsid w:val="55230AEC"/>
    <w:rsid w:val="555E38D2"/>
    <w:rsid w:val="55741347"/>
    <w:rsid w:val="55A25EB5"/>
    <w:rsid w:val="55DB3175"/>
    <w:rsid w:val="563F54B2"/>
    <w:rsid w:val="575A3F96"/>
    <w:rsid w:val="57882E88"/>
    <w:rsid w:val="578C2978"/>
    <w:rsid w:val="57B73430"/>
    <w:rsid w:val="58044C05"/>
    <w:rsid w:val="581F37ED"/>
    <w:rsid w:val="58A14202"/>
    <w:rsid w:val="5A7E4E87"/>
    <w:rsid w:val="5AB87F28"/>
    <w:rsid w:val="5B323837"/>
    <w:rsid w:val="5B500161"/>
    <w:rsid w:val="5B525C87"/>
    <w:rsid w:val="5B6F4A8B"/>
    <w:rsid w:val="5B85605C"/>
    <w:rsid w:val="5D057FB8"/>
    <w:rsid w:val="5D2C42B6"/>
    <w:rsid w:val="5D5F468B"/>
    <w:rsid w:val="5DAB5B22"/>
    <w:rsid w:val="5E5B4E53"/>
    <w:rsid w:val="5ED370DF"/>
    <w:rsid w:val="5F24793A"/>
    <w:rsid w:val="5F6D308F"/>
    <w:rsid w:val="5FBA05AE"/>
    <w:rsid w:val="5FD020C8"/>
    <w:rsid w:val="60394153"/>
    <w:rsid w:val="60522285"/>
    <w:rsid w:val="60CA62C0"/>
    <w:rsid w:val="60D07D7A"/>
    <w:rsid w:val="61B218E9"/>
    <w:rsid w:val="61FE4473"/>
    <w:rsid w:val="630A6E47"/>
    <w:rsid w:val="636447A9"/>
    <w:rsid w:val="63CB2A7A"/>
    <w:rsid w:val="63DE4E6F"/>
    <w:rsid w:val="63F57AF7"/>
    <w:rsid w:val="63FE69AC"/>
    <w:rsid w:val="64410F8F"/>
    <w:rsid w:val="64A31301"/>
    <w:rsid w:val="65A92947"/>
    <w:rsid w:val="667E2026"/>
    <w:rsid w:val="66CF2882"/>
    <w:rsid w:val="670E33AA"/>
    <w:rsid w:val="680D18B3"/>
    <w:rsid w:val="683D6FE1"/>
    <w:rsid w:val="684B23DC"/>
    <w:rsid w:val="684B5F38"/>
    <w:rsid w:val="68617509"/>
    <w:rsid w:val="688B0A2A"/>
    <w:rsid w:val="689866A0"/>
    <w:rsid w:val="68FA68F9"/>
    <w:rsid w:val="690305C1"/>
    <w:rsid w:val="692C5D69"/>
    <w:rsid w:val="694C1F68"/>
    <w:rsid w:val="695E7F4C"/>
    <w:rsid w:val="698060B5"/>
    <w:rsid w:val="69967687"/>
    <w:rsid w:val="6A4946F9"/>
    <w:rsid w:val="6A75729C"/>
    <w:rsid w:val="6B2F38EF"/>
    <w:rsid w:val="6B317667"/>
    <w:rsid w:val="6C6D0B73"/>
    <w:rsid w:val="6E7206C2"/>
    <w:rsid w:val="6EE964AB"/>
    <w:rsid w:val="6F0B01CF"/>
    <w:rsid w:val="70645DE9"/>
    <w:rsid w:val="70A703CB"/>
    <w:rsid w:val="712E63F7"/>
    <w:rsid w:val="71A010A2"/>
    <w:rsid w:val="722A3062"/>
    <w:rsid w:val="72691DDC"/>
    <w:rsid w:val="72ED672C"/>
    <w:rsid w:val="74620891"/>
    <w:rsid w:val="74953D23"/>
    <w:rsid w:val="74CA4688"/>
    <w:rsid w:val="75EA6D90"/>
    <w:rsid w:val="76360227"/>
    <w:rsid w:val="764364A0"/>
    <w:rsid w:val="766823AB"/>
    <w:rsid w:val="769336DC"/>
    <w:rsid w:val="76B80C3C"/>
    <w:rsid w:val="76CD220E"/>
    <w:rsid w:val="76DD68F5"/>
    <w:rsid w:val="775546DD"/>
    <w:rsid w:val="77CD0717"/>
    <w:rsid w:val="782A7918"/>
    <w:rsid w:val="78650950"/>
    <w:rsid w:val="78761059"/>
    <w:rsid w:val="78EA70A7"/>
    <w:rsid w:val="79CB6ED9"/>
    <w:rsid w:val="7A235373"/>
    <w:rsid w:val="7A2465E9"/>
    <w:rsid w:val="7A5A4353"/>
    <w:rsid w:val="7AD36DC3"/>
    <w:rsid w:val="7B8C08E9"/>
    <w:rsid w:val="7BA93249"/>
    <w:rsid w:val="7BF00E78"/>
    <w:rsid w:val="7C1A709C"/>
    <w:rsid w:val="7C321491"/>
    <w:rsid w:val="7DEB7B49"/>
    <w:rsid w:val="7E3314F0"/>
    <w:rsid w:val="7F207CC7"/>
    <w:rsid w:val="7F250E39"/>
    <w:rsid w:val="7F6E0A32"/>
    <w:rsid w:val="7F9146B7"/>
    <w:rsid w:val="7F9B559F"/>
    <w:rsid w:val="7FA93818"/>
    <w:rsid w:val="7FC706CE"/>
    <w:rsid w:val="7FF3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9">
    <w:name w:val="Strong"/>
    <w:basedOn w:val="8"/>
    <w:qFormat/>
    <w:uiPriority w:val="22"/>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9</Pages>
  <Words>4984</Words>
  <Characters>5589</Characters>
  <Lines>40</Lines>
  <Paragraphs>11</Paragraphs>
  <TotalTime>5</TotalTime>
  <ScaleCrop>false</ScaleCrop>
  <LinksUpToDate>false</LinksUpToDate>
  <CharactersWithSpaces>5609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cp:lastPrinted>2023-03-27T05:57:00Z</cp:lastPrinted>
  <dcterms:modified xsi:type="dcterms:W3CDTF">2023-06-25T08:52:29Z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735C88C555744AA596C61A472DAD8BE6</vt:lpwstr>
  </property>
</Properties>
</file>