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460" w:lineRule="exact"/>
      </w:pPr>
      <w:bookmarkStart w:id="0" w:name="_GoBack"/>
      <w:bookmarkEnd w:id="0"/>
      <w:r>
        <w:t> </w:t>
      </w:r>
    </w:p>
    <w:p>
      <w:pPr>
        <w:pStyle w:val="5"/>
        <w:widowControl/>
        <w:spacing w:before="150" w:beforeAutospacing="0" w:after="150" w:afterAutospacing="0" w:line="460" w:lineRule="exact"/>
        <w:ind w:firstLine="420"/>
        <w:jc w:val="center"/>
        <w:rPr>
          <w:rFonts w:ascii="Arial" w:hAnsi="Arial" w:cs="Arial"/>
        </w:rPr>
      </w:pPr>
      <w:r>
        <w:rPr>
          <w:rFonts w:hint="eastAsia" w:ascii="Arial" w:hAnsi="Arial" w:cs="Arial"/>
          <w:lang w:val="en-US" w:eastAsia="zh-CN"/>
        </w:rPr>
        <w:t>中国共产党</w:t>
      </w:r>
      <w:r>
        <w:rPr>
          <w:rFonts w:ascii="Arial" w:hAnsi="Arial" w:cs="Arial"/>
        </w:rPr>
        <w:t>全州</w:t>
      </w:r>
      <w:r>
        <w:rPr>
          <w:rFonts w:hint="eastAsia" w:ascii="Arial" w:hAnsi="Arial" w:cs="Arial"/>
        </w:rPr>
        <w:t>县</w:t>
      </w:r>
      <w:r>
        <w:rPr>
          <w:rFonts w:hint="eastAsia" w:ascii="Arial" w:hAnsi="Arial" w:cs="Arial"/>
          <w:lang w:val="en-US" w:eastAsia="zh-CN"/>
        </w:rPr>
        <w:t>委员会</w:t>
      </w:r>
      <w:r>
        <w:rPr>
          <w:rFonts w:hint="eastAsia" w:ascii="Arial" w:hAnsi="Arial" w:cs="Arial"/>
        </w:rPr>
        <w:t>宣传部</w:t>
      </w:r>
      <w:r>
        <w:rPr>
          <w:rFonts w:ascii="Arial" w:hAnsi="Arial" w:cs="Arial"/>
        </w:rPr>
        <w:t>2023年部门预算</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目录</w:t>
      </w:r>
    </w:p>
    <w:p>
      <w:pPr>
        <w:pStyle w:val="5"/>
        <w:widowControl/>
        <w:spacing w:before="150" w:beforeAutospacing="0" w:after="150" w:afterAutospacing="0" w:line="460" w:lineRule="exact"/>
        <w:ind w:firstLine="420"/>
        <w:rPr>
          <w:rFonts w:ascii="Arial" w:hAnsi="Arial" w:cs="Arial"/>
        </w:rPr>
      </w:pPr>
      <w:r>
        <w:rPr>
          <w:rFonts w:ascii="Arial" w:hAnsi="Arial" w:cs="Arial"/>
        </w:rPr>
        <w:t>第一部分 部门概况</w:t>
      </w:r>
    </w:p>
    <w:p>
      <w:pPr>
        <w:pStyle w:val="5"/>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5"/>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5"/>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5"/>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5"/>
        <w:widowControl/>
        <w:spacing w:before="150" w:beforeAutospacing="0" w:after="150" w:afterAutospacing="0" w:line="460" w:lineRule="exact"/>
        <w:ind w:firstLine="420"/>
        <w:rPr>
          <w:rFonts w:ascii="Arial" w:hAnsi="Arial" w:cs="Arial"/>
        </w:rPr>
      </w:pPr>
      <w:r>
        <w:rPr>
          <w:rFonts w:ascii="Arial" w:hAnsi="Arial" w:cs="Arial"/>
        </w:rPr>
        <w:t>第二部分 部门预算报表</w:t>
      </w:r>
    </w:p>
    <w:p>
      <w:pPr>
        <w:pStyle w:val="5"/>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pPr>
        <w:pStyle w:val="5"/>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5"/>
        <w:widowControl/>
        <w:spacing w:before="150" w:beforeAutospacing="0" w:after="150" w:afterAutospacing="0" w:line="460" w:lineRule="exact"/>
        <w:ind w:firstLine="420"/>
        <w:jc w:val="center"/>
        <w:rPr>
          <w:rFonts w:ascii="Arial" w:hAnsi="Arial" w:cs="Arial"/>
        </w:rPr>
      </w:pPr>
    </w:p>
    <w:p>
      <w:pPr>
        <w:pStyle w:val="5"/>
        <w:widowControl/>
        <w:spacing w:before="150" w:beforeAutospacing="0" w:after="150" w:afterAutospacing="0" w:line="460" w:lineRule="exact"/>
        <w:ind w:firstLine="420"/>
        <w:jc w:val="center"/>
        <w:rPr>
          <w:rFonts w:ascii="Arial" w:hAnsi="Arial" w:cs="Arial"/>
        </w:rPr>
      </w:pP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5"/>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5"/>
        <w:widowControl/>
        <w:spacing w:before="150" w:after="150" w:line="460" w:lineRule="exact"/>
        <w:ind w:firstLine="420"/>
        <w:rPr>
          <w:rFonts w:ascii="Arial" w:hAnsi="Arial" w:cs="Arial"/>
        </w:rPr>
      </w:pPr>
      <w:r>
        <w:rPr>
          <w:rFonts w:hint="eastAsia" w:ascii="Arial" w:hAnsi="Arial" w:cs="Arial"/>
        </w:rPr>
        <w:t>1、在县委领导下，组织协调全县意识形态和宣传思想文化工作；</w:t>
      </w:r>
    </w:p>
    <w:p>
      <w:pPr>
        <w:pStyle w:val="5"/>
        <w:widowControl/>
        <w:spacing w:before="150" w:after="150" w:line="460" w:lineRule="exact"/>
        <w:ind w:firstLine="420"/>
        <w:rPr>
          <w:rFonts w:ascii="Arial" w:hAnsi="Arial" w:cs="Arial"/>
        </w:rPr>
      </w:pPr>
      <w:r>
        <w:rPr>
          <w:rFonts w:hint="eastAsia" w:ascii="Arial" w:hAnsi="Arial" w:cs="Arial"/>
        </w:rPr>
        <w:t>2、负责全县领导干部武装理论学习，负责全县各党委（党组）理论学习中心组学习，负责开展理论宣讲；</w:t>
      </w:r>
    </w:p>
    <w:p>
      <w:pPr>
        <w:pStyle w:val="5"/>
        <w:widowControl/>
        <w:spacing w:before="150" w:after="150" w:line="460" w:lineRule="exact"/>
        <w:ind w:firstLine="420"/>
        <w:rPr>
          <w:rFonts w:ascii="Arial" w:hAnsi="Arial" w:cs="Arial"/>
        </w:rPr>
      </w:pPr>
      <w:r>
        <w:rPr>
          <w:rFonts w:hint="eastAsia" w:ascii="Arial" w:hAnsi="Arial" w:cs="Arial"/>
        </w:rPr>
        <w:t>3、负责全县经济社会发展的对内、对外的宣传报道工作，负责对县级媒体的管控工作；</w:t>
      </w:r>
    </w:p>
    <w:p>
      <w:pPr>
        <w:pStyle w:val="5"/>
        <w:widowControl/>
        <w:spacing w:before="150" w:after="150" w:line="460" w:lineRule="exact"/>
        <w:ind w:firstLine="420"/>
        <w:rPr>
          <w:rFonts w:ascii="Arial" w:hAnsi="Arial" w:cs="Arial"/>
        </w:rPr>
      </w:pPr>
      <w:r>
        <w:rPr>
          <w:rFonts w:hint="eastAsia" w:ascii="Arial" w:hAnsi="Arial" w:cs="Arial"/>
        </w:rPr>
        <w:t>4、负责全县社会宣传、文化建设工作，组织开展各类文体活动；</w:t>
      </w:r>
    </w:p>
    <w:p>
      <w:pPr>
        <w:pStyle w:val="5"/>
        <w:widowControl/>
        <w:spacing w:before="150" w:after="150" w:line="460" w:lineRule="exact"/>
        <w:ind w:firstLine="420"/>
        <w:rPr>
          <w:rFonts w:ascii="Arial" w:hAnsi="Arial" w:cs="Arial"/>
        </w:rPr>
      </w:pPr>
      <w:r>
        <w:rPr>
          <w:rFonts w:hint="eastAsia" w:ascii="Arial" w:hAnsi="Arial" w:cs="Arial"/>
        </w:rPr>
        <w:t>5、负责公民思想道德建设和群众性精神文明创建工作，负责志愿服务管理工作；</w:t>
      </w:r>
    </w:p>
    <w:p>
      <w:pPr>
        <w:pStyle w:val="5"/>
        <w:widowControl/>
        <w:spacing w:before="150" w:after="150" w:line="460" w:lineRule="exact"/>
        <w:ind w:firstLine="420"/>
        <w:rPr>
          <w:rFonts w:ascii="Arial" w:hAnsi="Arial" w:cs="Arial"/>
        </w:rPr>
      </w:pPr>
      <w:r>
        <w:rPr>
          <w:rFonts w:hint="eastAsia" w:ascii="Arial" w:hAnsi="Arial" w:cs="Arial"/>
        </w:rPr>
        <w:t>6、负责全县网络信息、文艺工作、社科工作的领导管理和组织协调。</w:t>
      </w:r>
    </w:p>
    <w:p>
      <w:pPr>
        <w:pStyle w:val="5"/>
        <w:widowControl/>
        <w:spacing w:before="150" w:after="150" w:line="460" w:lineRule="exact"/>
        <w:ind w:firstLine="420"/>
        <w:rPr>
          <w:rFonts w:ascii="Arial" w:hAnsi="Arial" w:cs="Arial"/>
        </w:rPr>
      </w:pPr>
      <w:r>
        <w:rPr>
          <w:rFonts w:hint="eastAsia" w:ascii="Arial" w:hAnsi="Arial" w:cs="Arial"/>
        </w:rPr>
        <w:t>二、机构设置(本级和二层单位构成)</w:t>
      </w:r>
    </w:p>
    <w:p>
      <w:pPr>
        <w:pStyle w:val="5"/>
        <w:widowControl/>
        <w:spacing w:before="150" w:after="150" w:line="460" w:lineRule="exact"/>
        <w:ind w:firstLine="420"/>
        <w:rPr>
          <w:rFonts w:ascii="Arial" w:hAnsi="Arial" w:cs="Arial"/>
        </w:rPr>
      </w:pPr>
      <w:r>
        <w:rPr>
          <w:rFonts w:hint="eastAsia" w:ascii="Arial" w:hAnsi="Arial" w:cs="Arial"/>
        </w:rPr>
        <w:t>2022年我部门预算编制单位共6个，具体如下：</w:t>
      </w:r>
    </w:p>
    <w:p>
      <w:pPr>
        <w:pStyle w:val="5"/>
        <w:widowControl/>
        <w:spacing w:before="150" w:after="150" w:line="460" w:lineRule="exact"/>
        <w:ind w:firstLine="420"/>
        <w:rPr>
          <w:rFonts w:ascii="Arial" w:hAnsi="Arial" w:cs="Arial"/>
        </w:rPr>
      </w:pPr>
      <w:r>
        <w:rPr>
          <w:rFonts w:hint="eastAsia" w:ascii="Arial" w:hAnsi="Arial" w:cs="Arial"/>
        </w:rPr>
        <w:t>1、行政单位1个，即：中共全州县委宣传部。其中内设股室有：办公室、宣传教育股、意识形态和理论股、新闻调研舆情信息股、文化股、精神文明建设股、新闻出版及电影管理股、网络安全和信息化股。</w:t>
      </w:r>
    </w:p>
    <w:p>
      <w:pPr>
        <w:pStyle w:val="5"/>
        <w:widowControl/>
        <w:spacing w:before="150" w:after="150" w:line="460" w:lineRule="exact"/>
        <w:ind w:firstLine="420"/>
        <w:rPr>
          <w:rFonts w:ascii="Arial" w:hAnsi="Arial" w:cs="Arial"/>
        </w:rPr>
      </w:pPr>
      <w:r>
        <w:rPr>
          <w:rFonts w:hint="eastAsia" w:ascii="Arial" w:hAnsi="Arial" w:cs="Arial"/>
        </w:rPr>
        <w:t>2、参公事业单位1个，即：全州县社会科学界联合会</w:t>
      </w:r>
    </w:p>
    <w:p>
      <w:pPr>
        <w:pStyle w:val="5"/>
        <w:widowControl/>
        <w:spacing w:before="150" w:after="150" w:line="460" w:lineRule="exact"/>
        <w:ind w:firstLine="420"/>
        <w:rPr>
          <w:rFonts w:ascii="Arial" w:hAnsi="Arial" w:cs="Arial"/>
        </w:rPr>
      </w:pPr>
      <w:r>
        <w:rPr>
          <w:rFonts w:hint="eastAsia" w:ascii="Arial" w:hAnsi="Arial" w:cs="Arial"/>
        </w:rPr>
        <w:t>3、全额拨款事业单位4个，即：全州县网信办、全州县《天湖》编辑部、全州县新闻服务中心、全州县出版发行服务中心。</w:t>
      </w:r>
    </w:p>
    <w:p>
      <w:pPr>
        <w:pStyle w:val="5"/>
        <w:widowControl/>
        <w:spacing w:before="150" w:after="150" w:line="460" w:lineRule="exact"/>
        <w:ind w:firstLine="420"/>
        <w:rPr>
          <w:rFonts w:ascii="Arial" w:hAnsi="Arial" w:cs="Arial"/>
        </w:rPr>
      </w:pPr>
      <w:r>
        <w:rPr>
          <w:rFonts w:hint="eastAsia" w:ascii="Arial" w:hAnsi="Arial" w:cs="Arial"/>
        </w:rPr>
        <w:t>三、编制现状及人员构成(本级和二层单位)</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中共全州县委宣传部部门编制人数为24人，其中：行政编制（含参公单位）14人，全额事业9人，工勤编制1人。</w:t>
      </w:r>
    </w:p>
    <w:p>
      <w:pPr>
        <w:pStyle w:val="5"/>
        <w:widowControl/>
        <w:spacing w:before="274" w:beforeAutospacing="0" w:after="274" w:afterAutospacing="0" w:line="360" w:lineRule="auto"/>
        <w:ind w:firstLine="475"/>
      </w:pPr>
      <w:r>
        <w:rPr>
          <w:rFonts w:ascii="Arial" w:hAnsi="Arial" w:cs="Arial"/>
        </w:rPr>
        <w:t>编内在职  </w:t>
      </w:r>
      <w:r>
        <w:rPr>
          <w:rFonts w:hint="eastAsia" w:ascii="Arial" w:hAnsi="Arial" w:cs="Arial"/>
        </w:rPr>
        <w:t>24</w:t>
      </w:r>
      <w:r>
        <w:rPr>
          <w:rFonts w:ascii="Arial" w:hAnsi="Arial" w:cs="Arial"/>
        </w:rPr>
        <w:t> 人，其中：行政在职（含参公单位）</w:t>
      </w:r>
      <w:r>
        <w:rPr>
          <w:rFonts w:hint="eastAsia" w:ascii="Arial" w:hAnsi="Arial" w:cs="Arial"/>
        </w:rPr>
        <w:t>14</w:t>
      </w:r>
      <w:r>
        <w:rPr>
          <w:rFonts w:ascii="Arial" w:hAnsi="Arial" w:cs="Arial"/>
        </w:rPr>
        <w:t>人，全额事业在职</w:t>
      </w:r>
      <w:r>
        <w:rPr>
          <w:rFonts w:hint="eastAsia" w:ascii="Arial" w:hAnsi="Arial" w:cs="Arial"/>
        </w:rPr>
        <w:t>9</w:t>
      </w:r>
      <w:r>
        <w:rPr>
          <w:rFonts w:ascii="Arial" w:hAnsi="Arial" w:cs="Arial"/>
        </w:rPr>
        <w:t>人，工勤在职</w:t>
      </w:r>
      <w:r>
        <w:rPr>
          <w:rFonts w:hint="eastAsia" w:ascii="Arial" w:hAnsi="Arial" w:cs="Arial"/>
        </w:rPr>
        <w:t>1</w:t>
      </w:r>
      <w:r>
        <w:rPr>
          <w:rFonts w:ascii="Arial" w:hAnsi="Arial" w:cs="Arial"/>
        </w:rPr>
        <w:t>人。离退休人员</w:t>
      </w:r>
      <w:r>
        <w:rPr>
          <w:rFonts w:hint="eastAsia" w:ascii="Arial" w:hAnsi="Arial" w:cs="Arial"/>
        </w:rPr>
        <w:t>6</w:t>
      </w:r>
      <w:r>
        <w:rPr>
          <w:rFonts w:ascii="Arial" w:hAnsi="Arial" w:cs="Arial"/>
        </w:rPr>
        <w:t>人，其中：离休人员</w:t>
      </w:r>
      <w:r>
        <w:rPr>
          <w:rFonts w:hint="eastAsia" w:ascii="Arial" w:hAnsi="Arial" w:cs="Arial"/>
        </w:rPr>
        <w:t>1</w:t>
      </w:r>
      <w:r>
        <w:rPr>
          <w:rFonts w:ascii="Arial" w:hAnsi="Arial" w:cs="Arial"/>
        </w:rPr>
        <w:t>人，退休人员</w:t>
      </w:r>
      <w:r>
        <w:rPr>
          <w:rFonts w:hint="eastAsia" w:ascii="Arial" w:hAnsi="Arial" w:cs="Arial"/>
        </w:rPr>
        <w:t>5</w:t>
      </w:r>
      <w:r>
        <w:rPr>
          <w:rFonts w:ascii="Arial" w:hAnsi="Arial" w:cs="Arial"/>
        </w:rPr>
        <w:t>人。</w:t>
      </w:r>
    </w:p>
    <w:p>
      <w:pPr>
        <w:pStyle w:val="5"/>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5"/>
        <w:widowControl/>
        <w:spacing w:before="274" w:beforeAutospacing="0" w:after="274" w:afterAutospacing="0" w:line="360" w:lineRule="auto"/>
        <w:ind w:firstLine="475"/>
        <w:rPr>
          <w:rFonts w:ascii="Arial" w:hAnsi="Arial" w:cs="Arial"/>
        </w:rPr>
      </w:pPr>
      <w:r>
        <w:rPr>
          <w:rFonts w:hint="eastAsia" w:ascii="Arial" w:hAnsi="Arial" w:cs="Arial"/>
        </w:rPr>
        <w:t>1、组织开展对内对外新闻宣传活动；</w:t>
      </w:r>
    </w:p>
    <w:p>
      <w:pPr>
        <w:pStyle w:val="5"/>
        <w:widowControl/>
        <w:spacing w:before="274" w:beforeAutospacing="0" w:after="274" w:afterAutospacing="0" w:line="360" w:lineRule="auto"/>
        <w:ind w:firstLine="475"/>
        <w:rPr>
          <w:rFonts w:ascii="Arial" w:hAnsi="Arial" w:cs="Arial"/>
        </w:rPr>
      </w:pPr>
      <w:r>
        <w:rPr>
          <w:rFonts w:hint="eastAsia" w:ascii="Arial" w:hAnsi="Arial" w:cs="Arial"/>
        </w:rPr>
        <w:t>2、开展社会主义核心价值观宣传活动；</w:t>
      </w:r>
    </w:p>
    <w:p>
      <w:pPr>
        <w:pStyle w:val="5"/>
        <w:widowControl/>
        <w:spacing w:before="274" w:beforeAutospacing="0" w:after="274" w:afterAutospacing="0" w:line="360" w:lineRule="auto"/>
        <w:ind w:firstLine="475"/>
        <w:rPr>
          <w:rFonts w:ascii="Arial" w:hAnsi="Arial" w:cs="Arial"/>
        </w:rPr>
      </w:pPr>
      <w:r>
        <w:rPr>
          <w:rFonts w:hint="eastAsia" w:ascii="Arial" w:hAnsi="Arial" w:cs="Arial"/>
        </w:rPr>
        <w:t>3、组织开展文明单位、文明村镇创建活动；</w:t>
      </w:r>
    </w:p>
    <w:p>
      <w:pPr>
        <w:pStyle w:val="5"/>
        <w:widowControl/>
        <w:spacing w:before="274" w:beforeAutospacing="0" w:after="274" w:afterAutospacing="0" w:line="360" w:lineRule="auto"/>
        <w:ind w:firstLine="475"/>
        <w:rPr>
          <w:rFonts w:ascii="Arial" w:hAnsi="Arial" w:cs="Arial"/>
        </w:rPr>
      </w:pPr>
      <w:r>
        <w:rPr>
          <w:rFonts w:hint="eastAsia" w:ascii="Arial" w:hAnsi="Arial" w:cs="Arial"/>
        </w:rPr>
        <w:t>4、组织开展理论学习和理论宣讲活动；</w:t>
      </w:r>
    </w:p>
    <w:p>
      <w:pPr>
        <w:pStyle w:val="5"/>
        <w:widowControl/>
        <w:spacing w:before="274" w:beforeAutospacing="0" w:after="274" w:afterAutospacing="0" w:line="360" w:lineRule="auto"/>
        <w:ind w:firstLine="475"/>
        <w:rPr>
          <w:rFonts w:ascii="Arial" w:hAnsi="Arial" w:cs="Arial"/>
        </w:rPr>
      </w:pPr>
      <w:r>
        <w:rPr>
          <w:rFonts w:hint="eastAsia" w:ascii="Arial" w:hAnsi="Arial" w:cs="Arial"/>
        </w:rPr>
        <w:t>5、组织开展文化三下乡和各类文体活动；</w:t>
      </w:r>
    </w:p>
    <w:p>
      <w:pPr>
        <w:pStyle w:val="5"/>
        <w:widowControl/>
        <w:spacing w:before="274" w:beforeAutospacing="0" w:after="274" w:afterAutospacing="0" w:line="360" w:lineRule="auto"/>
        <w:ind w:firstLine="475"/>
        <w:rPr>
          <w:rFonts w:ascii="Arial" w:hAnsi="Arial" w:cs="Arial"/>
        </w:rPr>
      </w:pPr>
      <w:r>
        <w:rPr>
          <w:rFonts w:hint="eastAsia" w:ascii="Arial" w:hAnsi="Arial" w:cs="Arial"/>
        </w:rPr>
        <w:t>6、组织开展社科研究活动；</w:t>
      </w:r>
    </w:p>
    <w:p>
      <w:pPr>
        <w:pStyle w:val="5"/>
        <w:widowControl/>
        <w:spacing w:before="274" w:beforeAutospacing="0" w:after="274" w:afterAutospacing="0" w:line="360" w:lineRule="auto"/>
        <w:ind w:firstLine="475"/>
        <w:rPr>
          <w:rFonts w:ascii="Arial" w:hAnsi="Arial" w:cs="Arial"/>
        </w:rPr>
      </w:pPr>
      <w:r>
        <w:rPr>
          <w:rFonts w:hint="eastAsia" w:ascii="Arial" w:hAnsi="Arial" w:cs="Arial"/>
        </w:rPr>
        <w:t>7、全县网络舆情监控、处置；</w:t>
      </w:r>
    </w:p>
    <w:p>
      <w:pPr>
        <w:pStyle w:val="5"/>
        <w:widowControl/>
        <w:spacing w:before="274" w:beforeAutospacing="0" w:after="274" w:afterAutospacing="0" w:line="360" w:lineRule="auto"/>
        <w:ind w:firstLine="475"/>
        <w:rPr>
          <w:rFonts w:ascii="Arial" w:hAnsi="Arial" w:cs="Arial"/>
        </w:rPr>
      </w:pPr>
      <w:r>
        <w:rPr>
          <w:rFonts w:hint="eastAsia" w:ascii="Arial" w:hAnsi="Arial" w:cs="Arial"/>
        </w:rPr>
        <w:t>8、负责新闻出版、扫黄打非工作。</w:t>
      </w:r>
    </w:p>
    <w:p>
      <w:pPr>
        <w:pStyle w:val="5"/>
        <w:widowControl/>
        <w:spacing w:before="150" w:beforeAutospacing="0" w:after="150" w:afterAutospacing="0" w:line="460" w:lineRule="exact"/>
        <w:ind w:firstLine="420"/>
        <w:rPr>
          <w:rFonts w:ascii="Arial" w:hAnsi="Arial" w:cs="Arial"/>
        </w:rPr>
      </w:pP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5"/>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第三部分  2023年部门预算情况说明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一、部门收支总体情况说明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(一)收入预算说明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2023年收入总预算</w:t>
      </w:r>
      <w:r>
        <w:rPr>
          <w:rFonts w:hint="eastAsia" w:ascii="Arial" w:hAnsi="Arial" w:cs="Arial"/>
        </w:rPr>
        <w:t>527.22</w:t>
      </w:r>
      <w:r>
        <w:rPr>
          <w:rFonts w:ascii="Arial" w:hAnsi="Arial" w:cs="Arial"/>
        </w:rPr>
        <w:t>万元,同比增加</w:t>
      </w:r>
      <w:r>
        <w:rPr>
          <w:rFonts w:hint="eastAsia" w:ascii="Arial" w:hAnsi="Arial" w:cs="Arial"/>
        </w:rPr>
        <w:t>142.14</w:t>
      </w:r>
      <w:r>
        <w:rPr>
          <w:rFonts w:ascii="Arial" w:hAnsi="Arial" w:cs="Arial"/>
        </w:rPr>
        <w:t>万元,增长</w:t>
      </w:r>
      <w:r>
        <w:rPr>
          <w:rFonts w:hint="eastAsia" w:ascii="Arial" w:hAnsi="Arial" w:cs="Arial"/>
        </w:rPr>
        <w:t>36.91</w:t>
      </w:r>
      <w:r>
        <w:rPr>
          <w:rFonts w:ascii="Arial" w:hAnsi="Arial" w:cs="Arial"/>
        </w:rPr>
        <w:t xml:space="preserve"> %,其中:一般公共预算拨款</w:t>
      </w:r>
      <w:r>
        <w:rPr>
          <w:rFonts w:hint="eastAsia" w:ascii="Arial" w:hAnsi="Arial" w:cs="Arial"/>
        </w:rPr>
        <w:t>431</w:t>
      </w:r>
      <w:r>
        <w:rPr>
          <w:rFonts w:ascii="Arial" w:hAnsi="Arial" w:cs="Arial"/>
        </w:rPr>
        <w:t>万元,占收入总预算</w:t>
      </w:r>
      <w:r>
        <w:rPr>
          <w:rFonts w:hint="eastAsia" w:ascii="Arial" w:hAnsi="Arial" w:cs="Arial"/>
        </w:rPr>
        <w:t>81.75</w:t>
      </w:r>
      <w:r>
        <w:rPr>
          <w:rFonts w:ascii="Arial" w:hAnsi="Arial" w:cs="Arial"/>
        </w:rPr>
        <w:t>%,同比增加</w:t>
      </w:r>
      <w:r>
        <w:rPr>
          <w:rFonts w:hint="eastAsia" w:ascii="Arial" w:hAnsi="Arial" w:cs="Arial"/>
        </w:rPr>
        <w:t>45.92</w:t>
      </w:r>
      <w:r>
        <w:rPr>
          <w:rFonts w:ascii="Arial" w:hAnsi="Arial" w:cs="Arial"/>
        </w:rPr>
        <w:t>万元,增长</w:t>
      </w:r>
      <w:r>
        <w:rPr>
          <w:rFonts w:hint="eastAsia" w:ascii="Arial" w:hAnsi="Arial" w:cs="Arial"/>
        </w:rPr>
        <w:t>11.92</w:t>
      </w:r>
      <w:r>
        <w:rPr>
          <w:rFonts w:ascii="Arial" w:hAnsi="Arial" w:cs="Arial"/>
        </w:rPr>
        <w:t xml:space="preserve"> %;上年结转结余</w:t>
      </w:r>
      <w:r>
        <w:rPr>
          <w:rFonts w:hint="eastAsia" w:ascii="Arial" w:hAnsi="Arial" w:cs="Arial"/>
        </w:rPr>
        <w:t>96.22</w:t>
      </w:r>
      <w:r>
        <w:rPr>
          <w:rFonts w:ascii="Arial" w:hAnsi="Arial" w:cs="Arial"/>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收入预算总体增加的主要原因</w:t>
      </w:r>
      <w:r>
        <w:rPr>
          <w:rFonts w:hint="eastAsia" w:ascii="Arial" w:hAnsi="Arial" w:cs="Arial"/>
        </w:rPr>
        <w:t>人员增加</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(二)支出预算说明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2023年支出总预算</w:t>
      </w:r>
      <w:r>
        <w:rPr>
          <w:rFonts w:hint="eastAsia" w:ascii="Arial" w:hAnsi="Arial" w:cs="Arial"/>
        </w:rPr>
        <w:t>527.22</w:t>
      </w:r>
      <w:r>
        <w:rPr>
          <w:rFonts w:ascii="Arial" w:hAnsi="Arial" w:cs="Arial"/>
        </w:rPr>
        <w:t>万元,同比增加</w:t>
      </w:r>
      <w:r>
        <w:rPr>
          <w:rFonts w:hint="eastAsia" w:ascii="Arial" w:hAnsi="Arial" w:cs="Arial"/>
        </w:rPr>
        <w:t>142.14</w:t>
      </w:r>
      <w:r>
        <w:rPr>
          <w:rFonts w:ascii="Arial" w:hAnsi="Arial" w:cs="Arial"/>
        </w:rPr>
        <w:t>万元,增长</w:t>
      </w:r>
      <w:r>
        <w:rPr>
          <w:rFonts w:hint="eastAsia" w:ascii="Arial" w:hAnsi="Arial" w:cs="Arial"/>
        </w:rPr>
        <w:t>36.91</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1、按支出功能分类科目划分,共分为</w:t>
      </w:r>
      <w:r>
        <w:rPr>
          <w:rFonts w:hint="eastAsia" w:ascii="Arial" w:hAnsi="Arial" w:cs="Arial"/>
        </w:rPr>
        <w:t>4</w:t>
      </w:r>
      <w:r>
        <w:rPr>
          <w:rFonts w:ascii="Arial" w:hAnsi="Arial" w:cs="Arial"/>
        </w:rPr>
        <w:t xml:space="preserve">类,其中: </w:t>
      </w:r>
    </w:p>
    <w:p>
      <w:pPr>
        <w:pStyle w:val="5"/>
        <w:widowControl/>
        <w:spacing w:before="150" w:beforeAutospacing="0" w:after="150" w:afterAutospacing="0" w:line="460" w:lineRule="exact"/>
        <w:ind w:firstLine="420"/>
        <w:rPr>
          <w:rFonts w:ascii="Arial" w:hAnsi="Arial" w:cs="Arial"/>
        </w:rPr>
      </w:pPr>
      <w:r>
        <w:rPr>
          <w:rFonts w:ascii="Arial" w:hAnsi="Arial" w:cs="Arial"/>
        </w:rPr>
        <w:t>(1)一般公共服务支出</w:t>
      </w:r>
      <w:r>
        <w:rPr>
          <w:rFonts w:hint="eastAsia" w:ascii="Arial" w:hAnsi="Arial" w:cs="Arial"/>
        </w:rPr>
        <w:t>425.04</w:t>
      </w:r>
      <w:r>
        <w:rPr>
          <w:rFonts w:ascii="Arial" w:hAnsi="Arial" w:cs="Arial"/>
        </w:rPr>
        <w:t>万元,占支出总预算</w:t>
      </w:r>
      <w:r>
        <w:rPr>
          <w:rFonts w:hint="eastAsia" w:ascii="Arial" w:hAnsi="Arial" w:cs="Arial"/>
        </w:rPr>
        <w:t>80.62</w:t>
      </w:r>
      <w:r>
        <w:rPr>
          <w:rFonts w:ascii="Arial" w:hAnsi="Arial" w:cs="Arial"/>
        </w:rPr>
        <w:t>%,同比增加</w:t>
      </w:r>
      <w:r>
        <w:rPr>
          <w:rFonts w:hint="eastAsia" w:ascii="Arial" w:hAnsi="Arial" w:cs="Arial"/>
        </w:rPr>
        <w:t>124.53</w:t>
      </w:r>
      <w:r>
        <w:rPr>
          <w:rFonts w:ascii="Arial" w:hAnsi="Arial" w:cs="Arial"/>
        </w:rPr>
        <w:t>万元,增长</w:t>
      </w:r>
      <w:r>
        <w:rPr>
          <w:rFonts w:hint="eastAsia" w:ascii="Arial" w:hAnsi="Arial" w:cs="Arial"/>
        </w:rPr>
        <w:t>41.43</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(2)社会保障和就业</w:t>
      </w:r>
      <w:r>
        <w:rPr>
          <w:rFonts w:hint="eastAsia" w:ascii="Arial" w:hAnsi="Arial" w:cs="Arial"/>
        </w:rPr>
        <w:t>56.4</w:t>
      </w:r>
      <w:r>
        <w:rPr>
          <w:rFonts w:ascii="Arial" w:hAnsi="Arial" w:cs="Arial"/>
        </w:rPr>
        <w:t>万元,占支出总预算</w:t>
      </w:r>
      <w:r>
        <w:rPr>
          <w:rFonts w:hint="eastAsia" w:ascii="Arial" w:hAnsi="Arial" w:cs="Arial"/>
        </w:rPr>
        <w:t>10.69</w:t>
      </w:r>
      <w:r>
        <w:rPr>
          <w:rFonts w:ascii="Arial" w:hAnsi="Arial" w:cs="Arial"/>
        </w:rPr>
        <w:t>%,同比增加</w:t>
      </w:r>
      <w:r>
        <w:rPr>
          <w:rFonts w:hint="eastAsia" w:ascii="Arial" w:hAnsi="Arial" w:cs="Arial"/>
        </w:rPr>
        <w:t>10.02</w:t>
      </w:r>
      <w:r>
        <w:rPr>
          <w:rFonts w:ascii="Arial" w:hAnsi="Arial" w:cs="Arial"/>
        </w:rPr>
        <w:t>万元,增长</w:t>
      </w:r>
      <w:r>
        <w:rPr>
          <w:rFonts w:hint="eastAsia" w:ascii="Arial" w:hAnsi="Arial" w:cs="Arial"/>
        </w:rPr>
        <w:t>20.6</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(3)医疗卫生</w:t>
      </w:r>
      <w:r>
        <w:rPr>
          <w:rFonts w:hint="eastAsia" w:ascii="Arial" w:hAnsi="Arial" w:cs="Arial"/>
        </w:rPr>
        <w:t>19.7</w:t>
      </w:r>
      <w:r>
        <w:rPr>
          <w:rFonts w:ascii="Arial" w:hAnsi="Arial" w:cs="Arial"/>
        </w:rPr>
        <w:t>万元,占支出总预算</w:t>
      </w:r>
      <w:r>
        <w:rPr>
          <w:rFonts w:hint="eastAsia" w:ascii="Arial" w:hAnsi="Arial" w:cs="Arial"/>
        </w:rPr>
        <w:t>3.73</w:t>
      </w:r>
      <w:r>
        <w:rPr>
          <w:rFonts w:ascii="Arial" w:hAnsi="Arial" w:cs="Arial"/>
        </w:rPr>
        <w:t>%,同比增加</w:t>
      </w:r>
      <w:r>
        <w:rPr>
          <w:rFonts w:hint="eastAsia" w:ascii="Arial" w:hAnsi="Arial" w:cs="Arial"/>
        </w:rPr>
        <w:t>3.56</w:t>
      </w:r>
      <w:r>
        <w:rPr>
          <w:rFonts w:ascii="Arial" w:hAnsi="Arial" w:cs="Arial"/>
        </w:rPr>
        <w:t>万元,增长</w:t>
      </w:r>
      <w:r>
        <w:rPr>
          <w:rFonts w:hint="eastAsia" w:ascii="Arial" w:hAnsi="Arial" w:cs="Arial"/>
        </w:rPr>
        <w:t>22.05</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(5)住房保障支出</w:t>
      </w:r>
      <w:r>
        <w:rPr>
          <w:rFonts w:hint="eastAsia" w:ascii="Arial" w:hAnsi="Arial" w:cs="Arial"/>
        </w:rPr>
        <w:t>26.07</w:t>
      </w:r>
      <w:r>
        <w:rPr>
          <w:rFonts w:ascii="Arial" w:hAnsi="Arial" w:cs="Arial"/>
        </w:rPr>
        <w:t>万元,占支出总预算</w:t>
      </w:r>
      <w:r>
        <w:rPr>
          <w:rFonts w:hint="eastAsia" w:ascii="Arial" w:hAnsi="Arial" w:cs="Arial"/>
        </w:rPr>
        <w:t>4.94</w:t>
      </w:r>
      <w:r>
        <w:rPr>
          <w:rFonts w:ascii="Arial" w:hAnsi="Arial" w:cs="Arial"/>
        </w:rPr>
        <w:t>%,同比增加</w:t>
      </w:r>
      <w:r>
        <w:rPr>
          <w:rFonts w:hint="eastAsia" w:ascii="Arial" w:hAnsi="Arial" w:cs="Arial"/>
        </w:rPr>
        <w:t>50.2</w:t>
      </w:r>
      <w:r>
        <w:rPr>
          <w:rFonts w:ascii="Arial" w:hAnsi="Arial" w:cs="Arial"/>
        </w:rPr>
        <w:t>万元,增长</w:t>
      </w:r>
      <w:r>
        <w:rPr>
          <w:rFonts w:hint="eastAsia" w:ascii="Arial" w:hAnsi="Arial" w:cs="Arial"/>
        </w:rPr>
        <w:t>23.84</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二、部门收入总体情况说明2023年总收入预算</w:t>
      </w:r>
      <w:r>
        <w:rPr>
          <w:rFonts w:hint="eastAsia" w:ascii="Arial" w:hAnsi="Arial" w:cs="Arial"/>
        </w:rPr>
        <w:t>527.22</w:t>
      </w:r>
      <w:r>
        <w:rPr>
          <w:rFonts w:ascii="Arial" w:hAnsi="Arial" w:cs="Arial"/>
        </w:rPr>
        <w:t>万元,同比增加</w:t>
      </w:r>
      <w:r>
        <w:rPr>
          <w:rFonts w:hint="eastAsia" w:ascii="Arial" w:hAnsi="Arial" w:cs="Arial"/>
        </w:rPr>
        <w:t>142.14</w:t>
      </w:r>
      <w:r>
        <w:rPr>
          <w:rFonts w:ascii="Arial" w:hAnsi="Arial" w:cs="Arial"/>
        </w:rPr>
        <w:t>万元,增长</w:t>
      </w:r>
      <w:r>
        <w:rPr>
          <w:rFonts w:hint="eastAsia" w:ascii="Arial" w:hAnsi="Arial" w:cs="Arial"/>
        </w:rPr>
        <w:t>36.91</w:t>
      </w:r>
      <w:r>
        <w:rPr>
          <w:rFonts w:ascii="Arial" w:hAnsi="Arial" w:cs="Arial"/>
        </w:rPr>
        <w:t>%。其中:本年收入</w:t>
      </w:r>
      <w:r>
        <w:rPr>
          <w:rFonts w:hint="eastAsia" w:ascii="Arial" w:hAnsi="Arial" w:cs="Arial"/>
        </w:rPr>
        <w:t>431</w:t>
      </w:r>
      <w:r>
        <w:rPr>
          <w:rFonts w:ascii="Arial" w:hAnsi="Arial" w:cs="Arial"/>
        </w:rPr>
        <w:t>万元,上年结转结余</w:t>
      </w:r>
      <w:r>
        <w:rPr>
          <w:rFonts w:hint="eastAsia" w:ascii="Arial" w:hAnsi="Arial" w:cs="Arial"/>
        </w:rPr>
        <w:t>96.22</w:t>
      </w:r>
      <w:r>
        <w:rPr>
          <w:rFonts w:ascii="Arial" w:hAnsi="Arial" w:cs="Arial"/>
        </w:rPr>
        <w:t>万元。一般公共预算</w:t>
      </w:r>
      <w:r>
        <w:rPr>
          <w:rFonts w:hint="eastAsia" w:ascii="Arial" w:hAnsi="Arial" w:cs="Arial"/>
        </w:rPr>
        <w:t>527.22</w:t>
      </w:r>
      <w:r>
        <w:rPr>
          <w:rFonts w:ascii="Arial" w:hAnsi="Arial" w:cs="Arial"/>
        </w:rPr>
        <w:t>万元,占收入总预算</w:t>
      </w:r>
      <w:r>
        <w:rPr>
          <w:rFonts w:hint="eastAsia" w:ascii="Arial" w:hAnsi="Arial" w:cs="Arial"/>
        </w:rPr>
        <w:t>100</w:t>
      </w:r>
      <w:r>
        <w:rPr>
          <w:rFonts w:ascii="Arial" w:hAnsi="Arial" w:cs="Arial"/>
        </w:rPr>
        <w:t>%,同比增加</w:t>
      </w:r>
      <w:r>
        <w:rPr>
          <w:rFonts w:hint="eastAsia" w:ascii="Arial" w:hAnsi="Arial" w:cs="Arial"/>
        </w:rPr>
        <w:t>142.14</w:t>
      </w:r>
      <w:r>
        <w:rPr>
          <w:rFonts w:ascii="Arial" w:hAnsi="Arial" w:cs="Arial"/>
        </w:rPr>
        <w:t>万元,增长</w:t>
      </w:r>
      <w:r>
        <w:rPr>
          <w:rFonts w:hint="eastAsia" w:ascii="Arial" w:hAnsi="Arial" w:cs="Arial"/>
        </w:rPr>
        <w:t xml:space="preserve">36.91 </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三、部门支出总体情况说明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2023年总支出预算</w:t>
      </w:r>
      <w:r>
        <w:rPr>
          <w:rFonts w:hint="eastAsia" w:ascii="Arial" w:hAnsi="Arial" w:cs="Arial"/>
        </w:rPr>
        <w:t>527.22</w:t>
      </w:r>
      <w:r>
        <w:rPr>
          <w:rFonts w:ascii="Arial" w:hAnsi="Arial" w:cs="Arial"/>
        </w:rPr>
        <w:t>万元,同比增加</w:t>
      </w:r>
      <w:r>
        <w:rPr>
          <w:rFonts w:hint="eastAsia" w:ascii="Arial" w:hAnsi="Arial" w:cs="Arial"/>
        </w:rPr>
        <w:t>142.14</w:t>
      </w:r>
      <w:r>
        <w:rPr>
          <w:rFonts w:ascii="Arial" w:hAnsi="Arial" w:cs="Arial"/>
        </w:rPr>
        <w:t>万元,增长</w:t>
      </w:r>
      <w:r>
        <w:rPr>
          <w:rFonts w:hint="eastAsia" w:ascii="Arial" w:hAnsi="Arial" w:cs="Arial"/>
        </w:rPr>
        <w:t>36.91</w:t>
      </w:r>
      <w:r>
        <w:rPr>
          <w:rFonts w:ascii="Arial" w:hAnsi="Arial" w:cs="Arial"/>
        </w:rPr>
        <w:t>%。其中:基本支出</w:t>
      </w:r>
      <w:r>
        <w:rPr>
          <w:rFonts w:hint="eastAsia" w:ascii="Arial" w:hAnsi="Arial" w:cs="Arial"/>
        </w:rPr>
        <w:t>345.46</w:t>
      </w:r>
      <w:r>
        <w:rPr>
          <w:rFonts w:ascii="Arial" w:hAnsi="Arial" w:cs="Arial"/>
        </w:rPr>
        <w:t>万元,占总支出预算</w:t>
      </w:r>
      <w:r>
        <w:rPr>
          <w:rFonts w:hint="eastAsia" w:ascii="Arial" w:hAnsi="Arial" w:cs="Arial"/>
        </w:rPr>
        <w:t>65.52</w:t>
      </w:r>
      <w:r>
        <w:rPr>
          <w:rFonts w:ascii="Arial" w:hAnsi="Arial" w:cs="Arial"/>
        </w:rPr>
        <w:t>%,同比增加</w:t>
      </w:r>
      <w:r>
        <w:rPr>
          <w:rFonts w:hint="eastAsia" w:ascii="Arial" w:hAnsi="Arial" w:cs="Arial"/>
        </w:rPr>
        <w:t>44.95</w:t>
      </w:r>
      <w:r>
        <w:rPr>
          <w:rFonts w:ascii="Arial" w:hAnsi="Arial" w:cs="Arial"/>
        </w:rPr>
        <w:t>万元,增长</w:t>
      </w:r>
      <w:r>
        <w:rPr>
          <w:rFonts w:hint="eastAsia" w:ascii="Arial" w:hAnsi="Arial" w:cs="Arial"/>
        </w:rPr>
        <w:t>14.95</w:t>
      </w:r>
      <w:r>
        <w:rPr>
          <w:rFonts w:ascii="Arial" w:hAnsi="Arial" w:cs="Arial"/>
        </w:rPr>
        <w:t>%,增加的原因</w:t>
      </w:r>
      <w:r>
        <w:rPr>
          <w:rFonts w:hint="eastAsia" w:ascii="Arial" w:hAnsi="Arial" w:cs="Arial"/>
        </w:rPr>
        <w:t>人员增加</w:t>
      </w:r>
      <w:r>
        <w:rPr>
          <w:rFonts w:hint="eastAsia" w:ascii="Arial" w:hAnsi="Arial" w:cs="Arial"/>
          <w:lang w:eastAsia="zh-CN"/>
        </w:rPr>
        <w:t>。</w:t>
      </w:r>
      <w:r>
        <w:rPr>
          <w:rFonts w:ascii="Arial" w:hAnsi="Arial" w:cs="Arial"/>
        </w:rPr>
        <w:t>项目支出</w:t>
      </w:r>
      <w:r>
        <w:rPr>
          <w:rFonts w:hint="eastAsia" w:ascii="Arial" w:hAnsi="Arial" w:cs="Arial"/>
        </w:rPr>
        <w:t>181.76</w:t>
      </w:r>
      <w:r>
        <w:rPr>
          <w:rFonts w:ascii="Arial" w:hAnsi="Arial" w:cs="Arial"/>
        </w:rPr>
        <w:t>万元,占总支出预算</w:t>
      </w:r>
      <w:r>
        <w:rPr>
          <w:rFonts w:hint="eastAsia" w:ascii="Arial" w:hAnsi="Arial" w:cs="Arial"/>
        </w:rPr>
        <w:t>34.47</w:t>
      </w:r>
      <w:r>
        <w:rPr>
          <w:rFonts w:ascii="Arial" w:hAnsi="Arial" w:cs="Arial"/>
        </w:rPr>
        <w:t>%,同比增加</w:t>
      </w:r>
      <w:r>
        <w:rPr>
          <w:rFonts w:hint="eastAsia" w:ascii="Arial" w:hAnsi="Arial" w:cs="Arial"/>
        </w:rPr>
        <w:t>97.19</w:t>
      </w:r>
      <w:r>
        <w:rPr>
          <w:rFonts w:ascii="Arial" w:hAnsi="Arial" w:cs="Arial"/>
        </w:rPr>
        <w:t>万元,增长</w:t>
      </w:r>
      <w:r>
        <w:rPr>
          <w:rFonts w:hint="eastAsia" w:ascii="Arial" w:hAnsi="Arial" w:cs="Arial"/>
        </w:rPr>
        <w:t>53.47</w:t>
      </w:r>
      <w:r>
        <w:rPr>
          <w:rFonts w:ascii="Arial" w:hAnsi="Arial" w:cs="Arial"/>
        </w:rPr>
        <w:t>%,增加的原因主要用于</w:t>
      </w:r>
      <w:r>
        <w:rPr>
          <w:rFonts w:hint="eastAsia" w:ascii="Arial" w:hAnsi="Arial" w:cs="Arial"/>
        </w:rPr>
        <w:t>宣传事务</w:t>
      </w:r>
      <w:r>
        <w:rPr>
          <w:rFonts w:ascii="Arial" w:hAnsi="Arial" w:cs="Arial"/>
        </w:rPr>
        <w:t>，根据国家规定的基本工资和津补贴标准等安排的人员经费支出，按县级公用经费定额标准安排的办公费、印刷费、邮电费、水电费、差旅费等日常公用经费支出。</w:t>
      </w:r>
    </w:p>
    <w:p>
      <w:pPr>
        <w:pStyle w:val="5"/>
        <w:widowControl/>
        <w:spacing w:before="150" w:beforeAutospacing="0" w:after="150" w:afterAutospacing="0" w:line="460" w:lineRule="exact"/>
        <w:ind w:firstLine="420"/>
        <w:rPr>
          <w:rFonts w:ascii="Arial" w:hAnsi="Arial" w:cs="Arial"/>
        </w:rPr>
      </w:pPr>
      <w:r>
        <w:rPr>
          <w:rFonts w:ascii="Arial" w:hAnsi="Arial" w:cs="Arial"/>
        </w:rPr>
        <w:t>四、财政拨款收支总体情况说明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2023年财政拨款收入预算</w:t>
      </w:r>
      <w:r>
        <w:rPr>
          <w:rFonts w:hint="eastAsia" w:ascii="Arial" w:hAnsi="Arial" w:cs="Arial"/>
        </w:rPr>
        <w:t>527.22</w:t>
      </w:r>
      <w:r>
        <w:rPr>
          <w:rFonts w:ascii="Arial" w:hAnsi="Arial" w:cs="Arial"/>
        </w:rPr>
        <w:t>万元,同比增加</w:t>
      </w:r>
      <w:r>
        <w:rPr>
          <w:rFonts w:hint="eastAsia" w:ascii="Arial" w:hAnsi="Arial" w:cs="Arial"/>
        </w:rPr>
        <w:t>142.14</w:t>
      </w:r>
      <w:r>
        <w:rPr>
          <w:rFonts w:ascii="Arial" w:hAnsi="Arial" w:cs="Arial"/>
        </w:rPr>
        <w:t>万元,增长</w:t>
      </w:r>
      <w:r>
        <w:rPr>
          <w:rFonts w:hint="eastAsia" w:ascii="Arial" w:hAnsi="Arial" w:cs="Arial"/>
        </w:rPr>
        <w:t>36.91</w:t>
      </w:r>
      <w:r>
        <w:rPr>
          <w:rFonts w:ascii="Arial" w:hAnsi="Arial" w:cs="Arial"/>
        </w:rPr>
        <w:t>%其中:一般公共预算拨款</w:t>
      </w:r>
      <w:r>
        <w:rPr>
          <w:rFonts w:hint="eastAsia" w:ascii="Arial" w:hAnsi="Arial" w:cs="Arial"/>
        </w:rPr>
        <w:t>431</w:t>
      </w:r>
      <w:r>
        <w:rPr>
          <w:rFonts w:ascii="Arial" w:hAnsi="Arial" w:cs="Arial"/>
        </w:rPr>
        <w:t>万元,占收入总预算</w:t>
      </w:r>
      <w:r>
        <w:rPr>
          <w:rFonts w:hint="eastAsia" w:ascii="Arial" w:hAnsi="Arial" w:cs="Arial"/>
        </w:rPr>
        <w:t>81.75</w:t>
      </w:r>
      <w:r>
        <w:rPr>
          <w:rFonts w:ascii="Arial" w:hAnsi="Arial" w:cs="Arial"/>
        </w:rPr>
        <w:t>%,同比</w:t>
      </w:r>
      <w:r>
        <w:rPr>
          <w:rFonts w:hint="eastAsia" w:ascii="Arial" w:hAnsi="Arial" w:cs="Arial"/>
        </w:rPr>
        <w:t>45.92</w:t>
      </w:r>
      <w:r>
        <w:rPr>
          <w:rFonts w:ascii="Arial" w:hAnsi="Arial" w:cs="Arial"/>
        </w:rPr>
        <w:t>万元,增长</w:t>
      </w:r>
      <w:r>
        <w:rPr>
          <w:rFonts w:hint="eastAsia" w:ascii="Arial" w:hAnsi="Arial" w:cs="Arial"/>
        </w:rPr>
        <w:t>11.92</w:t>
      </w:r>
      <w:r>
        <w:rPr>
          <w:rFonts w:ascii="Arial" w:hAnsi="Arial" w:cs="Arial"/>
        </w:rPr>
        <w:t xml:space="preserve"> %,增加的原因</w:t>
      </w:r>
      <w:r>
        <w:rPr>
          <w:rFonts w:hint="eastAsia" w:ascii="Arial" w:hAnsi="Arial" w:cs="Arial"/>
        </w:rPr>
        <w:t>人员增加</w:t>
      </w:r>
      <w:r>
        <w:rPr>
          <w:rFonts w:ascii="Arial" w:hAnsi="Arial" w:cs="Arial"/>
        </w:rPr>
        <w:t>.;上年结转结余</w:t>
      </w:r>
      <w:r>
        <w:rPr>
          <w:rFonts w:hint="eastAsia" w:ascii="Arial" w:hAnsi="Arial" w:cs="Arial"/>
        </w:rPr>
        <w:t>96.22</w:t>
      </w:r>
      <w:r>
        <w:rPr>
          <w:rFonts w:ascii="Arial" w:hAnsi="Arial" w:cs="Arial"/>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2023年财政拨款支出</w:t>
      </w:r>
      <w:r>
        <w:rPr>
          <w:rFonts w:hint="eastAsia" w:ascii="Arial" w:hAnsi="Arial" w:cs="Arial"/>
        </w:rPr>
        <w:t>527.22</w:t>
      </w:r>
      <w:r>
        <w:rPr>
          <w:rFonts w:ascii="Arial" w:hAnsi="Arial" w:cs="Arial"/>
        </w:rPr>
        <w:t>万元,同比增加</w:t>
      </w:r>
      <w:r>
        <w:rPr>
          <w:rFonts w:hint="eastAsia" w:ascii="Arial" w:hAnsi="Arial" w:cs="Arial"/>
        </w:rPr>
        <w:t>142.14</w:t>
      </w:r>
      <w:r>
        <w:rPr>
          <w:rFonts w:ascii="Arial" w:hAnsi="Arial" w:cs="Arial"/>
        </w:rPr>
        <w:t>万元,增长</w:t>
      </w:r>
      <w:r>
        <w:rPr>
          <w:rFonts w:hint="eastAsia" w:ascii="Arial" w:hAnsi="Arial" w:cs="Arial"/>
        </w:rPr>
        <w:t>36.91</w:t>
      </w:r>
      <w:r>
        <w:rPr>
          <w:rFonts w:ascii="Arial" w:hAnsi="Arial" w:cs="Arial"/>
        </w:rPr>
        <w:t>%,增加的原因</w:t>
      </w:r>
      <w:r>
        <w:rPr>
          <w:rFonts w:hint="eastAsia" w:ascii="Arial" w:hAnsi="Arial" w:cs="Arial"/>
        </w:rPr>
        <w:t>人员增加</w:t>
      </w:r>
      <w:r>
        <w:rPr>
          <w:rFonts w:ascii="Arial" w:hAnsi="Arial" w:cs="Arial"/>
        </w:rPr>
        <w:t>。</w:t>
      </w:r>
    </w:p>
    <w:p>
      <w:pPr>
        <w:pStyle w:val="5"/>
        <w:widowControl/>
        <w:numPr>
          <w:ilvl w:val="0"/>
          <w:numId w:val="1"/>
        </w:numPr>
        <w:spacing w:before="150" w:beforeAutospacing="0" w:after="150" w:afterAutospacing="0" w:line="460" w:lineRule="exact"/>
        <w:ind w:firstLine="420"/>
        <w:rPr>
          <w:rFonts w:ascii="Arial" w:hAnsi="Arial" w:cs="Arial"/>
        </w:rPr>
      </w:pPr>
      <w:r>
        <w:rPr>
          <w:rFonts w:ascii="Arial" w:hAnsi="Arial" w:cs="Arial"/>
        </w:rPr>
        <w:t>一般公共预算支出情况说明</w:t>
      </w:r>
    </w:p>
    <w:p>
      <w:pPr>
        <w:pStyle w:val="5"/>
        <w:widowControl/>
        <w:spacing w:before="150" w:beforeAutospacing="0" w:after="150" w:afterAutospacing="0" w:line="460" w:lineRule="exact"/>
        <w:ind w:left="420"/>
        <w:rPr>
          <w:rFonts w:ascii="Arial" w:hAnsi="Arial" w:cs="Arial"/>
        </w:rPr>
      </w:pPr>
      <w:r>
        <w:rPr>
          <w:rFonts w:ascii="Arial" w:hAnsi="Arial" w:cs="Arial"/>
        </w:rPr>
        <w:t>2023年一般公共预算支出</w:t>
      </w:r>
      <w:r>
        <w:rPr>
          <w:rFonts w:hint="eastAsia" w:ascii="Arial" w:hAnsi="Arial" w:cs="Arial"/>
        </w:rPr>
        <w:t>431</w:t>
      </w:r>
      <w:r>
        <w:rPr>
          <w:rFonts w:ascii="Arial" w:hAnsi="Arial" w:cs="Arial"/>
        </w:rPr>
        <w:t>万元,,同比增加</w:t>
      </w:r>
      <w:r>
        <w:rPr>
          <w:rFonts w:hint="eastAsia" w:ascii="Arial" w:hAnsi="Arial" w:cs="Arial"/>
        </w:rPr>
        <w:t>45.92</w:t>
      </w:r>
      <w:r>
        <w:rPr>
          <w:rFonts w:ascii="Arial" w:hAnsi="Arial" w:cs="Arial"/>
        </w:rPr>
        <w:t>万元,增长</w:t>
      </w:r>
      <w:r>
        <w:rPr>
          <w:rFonts w:hint="eastAsia" w:ascii="Arial" w:hAnsi="Arial" w:cs="Arial"/>
        </w:rPr>
        <w:t>11.92</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按支出功能分类科目划分,共分为</w:t>
      </w:r>
      <w:r>
        <w:rPr>
          <w:rFonts w:hint="eastAsia" w:ascii="Arial" w:hAnsi="Arial" w:cs="Arial"/>
        </w:rPr>
        <w:t>4</w:t>
      </w:r>
      <w:r>
        <w:rPr>
          <w:rFonts w:ascii="Arial" w:hAnsi="Arial" w:cs="Arial"/>
        </w:rPr>
        <w:t>类,其中:</w:t>
      </w:r>
    </w:p>
    <w:p>
      <w:pPr>
        <w:pStyle w:val="5"/>
        <w:widowControl/>
        <w:spacing w:before="150" w:beforeAutospacing="0" w:after="150" w:afterAutospacing="0" w:line="460" w:lineRule="exact"/>
        <w:ind w:firstLine="420"/>
        <w:rPr>
          <w:rFonts w:ascii="Arial" w:hAnsi="Arial" w:cs="Arial"/>
        </w:rPr>
      </w:pPr>
      <w:r>
        <w:rPr>
          <w:rFonts w:ascii="Arial" w:hAnsi="Arial" w:cs="Arial"/>
        </w:rPr>
        <w:t>(1)一般公共服务类科目</w:t>
      </w:r>
      <w:r>
        <w:rPr>
          <w:rFonts w:hint="eastAsia" w:ascii="Arial" w:hAnsi="Arial" w:cs="Arial"/>
        </w:rPr>
        <w:t>431</w:t>
      </w:r>
      <w:r>
        <w:rPr>
          <w:rFonts w:ascii="Arial" w:hAnsi="Arial" w:cs="Arial"/>
        </w:rPr>
        <w:t>万元,占一般公共预算支出预算</w:t>
      </w:r>
      <w:r>
        <w:rPr>
          <w:rFonts w:hint="eastAsia" w:ascii="Arial" w:hAnsi="Arial" w:cs="Arial"/>
        </w:rPr>
        <w:t>81.74</w:t>
      </w:r>
      <w:r>
        <w:rPr>
          <w:rFonts w:ascii="Arial" w:hAnsi="Arial" w:cs="Arial"/>
        </w:rPr>
        <w:t>%,同比增加</w:t>
      </w:r>
      <w:r>
        <w:rPr>
          <w:rFonts w:hint="eastAsia" w:ascii="Arial" w:hAnsi="Arial" w:cs="Arial"/>
        </w:rPr>
        <w:t>45.92</w:t>
      </w:r>
      <w:r>
        <w:rPr>
          <w:rFonts w:ascii="Arial" w:hAnsi="Arial" w:cs="Arial"/>
        </w:rPr>
        <w:t>万元,增长</w:t>
      </w:r>
      <w:r>
        <w:rPr>
          <w:rFonts w:hint="eastAsia" w:ascii="Arial" w:hAnsi="Arial" w:cs="Arial"/>
        </w:rPr>
        <w:t>11.92</w:t>
      </w:r>
      <w:r>
        <w:rPr>
          <w:rFonts w:ascii="Arial" w:hAnsi="Arial" w:cs="Arial"/>
        </w:rPr>
        <w:t>%。具体如下:</w:t>
      </w:r>
    </w:p>
    <w:p>
      <w:pPr>
        <w:pStyle w:val="5"/>
        <w:widowControl/>
        <w:spacing w:before="150" w:beforeAutospacing="0" w:after="150" w:afterAutospacing="0" w:line="460" w:lineRule="exact"/>
        <w:ind w:firstLine="420"/>
        <w:rPr>
          <w:rFonts w:ascii="Arial" w:hAnsi="Arial" w:cs="Arial"/>
        </w:rPr>
      </w:pPr>
      <w:r>
        <w:rPr>
          <w:rFonts w:ascii="Arial" w:hAnsi="Arial" w:cs="Arial"/>
        </w:rPr>
        <w:t xml:space="preserve">行政运行(事业运行) </w:t>
      </w:r>
      <w:r>
        <w:rPr>
          <w:rFonts w:hint="eastAsia" w:ascii="Arial" w:hAnsi="Arial" w:cs="Arial"/>
        </w:rPr>
        <w:t>237.5</w:t>
      </w:r>
      <w:r>
        <w:rPr>
          <w:rFonts w:ascii="Arial" w:hAnsi="Arial" w:cs="Arial"/>
        </w:rPr>
        <w:t>万元,同比增加</w:t>
      </w:r>
      <w:r>
        <w:rPr>
          <w:rFonts w:hint="eastAsia" w:ascii="Arial" w:hAnsi="Arial" w:cs="Arial"/>
        </w:rPr>
        <w:t>24.22</w:t>
      </w:r>
      <w:r>
        <w:rPr>
          <w:rFonts w:ascii="Arial" w:hAnsi="Arial" w:cs="Arial"/>
        </w:rPr>
        <w:t>万元,增长</w:t>
      </w:r>
      <w:r>
        <w:rPr>
          <w:rFonts w:hint="eastAsia" w:ascii="Arial" w:hAnsi="Arial" w:cs="Arial"/>
        </w:rPr>
        <w:t>11.35</w:t>
      </w:r>
      <w:r>
        <w:rPr>
          <w:rFonts w:ascii="Arial" w:hAnsi="Arial" w:cs="Arial"/>
        </w:rPr>
        <w:t>%,全部是基本支出预算。主要用于</w:t>
      </w:r>
      <w:r>
        <w:rPr>
          <w:rFonts w:hint="eastAsia" w:ascii="Arial" w:hAnsi="Arial" w:cs="Arial"/>
        </w:rPr>
        <w:t>宣传事务</w:t>
      </w:r>
      <w:r>
        <w:rPr>
          <w:rFonts w:ascii="Arial" w:hAnsi="Arial" w:cs="Arial"/>
        </w:rPr>
        <w:t>,根据国家规定的基本工资和津补贴标准等安排的人员经费支出,按县级公用经费定额标准安排的办公费、印刷费、邮电费、水电费、差旅费等日常公用经费支出。</w:t>
      </w:r>
    </w:p>
    <w:p>
      <w:pPr>
        <w:pStyle w:val="5"/>
        <w:widowControl/>
        <w:spacing w:before="150" w:beforeAutospacing="0" w:after="150" w:afterAutospacing="0" w:line="460" w:lineRule="exact"/>
        <w:ind w:firstLine="420"/>
        <w:rPr>
          <w:rFonts w:ascii="Arial" w:hAnsi="Arial" w:cs="Arial"/>
        </w:rPr>
      </w:pPr>
      <w:r>
        <w:rPr>
          <w:rFonts w:ascii="Arial" w:hAnsi="Arial" w:cs="Arial"/>
        </w:rPr>
        <w:t>(2)社会保障和就业支出</w:t>
      </w:r>
      <w:r>
        <w:rPr>
          <w:rFonts w:hint="eastAsia" w:ascii="Arial" w:hAnsi="Arial" w:cs="Arial"/>
        </w:rPr>
        <w:t>50.73</w:t>
      </w:r>
      <w:r>
        <w:rPr>
          <w:rFonts w:ascii="Arial" w:hAnsi="Arial" w:cs="Arial"/>
        </w:rPr>
        <w:t>万元,占一般公共预算支出预算</w:t>
      </w:r>
      <w:r>
        <w:rPr>
          <w:rFonts w:hint="eastAsia" w:ascii="Arial" w:hAnsi="Arial" w:cs="Arial"/>
        </w:rPr>
        <w:t>11.77</w:t>
      </w:r>
      <w:r>
        <w:rPr>
          <w:rFonts w:ascii="Arial" w:hAnsi="Arial" w:cs="Arial"/>
        </w:rPr>
        <w:t>%,同比增加</w:t>
      </w:r>
      <w:r>
        <w:rPr>
          <w:rFonts w:hint="eastAsia" w:ascii="Arial" w:hAnsi="Arial" w:cs="Arial"/>
        </w:rPr>
        <w:t>4.35</w:t>
      </w:r>
      <w:r>
        <w:rPr>
          <w:rFonts w:ascii="Arial" w:hAnsi="Arial" w:cs="Arial"/>
        </w:rPr>
        <w:t>万元,增长</w:t>
      </w:r>
      <w:r>
        <w:rPr>
          <w:rFonts w:hint="eastAsia" w:ascii="Arial" w:hAnsi="Arial" w:cs="Arial"/>
        </w:rPr>
        <w:t>9.37</w:t>
      </w:r>
      <w:r>
        <w:rPr>
          <w:rFonts w:ascii="Arial" w:hAnsi="Arial" w:cs="Arial"/>
        </w:rPr>
        <w:t>%。具体如下:</w:t>
      </w:r>
    </w:p>
    <w:p>
      <w:pPr>
        <w:pStyle w:val="5"/>
        <w:widowControl/>
        <w:spacing w:before="150" w:beforeAutospacing="0" w:after="150" w:afterAutospacing="0" w:line="460" w:lineRule="exact"/>
        <w:ind w:firstLine="420"/>
        <w:rPr>
          <w:rFonts w:ascii="Arial" w:hAnsi="Arial" w:cs="Arial"/>
        </w:rPr>
      </w:pPr>
      <w:r>
        <w:rPr>
          <w:rFonts w:ascii="Arial" w:hAnsi="Arial" w:cs="Arial"/>
        </w:rPr>
        <w:t>机关事业单位基本养老保险缴费支出</w:t>
      </w:r>
      <w:r>
        <w:rPr>
          <w:rFonts w:hint="eastAsia" w:ascii="Arial" w:hAnsi="Arial" w:cs="Arial"/>
        </w:rPr>
        <w:t>33.57</w:t>
      </w:r>
      <w:r>
        <w:rPr>
          <w:rFonts w:ascii="Arial" w:hAnsi="Arial" w:cs="Arial"/>
        </w:rPr>
        <w:t>万元,同比增加</w:t>
      </w:r>
      <w:r>
        <w:rPr>
          <w:rFonts w:hint="eastAsia" w:ascii="Arial" w:hAnsi="Arial" w:cs="Arial"/>
        </w:rPr>
        <w:t>5.51</w:t>
      </w:r>
      <w:r>
        <w:rPr>
          <w:rFonts w:ascii="Arial" w:hAnsi="Arial" w:cs="Arial"/>
        </w:rPr>
        <w:t>万元,增长</w:t>
      </w:r>
      <w:r>
        <w:rPr>
          <w:rFonts w:hint="eastAsia" w:ascii="Arial" w:hAnsi="Arial" w:cs="Arial"/>
        </w:rPr>
        <w:t>19.63</w:t>
      </w:r>
      <w:r>
        <w:rPr>
          <w:rFonts w:ascii="Arial" w:hAnsi="Arial" w:cs="Arial"/>
        </w:rPr>
        <w:t xml:space="preserve"> %,全部是基本支出预算。主要用于单位在职职工养老保险缴费。</w:t>
      </w:r>
    </w:p>
    <w:p>
      <w:pPr>
        <w:pStyle w:val="5"/>
        <w:widowControl/>
        <w:spacing w:before="150" w:beforeAutospacing="0" w:after="150" w:afterAutospacing="0" w:line="460" w:lineRule="exact"/>
        <w:ind w:firstLine="420"/>
        <w:rPr>
          <w:rFonts w:ascii="Arial" w:hAnsi="Arial" w:cs="Arial"/>
        </w:rPr>
      </w:pPr>
      <w:r>
        <w:rPr>
          <w:rFonts w:ascii="Arial" w:hAnsi="Arial" w:cs="Arial"/>
        </w:rPr>
        <w:t>(3)卫生健康支出</w:t>
      </w:r>
      <w:r>
        <w:rPr>
          <w:rFonts w:hint="eastAsia" w:ascii="Arial" w:hAnsi="Arial" w:cs="Arial"/>
        </w:rPr>
        <w:t>19.3</w:t>
      </w:r>
      <w:r>
        <w:rPr>
          <w:rFonts w:ascii="Arial" w:hAnsi="Arial" w:cs="Arial"/>
        </w:rPr>
        <w:t>万元,占一般公共预算支出预算</w:t>
      </w:r>
      <w:r>
        <w:rPr>
          <w:rFonts w:hint="eastAsia" w:ascii="Arial" w:hAnsi="Arial" w:cs="Arial"/>
        </w:rPr>
        <w:t>4.47</w:t>
      </w:r>
      <w:r>
        <w:rPr>
          <w:rFonts w:ascii="Arial" w:hAnsi="Arial" w:cs="Arial"/>
        </w:rPr>
        <w:t>%,同比增加</w:t>
      </w:r>
      <w:r>
        <w:rPr>
          <w:rFonts w:hint="eastAsia" w:ascii="Arial" w:hAnsi="Arial" w:cs="Arial"/>
        </w:rPr>
        <w:t>3.16</w:t>
      </w:r>
      <w:r>
        <w:rPr>
          <w:rFonts w:ascii="Arial" w:hAnsi="Arial" w:cs="Arial"/>
        </w:rPr>
        <w:t>万元,增长</w:t>
      </w:r>
      <w:r>
        <w:rPr>
          <w:rFonts w:hint="eastAsia" w:ascii="Arial" w:hAnsi="Arial" w:cs="Arial"/>
        </w:rPr>
        <w:t>19.57</w:t>
      </w:r>
      <w:r>
        <w:rPr>
          <w:rFonts w:ascii="Arial" w:hAnsi="Arial" w:cs="Arial"/>
        </w:rPr>
        <w:t>%。具体如下:</w:t>
      </w:r>
    </w:p>
    <w:p>
      <w:pPr>
        <w:pStyle w:val="5"/>
        <w:widowControl/>
        <w:spacing w:before="150" w:beforeAutospacing="0" w:after="150" w:afterAutospacing="0" w:line="460" w:lineRule="exact"/>
        <w:ind w:firstLine="420"/>
        <w:rPr>
          <w:rFonts w:ascii="Arial" w:hAnsi="Arial" w:cs="Arial"/>
        </w:rPr>
      </w:pPr>
      <w:r>
        <w:rPr>
          <w:rFonts w:ascii="Arial" w:hAnsi="Arial" w:cs="Arial"/>
        </w:rPr>
        <w:t>行政单位医疗</w:t>
      </w:r>
      <w:r>
        <w:rPr>
          <w:rFonts w:hint="eastAsia" w:ascii="Arial" w:hAnsi="Arial" w:cs="Arial"/>
        </w:rPr>
        <w:t>18.88</w:t>
      </w:r>
      <w:r>
        <w:rPr>
          <w:rFonts w:ascii="Arial" w:hAnsi="Arial" w:cs="Arial"/>
        </w:rPr>
        <w:t>万元,同比增加</w:t>
      </w:r>
      <w:r>
        <w:rPr>
          <w:rFonts w:hint="eastAsia" w:ascii="Arial" w:hAnsi="Arial" w:cs="Arial"/>
        </w:rPr>
        <w:t>2.91</w:t>
      </w:r>
      <w:r>
        <w:rPr>
          <w:rFonts w:ascii="Arial" w:hAnsi="Arial" w:cs="Arial"/>
        </w:rPr>
        <w:t>万元,增长</w:t>
      </w:r>
      <w:r>
        <w:rPr>
          <w:rFonts w:hint="eastAsia" w:ascii="Arial" w:hAnsi="Arial" w:cs="Arial"/>
        </w:rPr>
        <w:t>18.22</w:t>
      </w:r>
      <w:r>
        <w:rPr>
          <w:rFonts w:ascii="Arial" w:hAnsi="Arial" w:cs="Arial"/>
        </w:rPr>
        <w:t xml:space="preserve"> %,全部是基本支出预算。是根据统一规定,按行政机关(含参公单位)在职职工工资总额的一定比例缴纳的基本医疗保险支出。</w:t>
      </w:r>
    </w:p>
    <w:p>
      <w:pPr>
        <w:pStyle w:val="5"/>
        <w:widowControl/>
        <w:spacing w:before="150" w:beforeAutospacing="0" w:after="150" w:afterAutospacing="0" w:line="460" w:lineRule="exact"/>
        <w:ind w:firstLine="420"/>
        <w:rPr>
          <w:rFonts w:ascii="Arial" w:hAnsi="Arial" w:cs="Arial"/>
        </w:rPr>
      </w:pPr>
      <w:r>
        <w:rPr>
          <w:rFonts w:ascii="Arial" w:hAnsi="Arial" w:cs="Arial"/>
        </w:rPr>
        <w:t>事业单位医疗</w:t>
      </w:r>
      <w:r>
        <w:rPr>
          <w:rFonts w:hint="eastAsia" w:ascii="Arial" w:hAnsi="Arial" w:cs="Arial"/>
        </w:rPr>
        <w:t>0.42</w:t>
      </w:r>
      <w:r>
        <w:rPr>
          <w:rFonts w:ascii="Arial" w:hAnsi="Arial" w:cs="Arial"/>
        </w:rPr>
        <w:t>万元,同比增加</w:t>
      </w:r>
      <w:r>
        <w:rPr>
          <w:rFonts w:hint="eastAsia" w:ascii="Arial" w:hAnsi="Arial" w:cs="Arial"/>
        </w:rPr>
        <w:t>0.25</w:t>
      </w:r>
      <w:r>
        <w:rPr>
          <w:rFonts w:ascii="Arial" w:hAnsi="Arial" w:cs="Arial"/>
        </w:rPr>
        <w:t>万元,增长</w:t>
      </w:r>
      <w:r>
        <w:rPr>
          <w:rFonts w:hint="eastAsia" w:ascii="Arial" w:hAnsi="Arial" w:cs="Arial"/>
        </w:rPr>
        <w:t>147</w:t>
      </w:r>
      <w:r>
        <w:rPr>
          <w:rFonts w:ascii="Arial" w:hAnsi="Arial" w:cs="Arial"/>
        </w:rPr>
        <w:t xml:space="preserve"> %,全部是基本支出预算。是根据统一规定,按事业单位在职职工工资总额的一定比例缴纳的基本医疗保险支出。</w:t>
      </w:r>
    </w:p>
    <w:p>
      <w:pPr>
        <w:pStyle w:val="5"/>
        <w:widowControl/>
        <w:spacing w:before="150" w:beforeAutospacing="0" w:after="150" w:afterAutospacing="0" w:line="460" w:lineRule="exact"/>
        <w:ind w:firstLine="420"/>
        <w:rPr>
          <w:rFonts w:ascii="Arial" w:hAnsi="Arial" w:cs="Arial"/>
        </w:rPr>
      </w:pPr>
      <w:r>
        <w:rPr>
          <w:rFonts w:ascii="Arial" w:hAnsi="Arial" w:cs="Arial"/>
        </w:rPr>
        <w:t>(4)住房保障支出</w:t>
      </w:r>
      <w:r>
        <w:rPr>
          <w:rFonts w:hint="eastAsia" w:ascii="Arial" w:hAnsi="Arial" w:cs="Arial"/>
        </w:rPr>
        <w:t>25.17</w:t>
      </w:r>
      <w:r>
        <w:rPr>
          <w:rFonts w:ascii="Arial" w:hAnsi="Arial" w:cs="Arial"/>
        </w:rPr>
        <w:t>万元,占一般公共预算支出预算</w:t>
      </w:r>
      <w:r>
        <w:rPr>
          <w:rFonts w:hint="eastAsia" w:ascii="Arial" w:hAnsi="Arial" w:cs="Arial"/>
        </w:rPr>
        <w:t>5.83</w:t>
      </w:r>
      <w:r>
        <w:rPr>
          <w:rFonts w:ascii="Arial" w:hAnsi="Arial" w:cs="Arial"/>
        </w:rPr>
        <w:t>%,同比增加</w:t>
      </w:r>
      <w:r>
        <w:rPr>
          <w:rFonts w:hint="eastAsia" w:ascii="Arial" w:hAnsi="Arial" w:cs="Arial"/>
        </w:rPr>
        <w:t>4.12</w:t>
      </w:r>
      <w:r>
        <w:rPr>
          <w:rFonts w:ascii="Arial" w:hAnsi="Arial" w:cs="Arial"/>
        </w:rPr>
        <w:t>万元,增长</w:t>
      </w:r>
      <w:r>
        <w:rPr>
          <w:rFonts w:hint="eastAsia" w:ascii="Arial" w:hAnsi="Arial" w:cs="Arial"/>
        </w:rPr>
        <w:t>19.57</w:t>
      </w:r>
      <w:r>
        <w:rPr>
          <w:rFonts w:ascii="Arial" w:hAnsi="Arial" w:cs="Arial"/>
        </w:rPr>
        <w:t>%。具体如下:</w:t>
      </w:r>
    </w:p>
    <w:p>
      <w:pPr>
        <w:pStyle w:val="5"/>
        <w:widowControl/>
        <w:spacing w:before="150" w:beforeAutospacing="0" w:after="150" w:afterAutospacing="0" w:line="460" w:lineRule="exact"/>
        <w:ind w:firstLine="420"/>
        <w:rPr>
          <w:rFonts w:ascii="Arial" w:hAnsi="Arial" w:cs="Arial"/>
        </w:rPr>
      </w:pPr>
      <w:r>
        <w:rPr>
          <w:rFonts w:ascii="Arial" w:hAnsi="Arial" w:cs="Arial"/>
        </w:rPr>
        <w:t>住房公积金</w:t>
      </w:r>
      <w:r>
        <w:rPr>
          <w:rFonts w:hint="eastAsia" w:ascii="Arial" w:hAnsi="Arial" w:cs="Arial"/>
        </w:rPr>
        <w:t>25.17</w:t>
      </w:r>
      <w:r>
        <w:rPr>
          <w:rFonts w:ascii="Arial" w:hAnsi="Arial" w:cs="Arial"/>
        </w:rPr>
        <w:t>万元,同比增加</w:t>
      </w:r>
      <w:r>
        <w:rPr>
          <w:rFonts w:hint="eastAsia" w:ascii="Arial" w:hAnsi="Arial" w:cs="Arial"/>
        </w:rPr>
        <w:t>4.12</w:t>
      </w:r>
      <w:r>
        <w:rPr>
          <w:rFonts w:ascii="Arial" w:hAnsi="Arial" w:cs="Arial"/>
        </w:rPr>
        <w:t>万元,增长</w:t>
      </w:r>
      <w:r>
        <w:rPr>
          <w:rFonts w:hint="eastAsia" w:ascii="Arial" w:hAnsi="Arial" w:cs="Arial"/>
        </w:rPr>
        <w:t>19.57</w:t>
      </w:r>
      <w:r>
        <w:rPr>
          <w:rFonts w:ascii="Arial" w:hAnsi="Arial" w:cs="Arial"/>
        </w:rPr>
        <w:t>%,全部是基本支出预算。是按照统一规定,为局机关和局属参公单位(事业单位)职工缴纳的住房公积金支出。</w:t>
      </w:r>
    </w:p>
    <w:p>
      <w:pPr>
        <w:pStyle w:val="5"/>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2023年一般公共预算基本支出</w:t>
      </w:r>
      <w:r>
        <w:rPr>
          <w:rFonts w:hint="eastAsia" w:ascii="Arial" w:hAnsi="Arial" w:cs="Arial"/>
        </w:rPr>
        <w:t>335.7</w:t>
      </w:r>
      <w:r>
        <w:rPr>
          <w:rFonts w:ascii="Arial" w:hAnsi="Arial" w:cs="Arial"/>
        </w:rPr>
        <w:t>万元,增加</w:t>
      </w:r>
      <w:r>
        <w:rPr>
          <w:rFonts w:hint="eastAsia" w:ascii="Arial" w:hAnsi="Arial" w:cs="Arial"/>
        </w:rPr>
        <w:t>35.6</w:t>
      </w:r>
      <w:r>
        <w:rPr>
          <w:rFonts w:ascii="Arial" w:hAnsi="Arial" w:cs="Arial"/>
        </w:rPr>
        <w:t>万元,增长</w:t>
      </w:r>
      <w:r>
        <w:rPr>
          <w:rFonts w:hint="eastAsia" w:ascii="Arial" w:hAnsi="Arial" w:cs="Arial"/>
        </w:rPr>
        <w:t>11.24</w:t>
      </w:r>
      <w:r>
        <w:rPr>
          <w:rFonts w:ascii="Arial" w:hAnsi="Arial" w:cs="Arial"/>
        </w:rPr>
        <w:t>%,增长的主要原因是</w:t>
      </w:r>
      <w:r>
        <w:rPr>
          <w:rFonts w:hint="eastAsia" w:ascii="Arial" w:hAnsi="Arial" w:cs="Arial"/>
        </w:rPr>
        <w:t>人员增加</w:t>
      </w:r>
      <w:r>
        <w:rPr>
          <w:rFonts w:ascii="Arial" w:hAnsi="Arial" w:cs="Arial"/>
        </w:rPr>
        <w:t>。其中:工资福利支出</w:t>
      </w:r>
      <w:r>
        <w:rPr>
          <w:rFonts w:hint="eastAsia" w:ascii="Arial" w:hAnsi="Arial" w:cs="Arial"/>
        </w:rPr>
        <w:t>304.99</w:t>
      </w:r>
      <w:r>
        <w:rPr>
          <w:rFonts w:ascii="Arial" w:hAnsi="Arial" w:cs="Arial"/>
        </w:rPr>
        <w:t>万元,增加</w:t>
      </w:r>
      <w:r>
        <w:rPr>
          <w:rFonts w:hint="eastAsia" w:ascii="Arial" w:hAnsi="Arial" w:cs="Arial"/>
        </w:rPr>
        <w:t>9.5</w:t>
      </w:r>
      <w:r>
        <w:rPr>
          <w:rFonts w:ascii="Arial" w:hAnsi="Arial" w:cs="Arial"/>
        </w:rPr>
        <w:t>万元,增长</w:t>
      </w:r>
      <w:r>
        <w:rPr>
          <w:rFonts w:hint="eastAsia" w:ascii="Arial" w:hAnsi="Arial" w:cs="Arial"/>
        </w:rPr>
        <w:t>7.46</w:t>
      </w:r>
      <w:r>
        <w:rPr>
          <w:rFonts w:ascii="Arial" w:hAnsi="Arial" w:cs="Arial"/>
        </w:rPr>
        <w:t xml:space="preserve"> %,增长的主要原因是</w:t>
      </w:r>
      <w:r>
        <w:rPr>
          <w:rFonts w:hint="eastAsia" w:ascii="Arial" w:hAnsi="Arial" w:cs="Arial"/>
        </w:rPr>
        <w:t>人员增加</w:t>
      </w:r>
      <w:r>
        <w:rPr>
          <w:rFonts w:ascii="Arial" w:hAnsi="Arial" w:cs="Arial"/>
        </w:rPr>
        <w:t>。商品和服务支出</w:t>
      </w:r>
      <w:r>
        <w:rPr>
          <w:rFonts w:hint="eastAsia" w:ascii="Arial" w:hAnsi="Arial" w:cs="Arial"/>
        </w:rPr>
        <w:t>27.72</w:t>
      </w:r>
      <w:r>
        <w:rPr>
          <w:rFonts w:ascii="Arial" w:hAnsi="Arial" w:cs="Arial"/>
        </w:rPr>
        <w:t>万元,增加</w:t>
      </w:r>
      <w:r>
        <w:rPr>
          <w:rFonts w:hint="eastAsia" w:ascii="Arial" w:hAnsi="Arial" w:cs="Arial"/>
        </w:rPr>
        <w:t>4.35</w:t>
      </w:r>
      <w:r>
        <w:rPr>
          <w:rFonts w:ascii="Arial" w:hAnsi="Arial" w:cs="Arial"/>
        </w:rPr>
        <w:t>万元,增长</w:t>
      </w:r>
      <w:r>
        <w:rPr>
          <w:rFonts w:hint="eastAsia" w:ascii="Arial" w:hAnsi="Arial" w:cs="Arial"/>
        </w:rPr>
        <w:t>2.16</w:t>
      </w:r>
      <w:r>
        <w:rPr>
          <w:rFonts w:ascii="Arial" w:hAnsi="Arial" w:cs="Arial"/>
        </w:rPr>
        <w:t>%。增长的主要原因是</w:t>
      </w:r>
      <w:r>
        <w:rPr>
          <w:rFonts w:hint="eastAsia" w:ascii="Arial" w:hAnsi="Arial" w:cs="Arial"/>
        </w:rPr>
        <w:t>宣传事务</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七、财政拨款三公两费支出情况说明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2023年一般公共预算安排的“三公”经费共</w:t>
      </w:r>
      <w:r>
        <w:rPr>
          <w:rFonts w:hint="eastAsia" w:ascii="Arial" w:hAnsi="Arial" w:cs="Arial"/>
        </w:rPr>
        <w:t>13.8</w:t>
      </w:r>
      <w:r>
        <w:rPr>
          <w:rFonts w:ascii="Arial" w:hAnsi="Arial" w:cs="Arial"/>
        </w:rPr>
        <w:t>万元,增加</w:t>
      </w:r>
      <w:r>
        <w:rPr>
          <w:rFonts w:hint="eastAsia" w:ascii="Arial" w:hAnsi="Arial" w:cs="Arial"/>
        </w:rPr>
        <w:t>7.68</w:t>
      </w:r>
      <w:r>
        <w:rPr>
          <w:rFonts w:ascii="Arial" w:hAnsi="Arial" w:cs="Arial"/>
        </w:rPr>
        <w:t>万元,增长</w:t>
      </w:r>
      <w:r>
        <w:rPr>
          <w:rFonts w:hint="eastAsia" w:ascii="Arial" w:hAnsi="Arial" w:cs="Arial"/>
        </w:rPr>
        <w:t>125.49</w:t>
      </w:r>
      <w:r>
        <w:rPr>
          <w:rFonts w:ascii="Arial" w:hAnsi="Arial" w:cs="Arial"/>
        </w:rPr>
        <w:t xml:space="preserve"> %。具体如下:</w:t>
      </w:r>
    </w:p>
    <w:p>
      <w:pPr>
        <w:pStyle w:val="5"/>
        <w:widowControl/>
        <w:spacing w:before="150" w:beforeAutospacing="0" w:after="150" w:afterAutospacing="0" w:line="460" w:lineRule="exact"/>
        <w:ind w:firstLine="420"/>
        <w:rPr>
          <w:rFonts w:ascii="Arial" w:hAnsi="Arial" w:cs="Arial"/>
        </w:rPr>
      </w:pPr>
      <w:r>
        <w:rPr>
          <w:rFonts w:ascii="Arial" w:hAnsi="Arial" w:cs="Arial"/>
        </w:rPr>
        <w:t>1、因公出国(境)经费无预算安排,同比无变化。</w:t>
      </w:r>
    </w:p>
    <w:p>
      <w:pPr>
        <w:pStyle w:val="5"/>
        <w:widowControl/>
        <w:spacing w:before="150" w:beforeAutospacing="0" w:after="150" w:afterAutospacing="0" w:line="460" w:lineRule="exact"/>
        <w:ind w:firstLine="420"/>
        <w:rPr>
          <w:rFonts w:ascii="Arial" w:hAnsi="Arial" w:cs="Arial"/>
        </w:rPr>
      </w:pPr>
      <w:r>
        <w:rPr>
          <w:rFonts w:ascii="Arial" w:hAnsi="Arial" w:cs="Arial"/>
        </w:rPr>
        <w:t>2、公务接待费预算</w:t>
      </w:r>
      <w:r>
        <w:rPr>
          <w:rFonts w:hint="eastAsia" w:ascii="Arial" w:hAnsi="Arial" w:cs="Arial"/>
        </w:rPr>
        <w:t>12.41</w:t>
      </w:r>
      <w:r>
        <w:rPr>
          <w:rFonts w:ascii="Arial" w:hAnsi="Arial" w:cs="Arial"/>
        </w:rPr>
        <w:t>万元,增加</w:t>
      </w:r>
      <w:r>
        <w:rPr>
          <w:rFonts w:hint="eastAsia" w:ascii="Arial" w:hAnsi="Arial" w:cs="Arial"/>
        </w:rPr>
        <w:t>6.29</w:t>
      </w:r>
      <w:r>
        <w:rPr>
          <w:rFonts w:ascii="Arial" w:hAnsi="Arial" w:cs="Arial"/>
        </w:rPr>
        <w:t>万元,增长</w:t>
      </w:r>
      <w:r>
        <w:rPr>
          <w:rFonts w:hint="eastAsia" w:ascii="Arial" w:hAnsi="Arial" w:cs="Arial"/>
        </w:rPr>
        <w:t>102.77</w:t>
      </w:r>
      <w:r>
        <w:rPr>
          <w:rFonts w:ascii="Arial" w:hAnsi="Arial" w:cs="Arial"/>
        </w:rPr>
        <w:t xml:space="preserve"> %。我单位认真贯彻落实中央八项规定要求,严格执行公务接待管理办法。主要用于单位按规定开支的各类公务接待费用。</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3</w:t>
      </w:r>
      <w:r>
        <w:rPr>
          <w:rFonts w:ascii="Arial" w:hAnsi="Arial" w:cs="Arial"/>
        </w:rPr>
        <w:t>、会议费预算</w:t>
      </w:r>
      <w:r>
        <w:rPr>
          <w:rFonts w:hint="eastAsia" w:ascii="Arial" w:hAnsi="Arial" w:cs="Arial"/>
        </w:rPr>
        <w:t>0.61</w:t>
      </w:r>
      <w:r>
        <w:rPr>
          <w:rFonts w:ascii="Arial" w:hAnsi="Arial" w:cs="Arial"/>
        </w:rPr>
        <w:t>万元,增加</w:t>
      </w:r>
      <w:r>
        <w:rPr>
          <w:rFonts w:hint="eastAsia" w:ascii="Arial" w:hAnsi="Arial" w:cs="Arial"/>
        </w:rPr>
        <w:t>0.61</w:t>
      </w:r>
      <w:r>
        <w:rPr>
          <w:rFonts w:ascii="Arial" w:hAnsi="Arial" w:cs="Arial"/>
        </w:rPr>
        <w:t>万元,增长</w:t>
      </w:r>
      <w:r>
        <w:rPr>
          <w:rFonts w:hint="eastAsia" w:ascii="Arial" w:hAnsi="Arial" w:cs="Arial"/>
        </w:rPr>
        <w:t>100</w:t>
      </w:r>
      <w:r>
        <w:rPr>
          <w:rFonts w:ascii="Arial" w:hAnsi="Arial" w:cs="Arial"/>
        </w:rPr>
        <w:t xml:space="preserve"> %,增长的主要原因是</w:t>
      </w:r>
      <w:r>
        <w:rPr>
          <w:rFonts w:hint="eastAsia" w:ascii="Arial" w:hAnsi="Arial" w:cs="Arial"/>
        </w:rPr>
        <w:t>人员增加</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八、政府性基金预算支出情况说明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 xml:space="preserve">2023年政府性基金预算支出预算 </w:t>
      </w:r>
      <w:r>
        <w:rPr>
          <w:rFonts w:hint="eastAsia" w:ascii="Arial" w:hAnsi="Arial" w:cs="Arial"/>
          <w:lang w:val="en-US" w:eastAsia="zh-CN"/>
        </w:rPr>
        <w:t>0</w:t>
      </w:r>
      <w:r>
        <w:rPr>
          <w:rFonts w:ascii="Arial" w:hAnsi="Arial" w:cs="Arial"/>
        </w:rPr>
        <w:t>  万元,同比</w:t>
      </w:r>
      <w:r>
        <w:rPr>
          <w:rFonts w:hint="eastAsia" w:ascii="Arial" w:hAnsi="Arial" w:cs="Arial"/>
          <w:lang w:val="en-US" w:eastAsia="zh-CN"/>
        </w:rPr>
        <w:t>无变化</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pPr>
        <w:pStyle w:val="5"/>
        <w:widowControl/>
        <w:spacing w:before="150" w:beforeAutospacing="0" w:after="150" w:afterAutospacing="0" w:line="460" w:lineRule="exact"/>
        <w:ind w:firstLine="420"/>
        <w:rPr>
          <w:rFonts w:hint="eastAsia" w:ascii="Arial" w:hAnsi="Arial" w:cs="Arial" w:eastAsiaTheme="minorEastAsia"/>
          <w:lang w:eastAsia="zh-CN"/>
        </w:rPr>
      </w:pPr>
      <w:r>
        <w:rPr>
          <w:rFonts w:ascii="Arial" w:hAnsi="Arial" w:cs="Arial"/>
        </w:rPr>
        <w:t>我单位2023年部门预算无国有资本经营预算</w:t>
      </w:r>
      <w:r>
        <w:rPr>
          <w:rFonts w:hint="eastAsia" w:ascii="Arial" w:hAnsi="Arial" w:cs="Arial"/>
          <w:lang w:eastAsia="zh-CN"/>
        </w:rPr>
        <w:t>。</w:t>
      </w:r>
    </w:p>
    <w:p>
      <w:pPr>
        <w:pStyle w:val="5"/>
        <w:widowControl/>
        <w:spacing w:before="150" w:beforeAutospacing="0" w:after="150" w:afterAutospacing="0" w:line="460" w:lineRule="exact"/>
        <w:ind w:firstLine="480" w:firstLineChars="200"/>
        <w:rPr>
          <w:rFonts w:ascii="Arial" w:hAnsi="Arial" w:cs="Arial"/>
        </w:rPr>
      </w:pPr>
      <w:r>
        <w:rPr>
          <w:rFonts w:ascii="Arial" w:hAnsi="Arial" w:cs="Arial"/>
        </w:rPr>
        <w:t>十、其他重要事项情况说明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(一)机关运行经费安排情况说明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2023年机关运行经费</w:t>
      </w:r>
      <w:r>
        <w:rPr>
          <w:rFonts w:hint="eastAsia" w:ascii="Arial" w:hAnsi="Arial" w:cs="Arial"/>
        </w:rPr>
        <w:t>335.7</w:t>
      </w:r>
      <w:r>
        <w:rPr>
          <w:rFonts w:ascii="Arial" w:hAnsi="Arial" w:cs="Arial"/>
        </w:rPr>
        <w:t>万元,增加</w:t>
      </w:r>
      <w:r>
        <w:rPr>
          <w:rFonts w:hint="eastAsia" w:ascii="Arial" w:hAnsi="Arial" w:cs="Arial"/>
        </w:rPr>
        <w:t>310.81</w:t>
      </w:r>
      <w:r>
        <w:rPr>
          <w:rFonts w:ascii="Arial" w:hAnsi="Arial" w:cs="Arial"/>
        </w:rPr>
        <w:t>万元,增长</w:t>
      </w:r>
      <w:r>
        <w:rPr>
          <w:rFonts w:hint="eastAsia" w:ascii="Arial" w:hAnsi="Arial" w:cs="Arial"/>
        </w:rPr>
        <w:t>1248</w:t>
      </w:r>
      <w:r>
        <w:rPr>
          <w:rFonts w:ascii="Arial" w:hAnsi="Arial" w:cs="Arial"/>
        </w:rPr>
        <w:t>%。增)的主要原因是</w:t>
      </w:r>
      <w:r>
        <w:rPr>
          <w:rFonts w:hint="eastAsia" w:ascii="Arial" w:hAnsi="Arial" w:cs="Arial"/>
        </w:rPr>
        <w:t>宣传事务</w:t>
      </w:r>
      <w:r>
        <w:rPr>
          <w:rFonts w:ascii="Arial" w:hAnsi="Arial" w:cs="Arial"/>
        </w:rPr>
        <w:t>。具体包括办公费</w:t>
      </w:r>
      <w:r>
        <w:rPr>
          <w:rFonts w:hint="eastAsia" w:ascii="Arial" w:hAnsi="Arial" w:cs="Arial"/>
        </w:rPr>
        <w:t>1.79</w:t>
      </w:r>
      <w:r>
        <w:rPr>
          <w:rFonts w:ascii="Arial" w:hAnsi="Arial" w:cs="Arial"/>
        </w:rPr>
        <w:t>万元、印刷费</w:t>
      </w:r>
      <w:r>
        <w:rPr>
          <w:rFonts w:hint="eastAsia" w:ascii="Arial" w:hAnsi="Arial" w:cs="Arial"/>
        </w:rPr>
        <w:t>0.71</w:t>
      </w:r>
      <w:r>
        <w:rPr>
          <w:rFonts w:ascii="Arial" w:hAnsi="Arial" w:cs="Arial"/>
        </w:rPr>
        <w:t>万元、水费</w:t>
      </w:r>
      <w:r>
        <w:rPr>
          <w:rFonts w:hint="eastAsia" w:ascii="Arial" w:hAnsi="Arial" w:cs="Arial"/>
        </w:rPr>
        <w:t>0.42</w:t>
      </w:r>
      <w:r>
        <w:rPr>
          <w:rFonts w:ascii="Arial" w:hAnsi="Arial" w:cs="Arial"/>
        </w:rPr>
        <w:t>万元、电费</w:t>
      </w:r>
      <w:r>
        <w:rPr>
          <w:rFonts w:hint="eastAsia" w:ascii="Arial" w:hAnsi="Arial" w:cs="Arial"/>
        </w:rPr>
        <w:t>1.3</w:t>
      </w:r>
      <w:r>
        <w:rPr>
          <w:rFonts w:ascii="Arial" w:hAnsi="Arial" w:cs="Arial"/>
        </w:rPr>
        <w:t>万元、邮电费</w:t>
      </w:r>
      <w:r>
        <w:rPr>
          <w:rFonts w:hint="eastAsia" w:ascii="Arial" w:hAnsi="Arial" w:cs="Arial"/>
        </w:rPr>
        <w:t>0.82</w:t>
      </w:r>
      <w:r>
        <w:rPr>
          <w:rFonts w:ascii="Arial" w:hAnsi="Arial" w:cs="Arial"/>
        </w:rPr>
        <w:t>万元、差旅费</w:t>
      </w:r>
      <w:r>
        <w:rPr>
          <w:rFonts w:hint="eastAsia" w:ascii="Arial" w:hAnsi="Arial" w:cs="Arial"/>
        </w:rPr>
        <w:t>5.14</w:t>
      </w:r>
      <w:r>
        <w:rPr>
          <w:rFonts w:ascii="Arial" w:hAnsi="Arial" w:cs="Arial"/>
        </w:rPr>
        <w:t>万元、维修(护)费</w:t>
      </w:r>
      <w:r>
        <w:rPr>
          <w:rFonts w:hint="eastAsia" w:ascii="Arial" w:hAnsi="Arial" w:cs="Arial"/>
        </w:rPr>
        <w:t>0.42</w:t>
      </w:r>
      <w:r>
        <w:rPr>
          <w:rFonts w:ascii="Arial" w:hAnsi="Arial" w:cs="Arial"/>
        </w:rPr>
        <w:t>万元、会议费</w:t>
      </w:r>
      <w:r>
        <w:rPr>
          <w:rFonts w:hint="eastAsia" w:ascii="Arial" w:hAnsi="Arial" w:cs="Arial"/>
        </w:rPr>
        <w:t>0.61</w:t>
      </w:r>
      <w:r>
        <w:rPr>
          <w:rFonts w:ascii="Arial" w:hAnsi="Arial" w:cs="Arial"/>
        </w:rPr>
        <w:t>万元、培训费</w:t>
      </w:r>
      <w:r>
        <w:rPr>
          <w:rFonts w:hint="eastAsia" w:ascii="Arial" w:hAnsi="Arial" w:cs="Arial"/>
        </w:rPr>
        <w:t>0.38</w:t>
      </w:r>
      <w:r>
        <w:rPr>
          <w:rFonts w:ascii="Arial" w:hAnsi="Arial" w:cs="Arial"/>
        </w:rPr>
        <w:t>万元、公务接待费</w:t>
      </w:r>
      <w:r>
        <w:rPr>
          <w:rFonts w:hint="eastAsia" w:ascii="Arial" w:hAnsi="Arial" w:cs="Arial"/>
        </w:rPr>
        <w:t>1.21</w:t>
      </w:r>
      <w:r>
        <w:rPr>
          <w:rFonts w:ascii="Arial" w:hAnsi="Arial" w:cs="Arial"/>
        </w:rPr>
        <w:t>万元、其他交通费用</w:t>
      </w:r>
      <w:r>
        <w:rPr>
          <w:rFonts w:hint="eastAsia" w:ascii="Arial" w:hAnsi="Arial" w:cs="Arial"/>
        </w:rPr>
        <w:t>12.72</w:t>
      </w:r>
      <w:r>
        <w:rPr>
          <w:rFonts w:ascii="Arial" w:hAnsi="Arial" w:cs="Arial"/>
        </w:rPr>
        <w:t>万元和其他商品和服务支出</w:t>
      </w:r>
      <w:r>
        <w:rPr>
          <w:rFonts w:hint="eastAsia" w:ascii="Arial" w:hAnsi="Arial" w:cs="Arial"/>
        </w:rPr>
        <w:t>2.2</w:t>
      </w:r>
      <w:r>
        <w:rPr>
          <w:rFonts w:ascii="Arial" w:hAnsi="Arial" w:cs="Arial"/>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(二)政府采购预算安排情况说明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(三)国有资产占有使用情况说明截至2022年12月31日,本部门资产总计</w:t>
      </w:r>
      <w:r>
        <w:rPr>
          <w:rFonts w:hint="eastAsia" w:ascii="Arial" w:hAnsi="Arial" w:cs="Arial"/>
        </w:rPr>
        <w:t>232</w:t>
      </w:r>
      <w:r>
        <w:rPr>
          <w:rFonts w:ascii="Arial" w:hAnsi="Arial" w:cs="Arial"/>
        </w:rPr>
        <w:t>万元,其中:流动资产</w:t>
      </w:r>
      <w:r>
        <w:rPr>
          <w:rFonts w:hint="eastAsia" w:ascii="Arial" w:hAnsi="Arial" w:cs="Arial"/>
        </w:rPr>
        <w:t>150.04</w:t>
      </w:r>
      <w:r>
        <w:rPr>
          <w:rFonts w:ascii="Arial" w:hAnsi="Arial" w:cs="Arial"/>
        </w:rPr>
        <w:t>万元,固定资产</w:t>
      </w:r>
      <w:r>
        <w:rPr>
          <w:rFonts w:hint="eastAsia" w:ascii="Arial" w:hAnsi="Arial" w:cs="Arial"/>
        </w:rPr>
        <w:t>81.96</w:t>
      </w:r>
      <w:r>
        <w:rPr>
          <w:rFonts w:ascii="Arial" w:hAnsi="Arial" w:cs="Arial"/>
        </w:rPr>
        <w:t>万元,在建工程</w:t>
      </w:r>
      <w:r>
        <w:rPr>
          <w:rFonts w:hint="eastAsia" w:ascii="Arial" w:hAnsi="Arial" w:cs="Arial"/>
        </w:rPr>
        <w:t>0</w:t>
      </w:r>
      <w:r>
        <w:rPr>
          <w:rFonts w:ascii="Arial" w:hAnsi="Arial" w:cs="Arial"/>
        </w:rPr>
        <w:t>万元,无形资产</w:t>
      </w:r>
      <w:r>
        <w:rPr>
          <w:rFonts w:hint="eastAsia" w:ascii="Arial" w:hAnsi="Arial" w:cs="Arial"/>
        </w:rPr>
        <w:t>0</w:t>
      </w:r>
      <w:r>
        <w:rPr>
          <w:rFonts w:ascii="Arial" w:hAnsi="Arial" w:cs="Arial"/>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本部门实际可调配使用车辆</w:t>
      </w:r>
      <w:r>
        <w:rPr>
          <w:rFonts w:hint="eastAsia" w:ascii="Arial" w:hAnsi="Arial" w:cs="Arial"/>
        </w:rPr>
        <w:t>0</w:t>
      </w:r>
      <w:r>
        <w:rPr>
          <w:rFonts w:ascii="Arial" w:hAnsi="Arial" w:cs="Arial"/>
        </w:rPr>
        <w:t xml:space="preserve"> 辆,其中:一般公务用车辆</w:t>
      </w:r>
      <w:r>
        <w:rPr>
          <w:rFonts w:hint="eastAsia" w:ascii="Arial" w:hAnsi="Arial" w:cs="Arial"/>
        </w:rPr>
        <w:t>0</w:t>
      </w:r>
      <w:r>
        <w:rPr>
          <w:rFonts w:ascii="Arial" w:hAnsi="Arial" w:cs="Arial"/>
        </w:rPr>
        <w:t>辆。</w:t>
      </w:r>
    </w:p>
    <w:p>
      <w:pPr>
        <w:pStyle w:val="5"/>
        <w:widowControl/>
        <w:spacing w:before="150" w:beforeAutospacing="0" w:after="150" w:afterAutospacing="0" w:line="460" w:lineRule="exact"/>
        <w:ind w:firstLine="420"/>
        <w:rPr>
          <w:rFonts w:ascii="Arial" w:hAnsi="Arial" w:cs="Arial"/>
        </w:rPr>
      </w:pPr>
      <w:r>
        <w:rPr>
          <w:rFonts w:ascii="Arial" w:hAnsi="Arial" w:cs="Arial"/>
        </w:rPr>
        <w:t>(四)重点项目预算绩效目标等情况说明</w:t>
      </w:r>
    </w:p>
    <w:p>
      <w:pPr>
        <w:pStyle w:val="5"/>
        <w:widowControl/>
        <w:spacing w:before="274" w:after="274" w:line="360" w:lineRule="auto"/>
        <w:ind w:firstLine="475"/>
      </w:pPr>
      <w:r>
        <w:rPr>
          <w:rFonts w:hint="eastAsia"/>
        </w:rPr>
        <w:t>本部门2023年部门预算所有项目均已编制绩效目标列入绩效考核范围，其中：</w:t>
      </w:r>
    </w:p>
    <w:p>
      <w:pPr>
        <w:pStyle w:val="5"/>
        <w:widowControl/>
        <w:spacing w:before="274" w:after="274" w:line="360" w:lineRule="auto"/>
        <w:ind w:firstLine="475"/>
      </w:pPr>
      <w:r>
        <w:rPr>
          <w:rFonts w:hint="eastAsia"/>
        </w:rPr>
        <w:t>重点项目绩效目标1个；</w:t>
      </w:r>
    </w:p>
    <w:p>
      <w:pPr>
        <w:pStyle w:val="5"/>
        <w:widowControl/>
        <w:spacing w:before="274" w:after="274" w:line="360" w:lineRule="auto"/>
        <w:ind w:firstLine="475"/>
      </w:pPr>
      <w:r>
        <w:rPr>
          <w:rFonts w:hint="eastAsia"/>
        </w:rPr>
        <w:t>项目名称：媒体宣传费</w:t>
      </w:r>
    </w:p>
    <w:p>
      <w:pPr>
        <w:pStyle w:val="5"/>
        <w:widowControl/>
        <w:spacing w:before="274" w:after="274" w:line="360" w:lineRule="auto"/>
        <w:ind w:firstLine="475"/>
      </w:pPr>
      <w:r>
        <w:rPr>
          <w:rFonts w:hint="eastAsia"/>
        </w:rPr>
        <w:t>项目预算金额253万元；</w:t>
      </w:r>
    </w:p>
    <w:p>
      <w:pPr>
        <w:pStyle w:val="5"/>
        <w:widowControl/>
        <w:spacing w:before="274" w:after="274" w:line="360" w:lineRule="auto"/>
        <w:ind w:firstLine="475"/>
      </w:pPr>
      <w:r>
        <w:rPr>
          <w:rFonts w:hint="eastAsia"/>
        </w:rPr>
        <w:t>实施进度计划：预计2023年12月31日前完成；</w:t>
      </w:r>
    </w:p>
    <w:p>
      <w:pPr>
        <w:pStyle w:val="5"/>
        <w:widowControl/>
        <w:spacing w:before="274" w:after="274" w:line="360" w:lineRule="auto"/>
        <w:ind w:firstLine="475"/>
      </w:pPr>
      <w:r>
        <w:rPr>
          <w:rFonts w:hint="eastAsia"/>
        </w:rPr>
        <w:t>年度目标：更全面地宣传</w:t>
      </w:r>
      <w:r>
        <w:rPr>
          <w:rFonts w:hint="eastAsia"/>
          <w:lang w:eastAsia="zh-CN"/>
        </w:rPr>
        <w:t>县委、县政府</w:t>
      </w:r>
      <w:r>
        <w:rPr>
          <w:rFonts w:hint="eastAsia"/>
        </w:rPr>
        <w:t>的各项重点工作，更加全面报道县委、县政府近年来各项工作的新举措、新成效，提升全州对外新形象，应新华通讯社、人民网、人民日报海外网、今日头条、广西日报社、广西新闻网、桂林日报社、桂林生活网等新闻媒体的邀请，2022年我县已在上述媒体进行图文并茂的集中宣传。为了更全面地宣传</w:t>
      </w:r>
      <w:r>
        <w:rPr>
          <w:rFonts w:hint="eastAsia"/>
          <w:lang w:eastAsia="zh-CN"/>
        </w:rPr>
        <w:t>县委、县政府</w:t>
      </w:r>
      <w:r>
        <w:rPr>
          <w:rFonts w:hint="eastAsia"/>
        </w:rPr>
        <w:t>的各项重点工作，更加全面报道县委、县政府近年来各项工作的新举措、新成效，提升全州对外新形象。</w:t>
      </w:r>
    </w:p>
    <w:p>
      <w:pPr>
        <w:pStyle w:val="5"/>
        <w:widowControl/>
        <w:spacing w:before="274" w:beforeAutospacing="0" w:after="274" w:afterAutospacing="0" w:line="360" w:lineRule="auto"/>
        <w:ind w:firstLine="475"/>
      </w:pPr>
    </w:p>
    <w:p>
      <w:pPr>
        <w:pStyle w:val="5"/>
        <w:widowControl/>
        <w:spacing w:before="150" w:beforeAutospacing="0" w:after="150" w:afterAutospacing="0" w:line="460" w:lineRule="exact"/>
        <w:ind w:firstLine="420"/>
        <w:jc w:val="center"/>
        <w:rPr>
          <w:rFonts w:ascii="Arial" w:hAnsi="Arial" w:cs="Arial"/>
        </w:rPr>
      </w:pP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pPr>
        <w:pStyle w:val="5"/>
        <w:widowControl/>
        <w:spacing w:before="150" w:beforeAutospacing="0" w:after="150" w:afterAutospacing="0" w:line="460" w:lineRule="exact"/>
        <w:ind w:firstLine="420"/>
        <w:rPr>
          <w:rFonts w:ascii="Arial" w:hAnsi="Arial" w:cs="Arial"/>
        </w:rPr>
      </w:pPr>
      <w:r>
        <w:rPr>
          <w:rFonts w:ascii="Arial" w:hAnsi="Arial" w:cs="Arial"/>
        </w:rPr>
        <w:t>一、财政拨款收入:指财政部门当年拨付的资金。</w:t>
      </w:r>
    </w:p>
    <w:p>
      <w:pPr>
        <w:pStyle w:val="5"/>
        <w:widowControl/>
        <w:spacing w:before="150" w:beforeAutospacing="0" w:after="150" w:afterAutospacing="0" w:line="460" w:lineRule="exact"/>
        <w:ind w:firstLine="420"/>
        <w:rPr>
          <w:rFonts w:ascii="Arial" w:hAnsi="Arial" w:cs="Arial"/>
        </w:rPr>
      </w:pPr>
      <w:r>
        <w:rPr>
          <w:rFonts w:ascii="Arial" w:hAnsi="Arial" w:cs="Arial"/>
        </w:rPr>
        <w:t>二、事业收入:指事业单位开展专业业务活动及辅助活动所取得的收入。</w:t>
      </w:r>
    </w:p>
    <w:p>
      <w:pPr>
        <w:pStyle w:val="5"/>
        <w:widowControl/>
        <w:spacing w:before="150" w:beforeAutospacing="0" w:after="150" w:afterAutospacing="0" w:line="460" w:lineRule="exact"/>
        <w:ind w:firstLine="420"/>
        <w:rPr>
          <w:rFonts w:ascii="Arial" w:hAnsi="Arial" w:cs="Arial"/>
        </w:rPr>
      </w:pPr>
      <w:r>
        <w:rPr>
          <w:rFonts w:ascii="Arial" w:hAnsi="Arial" w:cs="Arial"/>
        </w:rPr>
        <w:t>三、其他收入:指除上述“财政拨款收入”、“事业收入”、“经营收入”等以外的收入。</w:t>
      </w:r>
    </w:p>
    <w:p>
      <w:pPr>
        <w:pStyle w:val="5"/>
        <w:widowControl/>
        <w:spacing w:before="150" w:beforeAutospacing="0" w:after="150" w:afterAutospacing="0" w:line="460" w:lineRule="exact"/>
        <w:ind w:firstLine="420"/>
        <w:rPr>
          <w:rFonts w:ascii="Arial" w:hAnsi="Arial" w:cs="Arial"/>
        </w:rPr>
      </w:pPr>
      <w:r>
        <w:rPr>
          <w:rFonts w:ascii="Arial" w:hAnsi="Arial" w:cs="Arial"/>
        </w:rPr>
        <w:t>四、基本支出:指为保障机构正常运转、完成日常工作任务而发生的人员支出和公用支出。</w:t>
      </w:r>
    </w:p>
    <w:p>
      <w:pPr>
        <w:pStyle w:val="5"/>
        <w:widowControl/>
        <w:spacing w:before="150" w:beforeAutospacing="0" w:after="150" w:afterAutospacing="0" w:line="460" w:lineRule="exact"/>
        <w:ind w:firstLine="420"/>
        <w:rPr>
          <w:rFonts w:ascii="Arial" w:hAnsi="Arial" w:cs="Arial"/>
        </w:rPr>
      </w:pPr>
      <w:r>
        <w:rPr>
          <w:rFonts w:ascii="Arial" w:hAnsi="Arial" w:cs="Arial"/>
        </w:rPr>
        <w:t>五、项目支出:指在基本支出之外为完成特定行政任务和事业发展目标所发生的支出。</w:t>
      </w:r>
    </w:p>
    <w:p>
      <w:pPr>
        <w:pStyle w:val="5"/>
        <w:widowControl/>
        <w:spacing w:before="150" w:beforeAutospacing="0" w:after="150" w:afterAutospacing="0" w:line="460" w:lineRule="exact"/>
        <w:ind w:firstLine="420"/>
        <w:rPr>
          <w:rFonts w:ascii="Arial" w:hAnsi="Arial" w:cs="Arial"/>
        </w:rPr>
      </w:pPr>
      <w:r>
        <w:rPr>
          <w:rFonts w:ascii="Arial" w:hAnsi="Arial" w:cs="Arial"/>
        </w:rPr>
        <w:t>六、一般公共服务支出:反映政府提供一般公共服务的支出。</w:t>
      </w:r>
    </w:p>
    <w:p>
      <w:pPr>
        <w:pStyle w:val="5"/>
        <w:widowControl/>
        <w:spacing w:before="150" w:beforeAutospacing="0" w:after="150" w:afterAutospacing="0" w:line="460" w:lineRule="exact"/>
        <w:ind w:firstLine="420"/>
        <w:rPr>
          <w:rFonts w:ascii="Arial" w:hAnsi="Arial" w:cs="Arial"/>
        </w:rPr>
      </w:pPr>
      <w:r>
        <w:rPr>
          <w:rFonts w:ascii="Arial" w:hAnsi="Arial" w:cs="Arial"/>
        </w:rPr>
        <w:t>七、社会保障和就业支出:反映政府在社会保障与就业方面的支出。</w:t>
      </w:r>
    </w:p>
    <w:p>
      <w:pPr>
        <w:pStyle w:val="5"/>
        <w:widowControl/>
        <w:spacing w:before="150" w:beforeAutospacing="0" w:after="150" w:afterAutospacing="0" w:line="460" w:lineRule="exact"/>
        <w:ind w:firstLine="420"/>
        <w:rPr>
          <w:rFonts w:ascii="Arial" w:hAnsi="Arial" w:cs="Arial"/>
        </w:rPr>
      </w:pPr>
      <w:r>
        <w:rPr>
          <w:rFonts w:ascii="Arial" w:hAnsi="Arial" w:cs="Arial"/>
        </w:rPr>
        <w:t>八、卫生健康支出:反映政府卫生健康方面的支出。</w:t>
      </w:r>
    </w:p>
    <w:p>
      <w:pPr>
        <w:pStyle w:val="5"/>
        <w:widowControl/>
        <w:spacing w:before="150" w:beforeAutospacing="0" w:after="150" w:afterAutospacing="0" w:line="460" w:lineRule="exact"/>
        <w:ind w:firstLine="420"/>
        <w:rPr>
          <w:rFonts w:ascii="Arial" w:hAnsi="Arial" w:cs="Arial"/>
        </w:rPr>
      </w:pPr>
      <w:r>
        <w:rPr>
          <w:rFonts w:ascii="Arial" w:hAnsi="Arial" w:cs="Arial"/>
        </w:rPr>
        <w:t>九、住房保障支出:集中反映政府用于住房方面的支出。</w:t>
      </w:r>
    </w:p>
    <w:p>
      <w:pPr>
        <w:pStyle w:val="5"/>
        <w:widowControl/>
        <w:spacing w:before="150" w:beforeAutospacing="0" w:after="150" w:afterAutospacing="0" w:line="460" w:lineRule="exact"/>
        <w:ind w:firstLine="420"/>
        <w:rPr>
          <w:rFonts w:ascii="Arial" w:hAnsi="Arial" w:cs="Arial"/>
        </w:rPr>
      </w:pPr>
      <w:r>
        <w:rPr>
          <w:rFonts w:ascii="Arial" w:hAnsi="Arial" w:cs="Arial"/>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5"/>
        <w:widowControl/>
        <w:spacing w:before="150" w:beforeAutospacing="0" w:after="150" w:afterAutospacing="0" w:line="460" w:lineRule="exact"/>
        <w:ind w:firstLine="420"/>
      </w:pPr>
      <w:r>
        <w:rPr>
          <w:rFonts w:ascii="Arial" w:hAnsi="Arial" w:cs="Arial"/>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460" w:lineRule="exac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3EFAC"/>
    <w:multiLevelType w:val="singleLevel"/>
    <w:tmpl w:val="3623EFA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RmNDc3OGQ4OTg3MmRmOTU1YjliY2U4MTdlYzU0ZTcifQ=="/>
  </w:docVars>
  <w:rsids>
    <w:rsidRoot w:val="255B155F"/>
    <w:rsid w:val="002C6E30"/>
    <w:rsid w:val="004B6EBA"/>
    <w:rsid w:val="00606444"/>
    <w:rsid w:val="006416E1"/>
    <w:rsid w:val="00D93849"/>
    <w:rsid w:val="00EC3ADF"/>
    <w:rsid w:val="01680430"/>
    <w:rsid w:val="022C2E9B"/>
    <w:rsid w:val="027918B3"/>
    <w:rsid w:val="031F0FC2"/>
    <w:rsid w:val="0321400D"/>
    <w:rsid w:val="03CE5F43"/>
    <w:rsid w:val="04854128"/>
    <w:rsid w:val="04C75BAA"/>
    <w:rsid w:val="068707C4"/>
    <w:rsid w:val="07CB031D"/>
    <w:rsid w:val="08A52FEB"/>
    <w:rsid w:val="0AA03A6A"/>
    <w:rsid w:val="0C120997"/>
    <w:rsid w:val="0E0F33E0"/>
    <w:rsid w:val="0E2F75DE"/>
    <w:rsid w:val="0E762F65"/>
    <w:rsid w:val="11080D41"/>
    <w:rsid w:val="117758BA"/>
    <w:rsid w:val="133A1BD3"/>
    <w:rsid w:val="13511DA5"/>
    <w:rsid w:val="14BD6FE9"/>
    <w:rsid w:val="15AE60AA"/>
    <w:rsid w:val="16B73A49"/>
    <w:rsid w:val="1A246465"/>
    <w:rsid w:val="22EA7F2C"/>
    <w:rsid w:val="244D65B8"/>
    <w:rsid w:val="255B155F"/>
    <w:rsid w:val="258F5248"/>
    <w:rsid w:val="260E3215"/>
    <w:rsid w:val="29E928DF"/>
    <w:rsid w:val="2EA4771D"/>
    <w:rsid w:val="31C11B09"/>
    <w:rsid w:val="35F9642A"/>
    <w:rsid w:val="36CF392D"/>
    <w:rsid w:val="371C0E9F"/>
    <w:rsid w:val="390230BF"/>
    <w:rsid w:val="3B794FE5"/>
    <w:rsid w:val="404845FF"/>
    <w:rsid w:val="4121592A"/>
    <w:rsid w:val="42AD6748"/>
    <w:rsid w:val="44C80F66"/>
    <w:rsid w:val="45344EFF"/>
    <w:rsid w:val="45C8183D"/>
    <w:rsid w:val="45E561F9"/>
    <w:rsid w:val="48815624"/>
    <w:rsid w:val="4A44291E"/>
    <w:rsid w:val="4A996A99"/>
    <w:rsid w:val="50041971"/>
    <w:rsid w:val="50942CF5"/>
    <w:rsid w:val="51C5486F"/>
    <w:rsid w:val="51E04FA9"/>
    <w:rsid w:val="52F77EAA"/>
    <w:rsid w:val="52F97788"/>
    <w:rsid w:val="546E0A2F"/>
    <w:rsid w:val="57133342"/>
    <w:rsid w:val="57882E88"/>
    <w:rsid w:val="58823D7B"/>
    <w:rsid w:val="59C81C62"/>
    <w:rsid w:val="5A7E4E87"/>
    <w:rsid w:val="5D9A3915"/>
    <w:rsid w:val="602A19FA"/>
    <w:rsid w:val="631611E5"/>
    <w:rsid w:val="669E4476"/>
    <w:rsid w:val="66F11FAC"/>
    <w:rsid w:val="67907F12"/>
    <w:rsid w:val="68FA68F9"/>
    <w:rsid w:val="697E48EB"/>
    <w:rsid w:val="69CB5582"/>
    <w:rsid w:val="69EB1E27"/>
    <w:rsid w:val="6BCD2087"/>
    <w:rsid w:val="6DC72505"/>
    <w:rsid w:val="6DF1132F"/>
    <w:rsid w:val="6EDD0833"/>
    <w:rsid w:val="72750781"/>
    <w:rsid w:val="72ED672C"/>
    <w:rsid w:val="7359395E"/>
    <w:rsid w:val="74F81531"/>
    <w:rsid w:val="79DC70C8"/>
    <w:rsid w:val="7A5A4353"/>
    <w:rsid w:val="7B1001C7"/>
    <w:rsid w:val="7B3F587A"/>
    <w:rsid w:val="7BA93249"/>
    <w:rsid w:val="7BF00E78"/>
    <w:rsid w:val="7F8A33A6"/>
    <w:rsid w:val="7FFB61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ascii="宋体" w:hAnsi="宋体"/>
      <w:b/>
      <w:bCs/>
      <w:kern w:val="0"/>
      <w:sz w:val="36"/>
      <w:szCs w:val="36"/>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Strong"/>
    <w:basedOn w:val="7"/>
    <w:qFormat/>
    <w:uiPriority w:val="22"/>
    <w:rPr>
      <w:b/>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TIMIZHUO</Company>
  <Pages>8</Pages>
  <Words>3990</Words>
  <Characters>4624</Characters>
  <Lines>33</Lines>
  <Paragraphs>9</Paragraphs>
  <TotalTime>4</TotalTime>
  <ScaleCrop>false</ScaleCrop>
  <LinksUpToDate>false</LinksUpToDate>
  <CharactersWithSpaces>4644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Administrator</cp:lastModifiedBy>
  <dcterms:modified xsi:type="dcterms:W3CDTF">2023-07-11T08:30:52Z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735C88C555744AA596C61A472DAD8BE6</vt:lpwstr>
  </property>
</Properties>
</file>