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50" w:beforeAutospacing="0" w:after="150" w:afterAutospacing="0" w:line="500" w:lineRule="exact"/>
        <w:ind w:firstLine="420"/>
        <w:jc w:val="center"/>
        <w:rPr>
          <w:rFonts w:ascii="Arial" w:hAnsi="Arial" w:cs="Arial"/>
        </w:rPr>
      </w:pPr>
      <w:bookmarkStart w:id="0" w:name="_GoBack"/>
      <w:bookmarkEnd w:id="0"/>
      <w:r>
        <w:rPr>
          <w:rFonts w:ascii="Arial" w:cs="Arial" w:hAnsiTheme="minorEastAsia"/>
        </w:rPr>
        <w:t>全州县委组织部</w:t>
      </w:r>
      <w:r>
        <w:rPr>
          <w:rFonts w:ascii="Arial" w:hAnsi="Arial" w:cs="Arial"/>
        </w:rPr>
        <w:t>2023</w:t>
      </w:r>
      <w:r>
        <w:rPr>
          <w:rFonts w:ascii="Arial" w:cs="Arial" w:hAnsiTheme="minorEastAsia"/>
        </w:rPr>
        <w:t>年部门预算</w:t>
      </w:r>
    </w:p>
    <w:p>
      <w:pPr>
        <w:pStyle w:val="4"/>
        <w:widowControl/>
        <w:spacing w:before="150" w:beforeAutospacing="0" w:after="150" w:afterAutospacing="0" w:line="500" w:lineRule="exact"/>
        <w:jc w:val="center"/>
        <w:rPr>
          <w:rFonts w:ascii="Arial" w:hAnsi="Arial" w:cs="Arial"/>
        </w:rPr>
      </w:pPr>
      <w:r>
        <w:rPr>
          <w:rFonts w:ascii="Arial" w:cs="Arial" w:hAnsiTheme="minorEastAsia"/>
        </w:rPr>
        <w:t>目录</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第一部分　部门概况</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一、主要职能职责</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二、机构设置</w:t>
      </w:r>
      <w:r>
        <w:rPr>
          <w:rFonts w:ascii="Arial" w:hAnsi="Arial" w:cs="Arial"/>
        </w:rPr>
        <w:t>(</w:t>
      </w:r>
      <w:r>
        <w:rPr>
          <w:rFonts w:ascii="Arial" w:cs="Arial" w:hAnsiTheme="minorEastAsia"/>
        </w:rPr>
        <w:t>本级和二层单位构成</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三、编制现状及人员构成</w:t>
      </w:r>
      <w:r>
        <w:rPr>
          <w:rFonts w:ascii="Arial" w:hAnsi="Arial" w:cs="Arial"/>
        </w:rPr>
        <w:t>(</w:t>
      </w:r>
      <w:r>
        <w:rPr>
          <w:rFonts w:ascii="Arial" w:cs="Arial" w:hAnsiTheme="minorEastAsia"/>
        </w:rPr>
        <w:t>本级和二层单位</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四、年度主要工作任务</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第二部分　部门预算报表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一、部门收支总体情况表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二、部门收入总体情况表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三、部门支出总体情况表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四、财政拨款收支总体情况表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五、一般公共支出预算情况表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六、一般公共预算基本支出情况表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七、财政拨款三公两费支出情况表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八、政府性基金预算支出情况表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九、国有资本经营预算支出情况表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第三部分　</w:t>
      </w:r>
      <w:r>
        <w:rPr>
          <w:rFonts w:ascii="Arial" w:hAnsi="Arial" w:cs="Arial"/>
        </w:rPr>
        <w:t>2023</w:t>
      </w:r>
      <w:r>
        <w:rPr>
          <w:rFonts w:ascii="Arial" w:cs="Arial" w:hAnsiTheme="minorEastAsia"/>
        </w:rPr>
        <w:t>年部门预算情况说明</w:t>
      </w:r>
    </w:p>
    <w:p>
      <w:pPr>
        <w:pStyle w:val="4"/>
        <w:widowControl/>
        <w:spacing w:before="150" w:beforeAutospacing="0" w:after="150" w:afterAutospacing="0" w:line="500" w:lineRule="exact"/>
        <w:ind w:firstLine="480" w:firstLineChars="200"/>
        <w:rPr>
          <w:rFonts w:hint="eastAsia" w:ascii="Arial" w:cs="Arial" w:hAnsiTheme="minorEastAsia"/>
        </w:rPr>
      </w:pPr>
      <w:r>
        <w:rPr>
          <w:rFonts w:ascii="Arial" w:cs="Arial" w:hAnsiTheme="minorEastAsia"/>
        </w:rPr>
        <w:t>第四部分　专业名词解释</w:t>
      </w:r>
    </w:p>
    <w:p>
      <w:pPr>
        <w:pStyle w:val="4"/>
        <w:widowControl/>
        <w:spacing w:before="150" w:beforeAutospacing="0" w:after="150" w:afterAutospacing="0" w:line="500" w:lineRule="exact"/>
        <w:ind w:firstLine="480" w:firstLineChars="200"/>
        <w:rPr>
          <w:rFonts w:hint="eastAsia" w:ascii="Arial" w:cs="Arial" w:hAnsiTheme="minorEastAsia"/>
        </w:rPr>
      </w:pPr>
    </w:p>
    <w:p>
      <w:pPr>
        <w:pStyle w:val="4"/>
        <w:widowControl/>
        <w:spacing w:before="150" w:beforeAutospacing="0" w:after="150" w:afterAutospacing="0" w:line="500" w:lineRule="exact"/>
        <w:ind w:firstLine="480" w:firstLineChars="200"/>
        <w:rPr>
          <w:rFonts w:ascii="Arial" w:hAnsi="Arial" w:cs="Arial"/>
        </w:rPr>
      </w:pPr>
    </w:p>
    <w:p>
      <w:pPr>
        <w:pStyle w:val="4"/>
        <w:widowControl/>
        <w:spacing w:before="150" w:beforeAutospacing="0" w:after="150" w:afterAutospacing="0" w:line="500" w:lineRule="exact"/>
        <w:jc w:val="center"/>
        <w:rPr>
          <w:rFonts w:ascii="Arial" w:hAnsi="Arial" w:cs="Arial"/>
        </w:rPr>
      </w:pPr>
      <w:r>
        <w:rPr>
          <w:rFonts w:ascii="Arial" w:cs="Arial" w:hAnsiTheme="minorEastAsia"/>
        </w:rPr>
        <w:t>第一部分　部门概况</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一、主要职能职责</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1</w:t>
      </w:r>
      <w:r>
        <w:rPr>
          <w:rFonts w:ascii="Arial" w:cs="Arial" w:hAnsiTheme="minorEastAsia"/>
        </w:rPr>
        <w:t>、贯彻落实新时代党的建设总要求和新时代党的组织路线，研究和指导全县党的建设制度改革，牵头拟定全县党的建设制度改革的规划以及组织、干部、人才、老干部、公务员重要政策和制度。</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rPr>
        <w:t>2</w:t>
      </w:r>
      <w:r>
        <w:rPr>
          <w:rFonts w:ascii="Arial" w:cs="Arial" w:hAnsiTheme="minorEastAsia"/>
        </w:rPr>
        <w:t>、</w:t>
      </w:r>
      <w:r>
        <w:rPr>
          <w:rFonts w:ascii="Arial" w:cs="Arial" w:hAnsiTheme="minorEastAsia"/>
          <w:color w:val="000000" w:themeColor="text1"/>
        </w:rPr>
        <w:t>统一领导和协调全县非公有制经济组织、社会组织党的建设工作，负责规划、指导、督查、管理全县党员干部现代远程教育工作。</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3</w:t>
      </w:r>
      <w:r>
        <w:rPr>
          <w:rFonts w:ascii="Arial" w:cs="Arial" w:hAnsiTheme="minorEastAsia"/>
          <w:color w:val="000000" w:themeColor="text1"/>
        </w:rPr>
        <w:t>、负责全县领导班子和干部队伍建设的规划和管理。</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4</w:t>
      </w:r>
      <w:r>
        <w:rPr>
          <w:rFonts w:ascii="Arial" w:cs="Arial" w:hAnsiTheme="minorEastAsia"/>
          <w:color w:val="000000" w:themeColor="text1"/>
        </w:rPr>
        <w:t>、负责全县干部监督工作的综合协调和宏观指导。</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5</w:t>
      </w:r>
      <w:r>
        <w:rPr>
          <w:rFonts w:ascii="Arial" w:cs="Arial" w:hAnsiTheme="minorEastAsia"/>
          <w:color w:val="000000" w:themeColor="text1"/>
        </w:rPr>
        <w:t>、负责全县干部教育培训工作的整体规划、制度建设、宏观指导、协调服务和督促检查。</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6</w:t>
      </w:r>
      <w:r>
        <w:rPr>
          <w:rFonts w:ascii="Arial" w:cs="Arial" w:hAnsiTheme="minorEastAsia"/>
          <w:color w:val="000000" w:themeColor="text1"/>
        </w:rPr>
        <w:t>、负责全县党的建设工作特别是各领域基层党建工作以及党员队伍建设的政策研究、宏观指导和监督检查，推动落实基层党建工作责任制。</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7</w:t>
      </w:r>
      <w:r>
        <w:rPr>
          <w:rFonts w:ascii="Arial" w:cs="Arial" w:hAnsiTheme="minorEastAsia"/>
          <w:color w:val="000000" w:themeColor="text1"/>
        </w:rPr>
        <w:t>、负责全县人才工作和人才队伍建设的宏观指导、综合协调和督促检查。</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8</w:t>
      </w:r>
      <w:r>
        <w:rPr>
          <w:rFonts w:ascii="Arial" w:cs="Arial" w:hAnsiTheme="minorEastAsia"/>
          <w:color w:val="000000" w:themeColor="text1"/>
        </w:rPr>
        <w:t>、统一管理全县公务员工作。</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9</w:t>
      </w:r>
      <w:r>
        <w:rPr>
          <w:rFonts w:ascii="Arial" w:cs="Arial" w:hAnsiTheme="minorEastAsia"/>
          <w:color w:val="000000" w:themeColor="text1"/>
        </w:rPr>
        <w:t>、统一管理全县老干部工作。</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10</w:t>
      </w:r>
      <w:r>
        <w:rPr>
          <w:rFonts w:ascii="Arial" w:cs="Arial" w:hAnsiTheme="minorEastAsia"/>
          <w:color w:val="000000" w:themeColor="text1"/>
        </w:rPr>
        <w:t>、统一管理中共全州县委机构编制委员会办公室。</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11</w:t>
      </w:r>
      <w:r>
        <w:rPr>
          <w:rFonts w:ascii="Arial" w:cs="Arial" w:hAnsiTheme="minorEastAsia"/>
          <w:color w:val="000000" w:themeColor="text1"/>
        </w:rPr>
        <w:t>、完成县委交办的其他任务。</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二、机构设置</w:t>
      </w:r>
      <w:r>
        <w:rPr>
          <w:rFonts w:ascii="Arial" w:hAnsi="Arial" w:cs="Arial"/>
        </w:rPr>
        <w:t>(</w:t>
      </w:r>
      <w:r>
        <w:rPr>
          <w:rFonts w:ascii="Arial" w:cs="Arial" w:hAnsiTheme="minorEastAsia"/>
        </w:rPr>
        <w:t>本级和二层单位构成</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年我部部门预算编制单位共</w:t>
      </w:r>
      <w:r>
        <w:rPr>
          <w:rFonts w:ascii="Arial" w:hAnsi="Arial" w:cs="Arial"/>
        </w:rPr>
        <w:t>5</w:t>
      </w:r>
      <w:r>
        <w:rPr>
          <w:rFonts w:ascii="Arial" w:cs="Arial" w:hAnsiTheme="minorEastAsia"/>
        </w:rPr>
        <w:t>个</w:t>
      </w:r>
      <w:r>
        <w:rPr>
          <w:rFonts w:ascii="Arial" w:hAnsi="Arial" w:cs="Arial"/>
        </w:rPr>
        <w:t>,</w:t>
      </w:r>
      <w:r>
        <w:rPr>
          <w:rFonts w:ascii="Arial" w:cs="Arial" w:hAnsiTheme="minorEastAsia"/>
        </w:rPr>
        <w:t>具体如下：</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rPr>
        <w:t>1</w:t>
      </w:r>
      <w:r>
        <w:rPr>
          <w:rFonts w:ascii="Arial" w:cs="Arial" w:hAnsiTheme="minorEastAsia"/>
        </w:rPr>
        <w:t>、行政单位</w:t>
      </w:r>
      <w:r>
        <w:rPr>
          <w:rFonts w:ascii="Arial" w:hAnsi="Arial" w:cs="Arial"/>
        </w:rPr>
        <w:t>1</w:t>
      </w:r>
      <w:r>
        <w:rPr>
          <w:rFonts w:ascii="Arial" w:cs="Arial" w:hAnsiTheme="minorEastAsia"/>
        </w:rPr>
        <w:t>个</w:t>
      </w:r>
      <w:r>
        <w:rPr>
          <w:rFonts w:ascii="Arial" w:hAnsi="Arial" w:cs="Arial"/>
        </w:rPr>
        <w:t>,</w:t>
      </w:r>
      <w:r>
        <w:rPr>
          <w:rFonts w:ascii="Arial" w:cs="Arial" w:hAnsiTheme="minorEastAsia"/>
        </w:rPr>
        <w:t>即：中国共产党全州县委员会组织部。其中内设股室有</w:t>
      </w:r>
      <w:r>
        <w:rPr>
          <w:rFonts w:ascii="Arial" w:hAnsi="Arial" w:cs="Arial"/>
        </w:rPr>
        <w:t>:</w:t>
      </w:r>
      <w:r>
        <w:rPr>
          <w:rFonts w:ascii="Arial" w:cs="Arial" w:hAnsiTheme="minorEastAsia"/>
        </w:rPr>
        <w:t>办公室、</w:t>
      </w:r>
      <w:r>
        <w:rPr>
          <w:rFonts w:ascii="Arial" w:cs="Arial" w:hAnsiTheme="minorEastAsia"/>
          <w:color w:val="000000" w:themeColor="text1"/>
        </w:rPr>
        <w:t>干部股、干部教育股、组织股、干部监督股、档案室、人才股、组织员办、调研股、党的建设领导小组办公室、两新组织党工委办公室、公务员一股、公务员二股、老干部股、指尖党建办。</w:t>
      </w:r>
    </w:p>
    <w:p>
      <w:pPr>
        <w:pStyle w:val="4"/>
        <w:widowControl/>
        <w:spacing w:before="150" w:beforeAutospacing="0" w:after="150" w:afterAutospacing="0" w:line="500" w:lineRule="exact"/>
        <w:ind w:firstLine="480" w:firstLineChars="200"/>
        <w:rPr>
          <w:rFonts w:ascii="Arial" w:hAnsi="Arial" w:cs="Arial"/>
          <w:color w:val="FF0000"/>
        </w:rPr>
      </w:pPr>
      <w:r>
        <w:rPr>
          <w:rFonts w:ascii="Arial" w:hAnsi="Arial" w:cs="Arial"/>
        </w:rPr>
        <w:t>2</w:t>
      </w:r>
      <w:r>
        <w:rPr>
          <w:rFonts w:ascii="Arial" w:cs="Arial" w:hAnsiTheme="minorEastAsia"/>
        </w:rPr>
        <w:t>、参公事业单位</w:t>
      </w:r>
      <w:r>
        <w:rPr>
          <w:rFonts w:ascii="Arial" w:hAnsi="Arial" w:cs="Arial"/>
        </w:rPr>
        <w:t>2</w:t>
      </w:r>
      <w:r>
        <w:rPr>
          <w:rFonts w:ascii="Arial" w:cs="Arial" w:hAnsiTheme="minorEastAsia"/>
        </w:rPr>
        <w:t>个</w:t>
      </w:r>
      <w:r>
        <w:rPr>
          <w:rFonts w:ascii="Arial" w:hAnsi="Arial" w:cs="Arial"/>
        </w:rPr>
        <w:t>,</w:t>
      </w:r>
      <w:r>
        <w:rPr>
          <w:rFonts w:ascii="Arial" w:cs="Arial" w:hAnsiTheme="minorEastAsia"/>
        </w:rPr>
        <w:t>即：全州县党员教育中心（远程办），离休干部休养所。</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3</w:t>
      </w:r>
      <w:r>
        <w:rPr>
          <w:rFonts w:ascii="Arial" w:cs="Arial" w:hAnsiTheme="minorEastAsia"/>
        </w:rPr>
        <w:t>、全额拨款事业单位</w:t>
      </w:r>
      <w:r>
        <w:rPr>
          <w:rFonts w:ascii="Arial" w:hAnsi="Arial" w:cs="Arial"/>
        </w:rPr>
        <w:t>2</w:t>
      </w:r>
      <w:r>
        <w:rPr>
          <w:rFonts w:ascii="Arial" w:cs="Arial" w:hAnsiTheme="minorEastAsia"/>
        </w:rPr>
        <w:t>个</w:t>
      </w:r>
      <w:r>
        <w:rPr>
          <w:rFonts w:ascii="Arial" w:hAnsi="Arial" w:cs="Arial"/>
        </w:rPr>
        <w:t>,</w:t>
      </w:r>
      <w:r>
        <w:rPr>
          <w:rFonts w:ascii="Arial" w:cs="Arial" w:hAnsiTheme="minorEastAsia"/>
        </w:rPr>
        <w:t>即：全州县党群服务中心，全州县老年大学。</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三、编制现状及人员构成</w:t>
      </w:r>
      <w:r>
        <w:rPr>
          <w:rFonts w:ascii="Arial" w:hAnsi="Arial" w:cs="Arial"/>
        </w:rPr>
        <w:t>(</w:t>
      </w:r>
      <w:r>
        <w:rPr>
          <w:rFonts w:ascii="Arial" w:cs="Arial" w:hAnsiTheme="minorEastAsia"/>
        </w:rPr>
        <w:t>本级和二层单位</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中国共产党全州县委员会组织部编制人数为</w:t>
      </w:r>
      <w:r>
        <w:rPr>
          <w:rFonts w:ascii="Arial" w:hAnsi="Arial" w:cs="Arial"/>
        </w:rPr>
        <w:t>40</w:t>
      </w:r>
      <w:r>
        <w:rPr>
          <w:rFonts w:ascii="Arial" w:cs="Arial" w:hAnsiTheme="minorEastAsia"/>
        </w:rPr>
        <w:t>人</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行政编制</w:t>
      </w:r>
      <w:r>
        <w:rPr>
          <w:rFonts w:ascii="Arial" w:hAnsi="Arial" w:cs="Arial"/>
        </w:rPr>
        <w:t>(</w:t>
      </w:r>
      <w:r>
        <w:rPr>
          <w:rFonts w:ascii="Arial" w:cs="Arial" w:hAnsiTheme="minorEastAsia"/>
        </w:rPr>
        <w:t>含参公单位</w:t>
      </w:r>
      <w:r>
        <w:rPr>
          <w:rFonts w:ascii="Arial" w:hAnsi="Arial" w:cs="Arial"/>
        </w:rPr>
        <w:t>)29</w:t>
      </w:r>
      <w:r>
        <w:rPr>
          <w:rFonts w:ascii="Arial" w:cs="Arial" w:hAnsiTheme="minorEastAsia"/>
        </w:rPr>
        <w:t>人</w:t>
      </w:r>
      <w:r>
        <w:rPr>
          <w:rFonts w:ascii="Arial" w:hAnsi="Arial" w:cs="Arial"/>
        </w:rPr>
        <w:t>,</w:t>
      </w:r>
      <w:r>
        <w:rPr>
          <w:rFonts w:ascii="Arial" w:cs="Arial" w:hAnsiTheme="minorEastAsia"/>
        </w:rPr>
        <w:t>全额事业</w:t>
      </w:r>
      <w:r>
        <w:rPr>
          <w:rFonts w:ascii="Arial" w:hAnsi="Arial" w:cs="Arial"/>
        </w:rPr>
        <w:t>8</w:t>
      </w:r>
      <w:r>
        <w:rPr>
          <w:rFonts w:ascii="Arial" w:cs="Arial" w:hAnsiTheme="minorEastAsia"/>
        </w:rPr>
        <w:t>人</w:t>
      </w:r>
      <w:r>
        <w:rPr>
          <w:rFonts w:ascii="Arial" w:hAnsi="Arial" w:cs="Arial"/>
        </w:rPr>
        <w:t>,</w:t>
      </w:r>
      <w:r>
        <w:rPr>
          <w:rFonts w:ascii="Arial" w:cs="Arial" w:hAnsiTheme="minorEastAsia"/>
        </w:rPr>
        <w:t>工勤编制</w:t>
      </w:r>
      <w:r>
        <w:rPr>
          <w:rFonts w:ascii="Arial" w:hAnsi="Arial" w:cs="Arial"/>
        </w:rPr>
        <w:t>3</w:t>
      </w:r>
      <w:r>
        <w:rPr>
          <w:rFonts w:ascii="Arial" w:cs="Arial" w:hAnsiTheme="minorEastAsia"/>
        </w:rPr>
        <w:t>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编内在职</w:t>
      </w:r>
      <w:r>
        <w:rPr>
          <w:rFonts w:ascii="Arial" w:hAnsi="Arial" w:cs="Arial"/>
        </w:rPr>
        <w:t>28</w:t>
      </w:r>
      <w:r>
        <w:rPr>
          <w:rFonts w:ascii="Arial" w:cs="Arial" w:hAnsiTheme="minorEastAsia"/>
        </w:rPr>
        <w:t>人</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行政在职</w:t>
      </w:r>
      <w:r>
        <w:rPr>
          <w:rFonts w:ascii="Arial" w:hAnsi="Arial" w:cs="Arial"/>
        </w:rPr>
        <w:t>(</w:t>
      </w:r>
      <w:r>
        <w:rPr>
          <w:rFonts w:ascii="Arial" w:cs="Arial" w:hAnsiTheme="minorEastAsia"/>
        </w:rPr>
        <w:t>含参公单位</w:t>
      </w:r>
      <w:r>
        <w:rPr>
          <w:rFonts w:ascii="Arial" w:hAnsi="Arial" w:cs="Arial"/>
        </w:rPr>
        <w:t>)20</w:t>
      </w:r>
      <w:r>
        <w:rPr>
          <w:rFonts w:ascii="Arial" w:cs="Arial" w:hAnsiTheme="minorEastAsia"/>
        </w:rPr>
        <w:t>人</w:t>
      </w:r>
      <w:r>
        <w:rPr>
          <w:rFonts w:ascii="Arial" w:hAnsi="Arial" w:cs="Arial"/>
        </w:rPr>
        <w:t>,</w:t>
      </w:r>
      <w:r>
        <w:rPr>
          <w:rFonts w:ascii="Arial" w:cs="Arial" w:hAnsiTheme="minorEastAsia"/>
        </w:rPr>
        <w:t>全额事业在职</w:t>
      </w:r>
      <w:r>
        <w:rPr>
          <w:rFonts w:ascii="Arial" w:hAnsi="Arial" w:cs="Arial"/>
        </w:rPr>
        <w:t>6</w:t>
      </w:r>
      <w:r>
        <w:rPr>
          <w:rFonts w:ascii="Arial" w:cs="Arial" w:hAnsiTheme="minorEastAsia"/>
        </w:rPr>
        <w:t>人</w:t>
      </w:r>
      <w:r>
        <w:rPr>
          <w:rFonts w:ascii="Arial" w:hAnsi="Arial" w:cs="Arial"/>
        </w:rPr>
        <w:t>,</w:t>
      </w:r>
      <w:r>
        <w:rPr>
          <w:rFonts w:ascii="Arial" w:cs="Arial" w:hAnsiTheme="minorEastAsia"/>
        </w:rPr>
        <w:t>工勤在职</w:t>
      </w:r>
      <w:r>
        <w:rPr>
          <w:rFonts w:ascii="Arial" w:hAnsi="Arial" w:cs="Arial"/>
        </w:rPr>
        <w:t>2</w:t>
      </w:r>
      <w:r>
        <w:rPr>
          <w:rFonts w:ascii="Arial" w:cs="Arial" w:hAnsiTheme="minorEastAsia"/>
        </w:rPr>
        <w:t>人。离退休人员</w:t>
      </w:r>
      <w:r>
        <w:rPr>
          <w:rFonts w:ascii="Arial" w:hAnsi="Arial" w:cs="Arial"/>
        </w:rPr>
        <w:t>13</w:t>
      </w:r>
      <w:r>
        <w:rPr>
          <w:rFonts w:ascii="Arial" w:cs="Arial" w:hAnsiTheme="minorEastAsia"/>
        </w:rPr>
        <w:t>人</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离休人员</w:t>
      </w:r>
      <w:r>
        <w:rPr>
          <w:rFonts w:ascii="Arial" w:hAnsi="Arial" w:cs="Arial"/>
        </w:rPr>
        <w:t>1</w:t>
      </w:r>
      <w:r>
        <w:rPr>
          <w:rFonts w:ascii="Arial" w:cs="Arial" w:hAnsiTheme="minorEastAsia"/>
        </w:rPr>
        <w:t>人</w:t>
      </w:r>
      <w:r>
        <w:rPr>
          <w:rFonts w:ascii="Arial" w:hAnsi="Arial" w:cs="Arial"/>
        </w:rPr>
        <w:t>,</w:t>
      </w:r>
      <w:r>
        <w:rPr>
          <w:rFonts w:ascii="Arial" w:cs="Arial" w:hAnsiTheme="minorEastAsia"/>
        </w:rPr>
        <w:t>退休人员</w:t>
      </w:r>
      <w:r>
        <w:rPr>
          <w:rFonts w:ascii="Arial" w:hAnsi="Arial" w:cs="Arial"/>
        </w:rPr>
        <w:t>12</w:t>
      </w:r>
      <w:r>
        <w:rPr>
          <w:rFonts w:ascii="Arial" w:cs="Arial" w:hAnsiTheme="minorEastAsia"/>
        </w:rPr>
        <w:t>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四、年度主要工作任务</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1</w:t>
      </w:r>
      <w:r>
        <w:rPr>
          <w:rFonts w:ascii="Arial" w:cs="Arial" w:hAnsiTheme="minorEastAsia"/>
        </w:rPr>
        <w:t>、强化政治引领，推进干部思想教育。</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w:t>
      </w:r>
      <w:r>
        <w:rPr>
          <w:rFonts w:ascii="Arial" w:cs="Arial" w:hAnsiTheme="minorEastAsia"/>
        </w:rPr>
        <w:t>、强化选贤任能，激励干部担当作为。</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rPr>
        <w:t>3</w:t>
      </w:r>
      <w:r>
        <w:rPr>
          <w:rFonts w:ascii="Arial" w:cs="Arial" w:hAnsiTheme="minorEastAsia"/>
        </w:rPr>
        <w:t>、</w:t>
      </w:r>
      <w:r>
        <w:rPr>
          <w:rFonts w:ascii="Arial" w:cs="Arial" w:hAnsiTheme="minorEastAsia"/>
          <w:color w:val="000000" w:themeColor="text1"/>
        </w:rPr>
        <w:t>强化夯基固本，提升组织建设质量。</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4</w:t>
      </w:r>
      <w:r>
        <w:rPr>
          <w:rFonts w:ascii="Arial" w:cs="Arial" w:hAnsiTheme="minorEastAsia"/>
          <w:color w:val="000000" w:themeColor="text1"/>
        </w:rPr>
        <w:t>、强化引才聚智，注入创新创业活力。</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hAnsi="Arial" w:cs="Arial"/>
          <w:color w:val="000000" w:themeColor="text1"/>
        </w:rPr>
        <w:t>5</w:t>
      </w:r>
      <w:r>
        <w:rPr>
          <w:rFonts w:ascii="Arial" w:cs="Arial" w:hAnsiTheme="minorEastAsia"/>
          <w:color w:val="000000" w:themeColor="text1"/>
        </w:rPr>
        <w:t>、强化自身建设，打造模范组织部门。</w:t>
      </w:r>
    </w:p>
    <w:p>
      <w:pPr>
        <w:pStyle w:val="4"/>
        <w:widowControl/>
        <w:spacing w:before="150" w:beforeAutospacing="0" w:after="150" w:afterAutospacing="0" w:line="500" w:lineRule="exact"/>
        <w:ind w:firstLine="420"/>
        <w:jc w:val="center"/>
        <w:rPr>
          <w:rFonts w:ascii="Arial" w:hAnsi="Arial" w:cs="Arial"/>
        </w:rPr>
      </w:pPr>
      <w:r>
        <w:rPr>
          <w:rFonts w:ascii="Arial" w:cs="Arial" w:hAnsiTheme="minorEastAsia"/>
        </w:rPr>
        <w:t>第二部分　部门预算报表</w:t>
      </w:r>
    </w:p>
    <w:p>
      <w:pPr>
        <w:pStyle w:val="4"/>
        <w:widowControl/>
        <w:spacing w:before="150" w:beforeAutospacing="0" w:after="150" w:afterAutospacing="0" w:line="500" w:lineRule="exact"/>
        <w:ind w:firstLine="420"/>
        <w:jc w:val="center"/>
        <w:rPr>
          <w:rFonts w:ascii="Arial" w:hAnsi="Arial" w:cs="Arial"/>
        </w:rPr>
      </w:pPr>
      <w:r>
        <w:rPr>
          <w:rFonts w:ascii="Arial" w:hAnsi="Arial" w:cs="Arial"/>
        </w:rPr>
        <w:t>(</w:t>
      </w:r>
      <w:r>
        <w:rPr>
          <w:rFonts w:ascii="Arial" w:cs="Arial" w:hAnsiTheme="minorEastAsia"/>
        </w:rPr>
        <w:t>详见附表</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一、部门收支总体情况表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二、部门收入总体情况表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三、部门支出总体情况表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四、财政拨款收支总体情况表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五、一般公共预算支出情况表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六、一般公共预算基本支出情况表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七、财政拨款三公两费支出情况表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八、政府性基金预算支出情况表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九、国有资本经营预算支出情况表</w:t>
      </w:r>
    </w:p>
    <w:p>
      <w:pPr>
        <w:pStyle w:val="4"/>
        <w:widowControl/>
        <w:spacing w:before="150" w:beforeAutospacing="0" w:after="150" w:afterAutospacing="0" w:line="500" w:lineRule="exact"/>
        <w:ind w:firstLine="420"/>
        <w:jc w:val="center"/>
        <w:rPr>
          <w:rFonts w:ascii="Arial" w:hAnsi="Arial" w:cs="Arial"/>
        </w:rPr>
      </w:pPr>
      <w:r>
        <w:rPr>
          <w:rFonts w:ascii="Arial" w:cs="Arial" w:hAnsiTheme="minorEastAsia"/>
        </w:rPr>
        <w:t>第三部分　</w:t>
      </w:r>
      <w:r>
        <w:rPr>
          <w:rFonts w:ascii="Arial" w:hAnsi="Arial" w:cs="Arial"/>
        </w:rPr>
        <w:t>2023</w:t>
      </w:r>
      <w:r>
        <w:rPr>
          <w:rFonts w:ascii="Arial" w:cs="Arial" w:hAnsiTheme="minorEastAsia"/>
        </w:rPr>
        <w:t>年部门预算情况说明</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一、部门收支总体情况说明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收入预算说明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年收入总预算</w:t>
      </w:r>
      <w:r>
        <w:rPr>
          <w:rFonts w:ascii="Arial" w:hAnsi="Arial" w:cs="Arial"/>
        </w:rPr>
        <w:t>1595.59</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438.75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37.9%,</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cs="Arial"/>
        </w:rPr>
        <w:t>1197.44</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75.04%,</w:t>
      </w:r>
      <w:r>
        <w:rPr>
          <w:rFonts w:ascii="Arial" w:cs="Arial" w:hAnsiTheme="minorEastAsia"/>
        </w:rPr>
        <w:t>同比增加</w:t>
      </w:r>
      <w:r>
        <w:rPr>
          <w:rFonts w:ascii="Arial" w:hAnsi="Arial" w:cs="Arial"/>
        </w:rPr>
        <w:t>40.6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3.5%;</w:t>
      </w:r>
      <w:r>
        <w:rPr>
          <w:rFonts w:ascii="Arial" w:cs="Arial" w:hAnsiTheme="minorEastAsia"/>
        </w:rPr>
        <w:t>政府性基金拨款</w:t>
      </w:r>
      <w:r>
        <w:rPr>
          <w:rFonts w:ascii="Arial" w:hAnsi="Arial" w:cs="Arial"/>
        </w:rPr>
        <w:t>0</w:t>
      </w:r>
      <w:r>
        <w:rPr>
          <w:rFonts w:ascii="Arial" w:cs="Arial" w:hAnsiTheme="minorEastAsia"/>
        </w:rPr>
        <w:t>万元</w:t>
      </w:r>
      <w:r>
        <w:rPr>
          <w:rFonts w:ascii="Arial" w:hAnsi="Arial" w:cs="Arial"/>
        </w:rPr>
        <w:t>,;</w:t>
      </w:r>
      <w:r>
        <w:rPr>
          <w:rFonts w:ascii="Arial" w:cs="Arial" w:hAnsiTheme="minorEastAsia"/>
        </w:rPr>
        <w:t>上年结转结余</w:t>
      </w:r>
      <w:r>
        <w:rPr>
          <w:rFonts w:ascii="Arial" w:hAnsi="Arial" w:cs="Arial"/>
        </w:rPr>
        <w:t>398.15</w:t>
      </w:r>
      <w:r>
        <w:rPr>
          <w:rFonts w:ascii="Arial" w:cs="Arial" w:hAnsiTheme="minorEastAsia"/>
        </w:rPr>
        <w:t>万元。</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收入预算总体增加的主要原因：</w:t>
      </w:r>
      <w:r>
        <w:rPr>
          <w:rFonts w:ascii="Arial" w:cs="Arial" w:hAnsiTheme="minorEastAsia"/>
          <w:color w:val="000000" w:themeColor="text1"/>
        </w:rPr>
        <w:t>人员增资</w:t>
      </w:r>
      <w:r>
        <w:rPr>
          <w:rFonts w:ascii="Arial" w:cs="Arial" w:hAnsiTheme="minorEastAsia"/>
          <w:color w:val="4472C4" w:themeColor="accent5"/>
        </w:rPr>
        <w:t>。</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支出预算说明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年支出总预算</w:t>
      </w:r>
      <w:r>
        <w:rPr>
          <w:rFonts w:ascii="Arial" w:hAnsi="Arial" w:cs="Arial"/>
        </w:rPr>
        <w:t>1595.59</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438.75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37.9%</w:t>
      </w:r>
      <w:r>
        <w:rPr>
          <w:rFonts w:ascii="Arial" w:cs="Arial" w:hAnsiTheme="minorEastAsia"/>
        </w:rPr>
        <w:t>。</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1</w:t>
      </w: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4</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 xml:space="preserve">: </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(1)</w:t>
      </w:r>
      <w:r>
        <w:rPr>
          <w:rFonts w:ascii="Arial" w:cs="Arial" w:hAnsiTheme="minorEastAsia"/>
        </w:rPr>
        <w:t>一般公共服务支出</w:t>
      </w:r>
      <w:r>
        <w:rPr>
          <w:rFonts w:ascii="Arial" w:hAnsi="Arial" w:cs="Arial"/>
        </w:rPr>
        <w:t>1487.59</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93.23%,</w:t>
      </w:r>
      <w:r>
        <w:rPr>
          <w:rFonts w:ascii="Arial" w:cs="Arial" w:hAnsiTheme="minorEastAsia"/>
        </w:rPr>
        <w:t>同比增加</w:t>
      </w:r>
      <w:r>
        <w:rPr>
          <w:rFonts w:ascii="Arial" w:hAnsi="Arial" w:cs="Arial"/>
        </w:rPr>
        <w:t>450.45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43.43%;</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w:t>
      </w:r>
      <w:r>
        <w:rPr>
          <w:rFonts w:ascii="Arial" w:cs="Arial" w:hAnsiTheme="minorEastAsia"/>
        </w:rPr>
        <w:t>社会保障和就业</w:t>
      </w:r>
      <w:r>
        <w:rPr>
          <w:rFonts w:ascii="Arial" w:hAnsi="Arial" w:cs="Arial"/>
        </w:rPr>
        <w:t>57.45</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3.6%,</w:t>
      </w:r>
      <w:r>
        <w:rPr>
          <w:rFonts w:ascii="Arial" w:cs="Arial" w:hAnsiTheme="minorEastAsia"/>
        </w:rPr>
        <w:t>同比减少</w:t>
      </w:r>
      <w:r>
        <w:rPr>
          <w:rFonts w:ascii="Arial" w:hAnsi="Arial" w:cs="Arial"/>
        </w:rPr>
        <w:t>6.19</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9.73%;</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(3)</w:t>
      </w:r>
      <w:r>
        <w:rPr>
          <w:rFonts w:ascii="Arial" w:cs="Arial" w:hAnsiTheme="minorEastAsia"/>
        </w:rPr>
        <w:t>医疗卫生</w:t>
      </w:r>
      <w:r>
        <w:rPr>
          <w:rFonts w:ascii="Arial" w:hAnsi="Arial" w:cs="Arial"/>
        </w:rPr>
        <w:t>21.94</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1.38%,</w:t>
      </w:r>
      <w:r>
        <w:rPr>
          <w:rFonts w:ascii="Arial" w:cs="Arial" w:hAnsiTheme="minorEastAsia"/>
        </w:rPr>
        <w:t>同比减少</w:t>
      </w:r>
      <w:r>
        <w:rPr>
          <w:rFonts w:ascii="Arial" w:hAnsi="Arial" w:cs="Arial"/>
        </w:rPr>
        <w:t>2.39</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9.82%;</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(4)</w:t>
      </w:r>
      <w:r>
        <w:rPr>
          <w:rFonts w:ascii="Arial" w:cs="Arial" w:hAnsiTheme="minorEastAsia"/>
        </w:rPr>
        <w:t>住房保障支出</w:t>
      </w:r>
      <w:r>
        <w:rPr>
          <w:rFonts w:ascii="Arial" w:hAnsi="Arial" w:cs="Arial"/>
        </w:rPr>
        <w:t>28.61</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1.79%,</w:t>
      </w:r>
      <w:r>
        <w:rPr>
          <w:rFonts w:ascii="Arial" w:cs="Arial" w:hAnsiTheme="minorEastAsia"/>
        </w:rPr>
        <w:t>同比减少</w:t>
      </w:r>
      <w:r>
        <w:rPr>
          <w:rFonts w:ascii="Arial" w:hAnsi="Arial" w:cs="Arial"/>
        </w:rPr>
        <w:t>3.12</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9.83%</w:t>
      </w:r>
      <w:r>
        <w:rPr>
          <w:rFonts w:ascii="Arial" w:cs="Arial" w:hAnsiTheme="minorEastAsia"/>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二、部门收入总体情况说明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年总收入预算</w:t>
      </w:r>
      <w:r>
        <w:rPr>
          <w:rFonts w:ascii="Arial" w:hAnsi="Arial" w:cs="Arial"/>
        </w:rPr>
        <w:t>1595.59</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438.75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37.9%</w:t>
      </w:r>
      <w:r>
        <w:rPr>
          <w:rFonts w:ascii="Arial" w:cs="Arial" w:hAnsiTheme="minorEastAsia"/>
        </w:rPr>
        <w:t>。其中</w:t>
      </w:r>
      <w:r>
        <w:rPr>
          <w:rFonts w:ascii="Arial" w:hAnsi="Arial" w:cs="Arial"/>
        </w:rPr>
        <w:t>:</w:t>
      </w:r>
      <w:r>
        <w:rPr>
          <w:rFonts w:ascii="Arial" w:cs="Arial" w:hAnsiTheme="minorEastAsia"/>
        </w:rPr>
        <w:t>本年收入</w:t>
      </w:r>
      <w:r>
        <w:rPr>
          <w:rFonts w:ascii="Arial" w:hAnsi="Arial" w:cs="Arial"/>
        </w:rPr>
        <w:t>1197.44</w:t>
      </w:r>
      <w:r>
        <w:rPr>
          <w:rFonts w:ascii="Arial" w:cs="Arial" w:hAnsiTheme="minorEastAsia"/>
        </w:rPr>
        <w:t>万元</w:t>
      </w:r>
      <w:r>
        <w:rPr>
          <w:rFonts w:ascii="Arial" w:hAnsi="Arial" w:cs="Arial"/>
        </w:rPr>
        <w:t>,</w:t>
      </w:r>
      <w:r>
        <w:rPr>
          <w:rFonts w:ascii="Arial" w:cs="Arial" w:hAnsiTheme="minorEastAsia"/>
        </w:rPr>
        <w:t>上年结转结余</w:t>
      </w:r>
      <w:r>
        <w:rPr>
          <w:rFonts w:ascii="Arial" w:hAnsi="Arial" w:cs="Arial"/>
        </w:rPr>
        <w:t>398.15</w:t>
      </w:r>
      <w:r>
        <w:rPr>
          <w:rFonts w:ascii="Arial" w:cs="Arial" w:hAnsiTheme="minorEastAsia"/>
        </w:rPr>
        <w:t>万元。一般公共预算</w:t>
      </w:r>
      <w:r>
        <w:rPr>
          <w:rFonts w:ascii="Arial" w:hAnsi="Arial" w:cs="Arial"/>
        </w:rPr>
        <w:t>1595.59</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100%,</w:t>
      </w:r>
      <w:r>
        <w:rPr>
          <w:rFonts w:ascii="Arial" w:cs="Arial" w:hAnsiTheme="minorEastAsia"/>
        </w:rPr>
        <w:t>同比增加</w:t>
      </w:r>
      <w:r>
        <w:rPr>
          <w:rFonts w:ascii="Arial" w:hAnsi="Arial" w:cs="Arial"/>
        </w:rPr>
        <w:t>438.75</w:t>
      </w:r>
      <w:r>
        <w:rPr>
          <w:rFonts w:ascii="Arial" w:cs="Arial" w:hAnsiTheme="minorEastAsia"/>
        </w:rPr>
        <w:t>万元</w:t>
      </w:r>
      <w:r>
        <w:rPr>
          <w:rFonts w:ascii="Arial" w:hAnsi="Arial" w:cs="Arial"/>
        </w:rPr>
        <w:t>,</w:t>
      </w:r>
      <w:r>
        <w:rPr>
          <w:rFonts w:ascii="Arial" w:cs="Arial" w:hAnsiTheme="minorEastAsia"/>
        </w:rPr>
        <w:t>增</w:t>
      </w:r>
      <w:r>
        <w:rPr>
          <w:rFonts w:ascii="Arial" w:hAnsi="Arial" w:cs="Arial"/>
        </w:rPr>
        <w:t>37.93%,</w:t>
      </w:r>
      <w:r>
        <w:rPr>
          <w:rFonts w:ascii="Arial" w:cs="Arial" w:hAnsiTheme="minorEastAsia"/>
        </w:rPr>
        <w:t>增加的原因：人员调动增加了相关经费和上年结转结余</w:t>
      </w:r>
      <w:r>
        <w:rPr>
          <w:rFonts w:ascii="Arial" w:hAnsi="Arial" w:cs="Arial"/>
        </w:rPr>
        <w:t>;</w:t>
      </w:r>
      <w:r>
        <w:rPr>
          <w:rFonts w:ascii="Arial" w:cs="Arial" w:hAnsiTheme="minorEastAsia"/>
        </w:rPr>
        <w:t>政府性基金预算</w:t>
      </w:r>
      <w:r>
        <w:rPr>
          <w:rFonts w:ascii="Arial" w:hAnsi="Arial" w:cs="Arial"/>
        </w:rPr>
        <w:t>0</w:t>
      </w:r>
      <w:r>
        <w:rPr>
          <w:rFonts w:ascii="Arial" w:cs="Arial" w:hAnsiTheme="minorEastAsia"/>
        </w:rPr>
        <w:t>万元。</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三、部门支出总体情况说明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年总支出预算</w:t>
      </w:r>
      <w:r>
        <w:rPr>
          <w:rFonts w:ascii="Arial" w:hAnsi="Arial" w:cs="Arial"/>
        </w:rPr>
        <w:t>1595.59</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438.75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37.9%</w:t>
      </w:r>
      <w:r>
        <w:rPr>
          <w:rFonts w:ascii="Arial" w:cs="Arial" w:hAnsiTheme="minorEastAsia"/>
        </w:rPr>
        <w:t>。其中</w:t>
      </w:r>
      <w:r>
        <w:rPr>
          <w:rFonts w:ascii="Arial" w:hAnsi="Arial" w:cs="Arial"/>
        </w:rPr>
        <w:t>:</w:t>
      </w:r>
      <w:r>
        <w:rPr>
          <w:rFonts w:ascii="Arial" w:cs="Arial" w:hAnsiTheme="minorEastAsia"/>
        </w:rPr>
        <w:t>基本支出</w:t>
      </w:r>
      <w:r>
        <w:rPr>
          <w:rFonts w:ascii="Arial" w:hAnsi="Arial" w:cs="Arial"/>
        </w:rPr>
        <w:t>425.76</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26.68%,</w:t>
      </w:r>
      <w:r>
        <w:rPr>
          <w:rFonts w:ascii="Arial" w:cs="Arial" w:hAnsiTheme="minorEastAsia"/>
        </w:rPr>
        <w:t>同比减少</w:t>
      </w:r>
      <w:r>
        <w:rPr>
          <w:rFonts w:ascii="Arial" w:hAnsi="Arial" w:cs="Arial"/>
        </w:rPr>
        <w:t>47.2</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9.98%,</w:t>
      </w:r>
      <w:r>
        <w:rPr>
          <w:rFonts w:ascii="Arial" w:cs="Arial" w:hAnsiTheme="minorEastAsia"/>
        </w:rPr>
        <w:t>减少的原因：</w:t>
      </w:r>
      <w:r>
        <w:rPr>
          <w:rFonts w:ascii="Arial" w:cs="Arial" w:hAnsiTheme="minorEastAsia"/>
          <w:color w:val="000000" w:themeColor="text1"/>
        </w:rPr>
        <w:t>人员变动</w:t>
      </w:r>
      <w:r>
        <w:rPr>
          <w:rFonts w:ascii="Arial" w:hAnsi="Arial" w:cs="Arial"/>
          <w:color w:val="000000" w:themeColor="text1"/>
        </w:rPr>
        <w:t>;</w:t>
      </w:r>
      <w:r>
        <w:rPr>
          <w:rFonts w:ascii="Arial" w:cs="Arial" w:hAnsiTheme="minorEastAsia"/>
        </w:rPr>
        <w:t>项目支出</w:t>
      </w:r>
      <w:r>
        <w:rPr>
          <w:rFonts w:ascii="Arial" w:hAnsi="Arial" w:cs="Arial"/>
        </w:rPr>
        <w:t>1169.83</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73.32%,</w:t>
      </w:r>
      <w:r>
        <w:rPr>
          <w:rFonts w:ascii="Arial" w:cs="Arial" w:hAnsiTheme="minorEastAsia"/>
        </w:rPr>
        <w:t>同比增加</w:t>
      </w:r>
      <w:r>
        <w:rPr>
          <w:rFonts w:ascii="Arial" w:hAnsi="Arial" w:cs="Arial"/>
        </w:rPr>
        <w:t>485.95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71.06%,</w:t>
      </w:r>
      <w:r>
        <w:rPr>
          <w:rFonts w:ascii="Arial" w:cs="Arial" w:hAnsiTheme="minorEastAsia"/>
        </w:rPr>
        <w:t>增加的原因：增加了项目经费。</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四、财政拨款收支总体情况说明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年财政拨款收入预算</w:t>
      </w:r>
      <w:r>
        <w:rPr>
          <w:rFonts w:ascii="Arial" w:hAnsi="Arial" w:cs="Arial"/>
        </w:rPr>
        <w:t>1595.59</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438.75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37.93%,</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cs="Arial"/>
        </w:rPr>
        <w:t>1197.44</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75.05%,</w:t>
      </w:r>
      <w:r>
        <w:rPr>
          <w:rFonts w:ascii="Arial" w:cs="Arial" w:hAnsiTheme="minorEastAsia"/>
        </w:rPr>
        <w:t>同比增加</w:t>
      </w:r>
      <w:r>
        <w:rPr>
          <w:rFonts w:ascii="Arial" w:hAnsi="Arial" w:cs="Arial"/>
        </w:rPr>
        <w:t>40.6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3.5%,</w:t>
      </w:r>
      <w:r>
        <w:rPr>
          <w:rFonts w:ascii="Arial" w:cs="Arial" w:hAnsiTheme="minorEastAsia"/>
          <w:color w:val="000000" w:themeColor="text1"/>
        </w:rPr>
        <w:t>增加的原因人员增资、增加了相关费用</w:t>
      </w:r>
      <w:r>
        <w:rPr>
          <w:rFonts w:ascii="Arial" w:hAnsi="Arial" w:cs="Arial"/>
        </w:rPr>
        <w:t>;</w:t>
      </w:r>
      <w:r>
        <w:rPr>
          <w:rFonts w:ascii="Arial" w:cs="Arial" w:hAnsiTheme="minorEastAsia"/>
        </w:rPr>
        <w:t>政府性基金拨款</w:t>
      </w:r>
      <w:r>
        <w:rPr>
          <w:rFonts w:ascii="Arial" w:hAnsi="Arial" w:cs="Arial"/>
        </w:rPr>
        <w:t>0</w:t>
      </w:r>
      <w:r>
        <w:rPr>
          <w:rFonts w:ascii="Arial" w:cs="Arial" w:hAnsiTheme="minorEastAsia"/>
        </w:rPr>
        <w:t>万元</w:t>
      </w:r>
      <w:r>
        <w:rPr>
          <w:rFonts w:ascii="Arial" w:hAnsi="Arial" w:cs="Arial"/>
        </w:rPr>
        <w:t>,</w:t>
      </w:r>
      <w:r>
        <w:rPr>
          <w:rFonts w:ascii="Arial" w:cs="Arial" w:hAnsiTheme="minorEastAsia"/>
        </w:rPr>
        <w:t>上年结转结余</w:t>
      </w:r>
      <w:r>
        <w:rPr>
          <w:rFonts w:ascii="Arial" w:hAnsi="Arial" w:cs="Arial"/>
        </w:rPr>
        <w:t>398.15</w:t>
      </w:r>
      <w:r>
        <w:rPr>
          <w:rFonts w:ascii="Arial" w:cs="Arial" w:hAnsiTheme="minorEastAsia"/>
        </w:rPr>
        <w:t>万元。</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年财政拨款支出</w:t>
      </w:r>
      <w:r>
        <w:rPr>
          <w:rFonts w:ascii="Arial" w:hAnsi="Arial" w:cs="Arial"/>
        </w:rPr>
        <w:t>1595.59</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438.75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37.93%,</w:t>
      </w:r>
      <w:r>
        <w:rPr>
          <w:rFonts w:ascii="Arial" w:cs="Arial" w:hAnsiTheme="minorEastAsia"/>
          <w:color w:val="000000" w:themeColor="text1"/>
        </w:rPr>
        <w:t>增加的原因人员增资</w:t>
      </w:r>
      <w:r>
        <w:rPr>
          <w:rFonts w:ascii="Arial" w:cs="Arial" w:hAnsiTheme="minorEastAsia"/>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五、一般公共预算支出情况说明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年一般公共预算支出</w:t>
      </w:r>
      <w:r>
        <w:rPr>
          <w:rFonts w:ascii="Arial" w:hAnsi="Arial" w:cs="Arial"/>
        </w:rPr>
        <w:t>1197.44</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160.3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15.46%</w:t>
      </w:r>
      <w:r>
        <w:rPr>
          <w:rFonts w:ascii="Arial" w:cs="Arial" w:hAnsiTheme="minorEastAsia"/>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4</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(1)</w:t>
      </w:r>
      <w:r>
        <w:rPr>
          <w:rFonts w:ascii="Arial" w:cs="Arial" w:hAnsiTheme="minorEastAsia"/>
        </w:rPr>
        <w:t>一般公共服务类科目</w:t>
      </w:r>
      <w:r>
        <w:rPr>
          <w:rFonts w:ascii="Arial" w:hAnsi="Arial" w:cs="Arial"/>
        </w:rPr>
        <w:t>1089.44</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90.98%,</w:t>
      </w:r>
      <w:r>
        <w:rPr>
          <w:rFonts w:ascii="Arial" w:cs="Arial" w:hAnsiTheme="minorEastAsia"/>
        </w:rPr>
        <w:t>同比增加</w:t>
      </w:r>
      <w:r>
        <w:rPr>
          <w:rFonts w:ascii="Arial" w:hAnsi="Arial" w:cs="Arial"/>
        </w:rPr>
        <w:t>52.3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5.04%</w:t>
      </w:r>
      <w:r>
        <w:rPr>
          <w:rFonts w:ascii="Arial" w:cs="Arial" w:hAnsiTheme="minorEastAsia"/>
        </w:rPr>
        <w:t>。具体如下</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行政运行</w:t>
      </w:r>
      <w:r>
        <w:rPr>
          <w:rFonts w:ascii="Arial" w:hAnsi="Arial" w:cs="Arial"/>
        </w:rPr>
        <w:t>238.06</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26.15</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9.88%,</w:t>
      </w:r>
      <w:r>
        <w:rPr>
          <w:rFonts w:ascii="Arial" w:cs="Arial" w:hAnsiTheme="minorEastAsia"/>
        </w:rPr>
        <w:t>全部是基本支出预算。主要用于工资福利支出、商品和服务等支出</w:t>
      </w:r>
      <w:r>
        <w:rPr>
          <w:rFonts w:ascii="Arial" w:hAnsi="Arial" w:cs="Arial"/>
        </w:rPr>
        <w:t>,</w:t>
      </w:r>
      <w:r>
        <w:rPr>
          <w:rFonts w:ascii="Arial" w:cs="Arial" w:hAnsiTheme="minorEastAsia"/>
        </w:rPr>
        <w:t>根据国家规定的基本工资和津补贴标准等安排的人员经费支出</w:t>
      </w:r>
      <w:r>
        <w:rPr>
          <w:rFonts w:ascii="Arial" w:hAnsi="Arial" w:cs="Arial"/>
        </w:rPr>
        <w:t>,</w:t>
      </w:r>
      <w:r>
        <w:rPr>
          <w:rFonts w:ascii="Arial" w:cs="Arial" w:hAnsiTheme="minorEastAsia"/>
        </w:rPr>
        <w:t>按县级公用经费定额标准安排的办公费、印刷费、邮电费、水电费、差旅费等日常公用经费支出。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一般行政管理事务</w:t>
      </w:r>
      <w:r>
        <w:rPr>
          <w:rFonts w:ascii="Arial" w:hAnsi="Arial" w:cs="Arial"/>
        </w:rPr>
        <w:t>107.61</w:t>
      </w:r>
      <w:r>
        <w:rPr>
          <w:rFonts w:ascii="Arial" w:cs="Arial" w:hAnsiTheme="minorEastAsia"/>
        </w:rPr>
        <w:t>万元，同比增加</w:t>
      </w:r>
      <w:r>
        <w:rPr>
          <w:rFonts w:ascii="Arial" w:hAnsi="Arial" w:cs="Arial"/>
        </w:rPr>
        <w:t>107.61</w:t>
      </w:r>
      <w:r>
        <w:rPr>
          <w:rFonts w:ascii="Arial" w:cs="Arial" w:hAnsiTheme="minorEastAsia"/>
        </w:rPr>
        <w:t>万元，增长</w:t>
      </w:r>
      <w:r>
        <w:rPr>
          <w:rFonts w:ascii="Arial" w:hAnsi="Arial" w:cs="Arial"/>
        </w:rPr>
        <w:t>100%</w:t>
      </w:r>
      <w:r>
        <w:rPr>
          <w:rFonts w:ascii="Arial" w:cs="Arial" w:hAnsiTheme="minorEastAsia"/>
        </w:rPr>
        <w:t>，全部是项目支出预算。主要用于项目支出拨款。</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其他组织事务支出</w:t>
      </w:r>
      <w:r>
        <w:rPr>
          <w:rFonts w:ascii="Arial" w:hAnsi="Arial" w:cs="Arial"/>
        </w:rPr>
        <w:t>743.23</w:t>
      </w:r>
      <w:r>
        <w:rPr>
          <w:rFonts w:ascii="Arial" w:cs="Arial" w:hAnsiTheme="minorEastAsia"/>
        </w:rPr>
        <w:t>万元，同比减少</w:t>
      </w:r>
      <w:r>
        <w:rPr>
          <w:rFonts w:ascii="Arial" w:hAnsi="Arial" w:cs="Arial"/>
        </w:rPr>
        <w:t>29.15</w:t>
      </w:r>
      <w:r>
        <w:rPr>
          <w:rFonts w:ascii="Arial" w:cs="Arial" w:hAnsiTheme="minorEastAsia"/>
        </w:rPr>
        <w:t>万元，下降</w:t>
      </w:r>
      <w:r>
        <w:rPr>
          <w:rFonts w:ascii="Arial" w:hAnsi="Arial" w:cs="Arial"/>
        </w:rPr>
        <w:t>3.78%</w:t>
      </w:r>
      <w:r>
        <w:rPr>
          <w:rFonts w:ascii="Arial" w:cs="Arial" w:hAnsiTheme="minorEastAsia"/>
        </w:rPr>
        <w:t>，全部是基本支出预算和项目支出预算。主要用于商品和服务支出、对个人和家庭的补助、其他资本性支出。</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w:t>
      </w:r>
      <w:r>
        <w:rPr>
          <w:rFonts w:ascii="Arial" w:cs="Arial" w:hAnsiTheme="minorEastAsia"/>
        </w:rPr>
        <w:t>社会保障和就业支出</w:t>
      </w:r>
      <w:r>
        <w:rPr>
          <w:rFonts w:ascii="Arial" w:hAnsi="Arial" w:cs="Arial"/>
        </w:rPr>
        <w:t>57.45</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4.80%,</w:t>
      </w:r>
      <w:r>
        <w:rPr>
          <w:rFonts w:ascii="Arial" w:cs="Arial" w:hAnsiTheme="minorEastAsia"/>
        </w:rPr>
        <w:t>同比减少</w:t>
      </w:r>
      <w:r>
        <w:rPr>
          <w:rFonts w:ascii="Arial" w:hAnsi="Arial" w:cs="Arial"/>
        </w:rPr>
        <w:t>6.19</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9.73%</w:t>
      </w:r>
      <w:r>
        <w:rPr>
          <w:rFonts w:ascii="Arial" w:cs="Arial" w:hAnsiTheme="minorEastAsia"/>
        </w:rPr>
        <w:t>。具体如下</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机关事业单位基本养老保险缴费支出</w:t>
      </w:r>
      <w:r>
        <w:rPr>
          <w:rFonts w:ascii="Arial" w:hAnsi="Arial" w:cs="Arial"/>
        </w:rPr>
        <w:t>38.15</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4.16</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9.83%,</w:t>
      </w:r>
      <w:r>
        <w:rPr>
          <w:rFonts w:ascii="Arial" w:cs="Arial" w:hAnsiTheme="minorEastAsia"/>
        </w:rPr>
        <w:t>全部是基本支出预算。主要用于单位在职职工养老保险缴费。</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机关事业单位职业年金缴费支出</w:t>
      </w:r>
      <w:r>
        <w:rPr>
          <w:rFonts w:ascii="Arial" w:hAnsi="Arial" w:cs="Arial"/>
        </w:rPr>
        <w:t>19.08</w:t>
      </w:r>
      <w:r>
        <w:rPr>
          <w:rFonts w:ascii="Arial" w:cs="Arial" w:hAnsiTheme="minorEastAsia"/>
        </w:rPr>
        <w:t>万元，同比减少</w:t>
      </w:r>
      <w:r>
        <w:rPr>
          <w:rFonts w:ascii="Arial" w:hAnsi="Arial" w:cs="Arial"/>
        </w:rPr>
        <w:t>2.08</w:t>
      </w:r>
      <w:r>
        <w:rPr>
          <w:rFonts w:ascii="Arial" w:cs="Arial" w:hAnsiTheme="minorEastAsia"/>
        </w:rPr>
        <w:t>万元，下降</w:t>
      </w:r>
      <w:r>
        <w:rPr>
          <w:rFonts w:ascii="Arial" w:hAnsi="Arial" w:cs="Arial"/>
        </w:rPr>
        <w:t>9.83%</w:t>
      </w:r>
      <w:r>
        <w:rPr>
          <w:rFonts w:ascii="Arial" w:cs="Arial" w:hAnsiTheme="minorEastAsia"/>
        </w:rPr>
        <w:t>，全部是基本支出预算。主要用于单位在职职工职业年金缴费。</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其他社会保障和就业支出</w:t>
      </w:r>
      <w:r>
        <w:rPr>
          <w:rFonts w:ascii="Arial" w:hAnsi="Arial" w:cs="Arial"/>
        </w:rPr>
        <w:t>0.22</w:t>
      </w:r>
      <w:r>
        <w:rPr>
          <w:rFonts w:ascii="Arial" w:cs="Arial" w:hAnsiTheme="minorEastAsia"/>
        </w:rPr>
        <w:t>万元，同比增加</w:t>
      </w:r>
      <w:r>
        <w:rPr>
          <w:rFonts w:ascii="Arial" w:hAnsi="Arial" w:cs="Arial"/>
        </w:rPr>
        <w:t>0.05</w:t>
      </w:r>
      <w:r>
        <w:rPr>
          <w:rFonts w:ascii="Arial" w:cs="Arial" w:hAnsiTheme="minorEastAsia"/>
        </w:rPr>
        <w:t>万元，增长</w:t>
      </w:r>
      <w:r>
        <w:rPr>
          <w:rFonts w:ascii="Arial" w:hAnsi="Arial" w:cs="Arial"/>
        </w:rPr>
        <w:t>29.41%</w:t>
      </w:r>
      <w:r>
        <w:rPr>
          <w:rFonts w:ascii="Arial" w:cs="Arial" w:hAnsiTheme="minorEastAsia"/>
        </w:rPr>
        <w:t>，全部是基本支出预算。主要用于单位缴纳失业保险。</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(3)</w:t>
      </w:r>
      <w:r>
        <w:rPr>
          <w:rFonts w:ascii="Arial" w:cs="Arial" w:hAnsiTheme="minorEastAsia"/>
        </w:rPr>
        <w:t>卫生健康支出</w:t>
      </w:r>
      <w:r>
        <w:rPr>
          <w:rFonts w:ascii="Arial" w:hAnsi="Arial" w:cs="Arial"/>
        </w:rPr>
        <w:t>21.94</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1.83%,</w:t>
      </w:r>
      <w:r>
        <w:rPr>
          <w:rFonts w:ascii="Arial" w:cs="Arial" w:hAnsiTheme="minorEastAsia"/>
        </w:rPr>
        <w:t>同比减少</w:t>
      </w:r>
      <w:r>
        <w:rPr>
          <w:rFonts w:ascii="Arial" w:hAnsi="Arial" w:cs="Arial"/>
        </w:rPr>
        <w:t>2.39</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9.83%</w:t>
      </w:r>
      <w:r>
        <w:rPr>
          <w:rFonts w:ascii="Arial" w:cs="Arial" w:hAnsiTheme="minorEastAsia"/>
        </w:rPr>
        <w:t>，具体如下：</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行政单位医疗</w:t>
      </w:r>
      <w:r>
        <w:rPr>
          <w:rFonts w:ascii="Arial" w:hAnsi="Arial" w:cs="Arial"/>
        </w:rPr>
        <w:t>21.46</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2.34</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9.83%,</w:t>
      </w:r>
      <w:r>
        <w:rPr>
          <w:rFonts w:ascii="Arial" w:cs="Arial" w:hAnsiTheme="minorEastAsia"/>
        </w:rPr>
        <w:t>全部是基本支出预算。是根据统一规定</w:t>
      </w:r>
      <w:r>
        <w:rPr>
          <w:rFonts w:ascii="Arial" w:hAnsi="Arial" w:cs="Arial"/>
        </w:rPr>
        <w:t>,</w:t>
      </w:r>
      <w:r>
        <w:rPr>
          <w:rFonts w:ascii="Arial" w:cs="Arial" w:hAnsiTheme="minorEastAsia"/>
        </w:rPr>
        <w:t>按行政机关</w:t>
      </w:r>
      <w:r>
        <w:rPr>
          <w:rFonts w:ascii="Arial" w:hAnsi="Arial" w:cs="Arial"/>
        </w:rPr>
        <w:t>(</w:t>
      </w:r>
      <w:r>
        <w:rPr>
          <w:rFonts w:ascii="Arial" w:cs="Arial" w:hAnsiTheme="minorEastAsia"/>
        </w:rPr>
        <w:t>含参公单位</w:t>
      </w:r>
      <w:r>
        <w:rPr>
          <w:rFonts w:ascii="Arial" w:hAnsi="Arial" w:cs="Arial"/>
        </w:rPr>
        <w:t>)</w:t>
      </w:r>
      <w:r>
        <w:rPr>
          <w:rFonts w:ascii="Arial" w:cs="Arial" w:hAnsiTheme="minorEastAsia"/>
        </w:rPr>
        <w:t>在职职工工资总额的一定比例缴纳的基本医疗保险支出。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其他行政事业单位医疗</w:t>
      </w:r>
      <w:r>
        <w:rPr>
          <w:rFonts w:ascii="Arial" w:hAnsi="Arial" w:cs="Arial"/>
        </w:rPr>
        <w:t>0.48</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0.05</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9.43%,</w:t>
      </w:r>
      <w:r>
        <w:rPr>
          <w:rFonts w:ascii="Arial" w:cs="Arial" w:hAnsiTheme="minorEastAsia"/>
        </w:rPr>
        <w:t>全部是基本支出预算。是根据统一规定</w:t>
      </w:r>
      <w:r>
        <w:rPr>
          <w:rFonts w:ascii="Arial" w:hAnsi="Arial" w:cs="Arial"/>
        </w:rPr>
        <w:t>,</w:t>
      </w:r>
      <w:r>
        <w:rPr>
          <w:rFonts w:ascii="Arial" w:cs="Arial" w:hAnsiTheme="minorEastAsia"/>
        </w:rPr>
        <w:t>按事业单位在职职工工资总额的一定比例缴纳的基本医疗保险支出。</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(4)</w:t>
      </w:r>
      <w:r>
        <w:rPr>
          <w:rFonts w:ascii="Arial" w:cs="Arial" w:hAnsiTheme="minorEastAsia"/>
        </w:rPr>
        <w:t>住房保障支出</w:t>
      </w:r>
      <w:r>
        <w:rPr>
          <w:rFonts w:ascii="Arial" w:hAnsi="Arial" w:cs="Arial"/>
        </w:rPr>
        <w:t>28.61</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2.39%,</w:t>
      </w:r>
      <w:r>
        <w:rPr>
          <w:rFonts w:ascii="Arial" w:cs="Arial" w:hAnsiTheme="minorEastAsia"/>
        </w:rPr>
        <w:t>同比减少</w:t>
      </w:r>
      <w:r>
        <w:rPr>
          <w:rFonts w:ascii="Arial" w:hAnsi="Arial" w:cs="Arial"/>
        </w:rPr>
        <w:t>3.12</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9.83%</w:t>
      </w:r>
      <w:r>
        <w:rPr>
          <w:rFonts w:ascii="Arial" w:cs="Arial" w:hAnsiTheme="minorEastAsia"/>
        </w:rPr>
        <w:t>。具体如下</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住房公积金</w:t>
      </w:r>
      <w:r>
        <w:rPr>
          <w:rFonts w:ascii="Arial" w:hAnsi="Arial" w:cs="Arial"/>
        </w:rPr>
        <w:t>28.61</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3.12</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9.83%,</w:t>
      </w:r>
      <w:r>
        <w:rPr>
          <w:rFonts w:ascii="Arial" w:cs="Arial" w:hAnsiTheme="minorEastAsia"/>
        </w:rPr>
        <w:t>全部是基本支出预算。是按照统一规定</w:t>
      </w:r>
      <w:r>
        <w:rPr>
          <w:rFonts w:ascii="Arial" w:hAnsi="Arial" w:cs="Arial"/>
        </w:rPr>
        <w:t>,</w:t>
      </w:r>
      <w:r>
        <w:rPr>
          <w:rFonts w:ascii="Arial" w:cs="Arial" w:hAnsiTheme="minorEastAsia"/>
        </w:rPr>
        <w:t>为局机关和局属参公单位</w:t>
      </w:r>
      <w:r>
        <w:rPr>
          <w:rFonts w:ascii="Arial" w:hAnsi="Arial" w:cs="Arial"/>
        </w:rPr>
        <w:t>(</w:t>
      </w:r>
      <w:r>
        <w:rPr>
          <w:rFonts w:ascii="Arial" w:cs="Arial" w:hAnsiTheme="minorEastAsia"/>
        </w:rPr>
        <w:t>事业单位</w:t>
      </w:r>
      <w:r>
        <w:rPr>
          <w:rFonts w:ascii="Arial" w:hAnsi="Arial" w:cs="Arial"/>
        </w:rPr>
        <w:t>)</w:t>
      </w:r>
      <w:r>
        <w:rPr>
          <w:rFonts w:ascii="Arial" w:cs="Arial" w:hAnsiTheme="minorEastAsia"/>
        </w:rPr>
        <w:t>职工缴纳的住房公积金支出。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六、一般公共预算基本支出情况说明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年一般公共预算基本支出</w:t>
      </w:r>
      <w:r>
        <w:rPr>
          <w:rFonts w:ascii="Arial" w:hAnsi="Arial" w:cs="Arial"/>
        </w:rPr>
        <w:t>406.48</w:t>
      </w:r>
      <w:r>
        <w:rPr>
          <w:rFonts w:ascii="Arial" w:cs="Arial" w:hAnsiTheme="minorEastAsia"/>
        </w:rPr>
        <w:t>万元</w:t>
      </w:r>
      <w:r>
        <w:rPr>
          <w:rFonts w:ascii="Arial" w:hAnsi="Arial" w:cs="Arial"/>
        </w:rPr>
        <w:t>,</w:t>
      </w:r>
      <w:r>
        <w:rPr>
          <w:rFonts w:ascii="Arial" w:cs="Arial" w:hAnsiTheme="minorEastAsia"/>
        </w:rPr>
        <w:t>减少</w:t>
      </w:r>
      <w:r>
        <w:rPr>
          <w:rFonts w:ascii="Arial" w:hAnsi="Arial" w:cs="Arial"/>
        </w:rPr>
        <w:t>66.48</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14.10%,</w:t>
      </w:r>
      <w:r>
        <w:rPr>
          <w:rFonts w:ascii="Arial" w:cs="Arial" w:hAnsiTheme="minorEastAsia"/>
        </w:rPr>
        <w:t>下降的主要原因是人员调动相关费用减少。其中</w:t>
      </w:r>
      <w:r>
        <w:rPr>
          <w:rFonts w:ascii="Arial" w:hAnsi="Arial" w:cs="Arial"/>
        </w:rPr>
        <w:t>:</w:t>
      </w:r>
      <w:r>
        <w:rPr>
          <w:rFonts w:ascii="Arial" w:cs="Arial" w:hAnsiTheme="minorEastAsia"/>
        </w:rPr>
        <w:t>工资福利支出</w:t>
      </w:r>
      <w:r>
        <w:rPr>
          <w:rFonts w:ascii="Arial" w:hAnsi="Arial" w:cs="Arial"/>
        </w:rPr>
        <w:t>346.45</w:t>
      </w:r>
      <w:r>
        <w:rPr>
          <w:rFonts w:ascii="Arial" w:cs="Arial" w:hAnsiTheme="minorEastAsia"/>
        </w:rPr>
        <w:t>万元</w:t>
      </w:r>
      <w:r>
        <w:rPr>
          <w:rFonts w:ascii="Arial" w:hAnsi="Arial" w:cs="Arial"/>
        </w:rPr>
        <w:t>,</w:t>
      </w:r>
      <w:r>
        <w:rPr>
          <w:rFonts w:ascii="Arial" w:cs="Arial" w:hAnsiTheme="minorEastAsia"/>
        </w:rPr>
        <w:t>减少</w:t>
      </w:r>
      <w:r>
        <w:rPr>
          <w:rFonts w:ascii="Arial" w:hAnsi="Arial" w:cs="Arial"/>
        </w:rPr>
        <w:t>51.23</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12.88%,</w:t>
      </w:r>
      <w:r>
        <w:rPr>
          <w:rFonts w:ascii="Arial" w:cs="Arial" w:hAnsiTheme="minorEastAsia"/>
        </w:rPr>
        <w:t>下降的主要原因是人员调动。商品和服务支出</w:t>
      </w:r>
      <w:r>
        <w:rPr>
          <w:rFonts w:ascii="Arial" w:hAnsi="Arial" w:cs="Arial"/>
        </w:rPr>
        <w:t>38.09</w:t>
      </w:r>
      <w:r>
        <w:rPr>
          <w:rFonts w:ascii="Arial" w:cs="Arial" w:hAnsiTheme="minorEastAsia"/>
        </w:rPr>
        <w:t>万元</w:t>
      </w:r>
      <w:r>
        <w:rPr>
          <w:rFonts w:ascii="Arial" w:hAnsi="Arial" w:cs="Arial"/>
        </w:rPr>
        <w:t>,</w:t>
      </w:r>
      <w:r>
        <w:rPr>
          <w:rFonts w:ascii="Arial" w:cs="Arial" w:hAnsiTheme="minorEastAsia"/>
        </w:rPr>
        <w:t>减少</w:t>
      </w:r>
      <w:r>
        <w:rPr>
          <w:rFonts w:ascii="Arial" w:hAnsi="Arial" w:cs="Arial"/>
        </w:rPr>
        <w:t>5.75</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13.12%</w:t>
      </w:r>
      <w:r>
        <w:rPr>
          <w:rFonts w:ascii="Arial" w:cs="Arial" w:hAnsiTheme="minorEastAsia"/>
        </w:rPr>
        <w:t>。下降的主要原因是人员调动相关费用减少。对个人和家庭的补助</w:t>
      </w:r>
      <w:r>
        <w:rPr>
          <w:rFonts w:ascii="Arial" w:hAnsi="Arial" w:cs="Arial"/>
        </w:rPr>
        <w:t>21.94</w:t>
      </w:r>
      <w:r>
        <w:rPr>
          <w:rFonts w:ascii="Arial" w:cs="Arial" w:hAnsiTheme="minorEastAsia"/>
        </w:rPr>
        <w:t>万元</w:t>
      </w:r>
      <w:r>
        <w:rPr>
          <w:rFonts w:ascii="Arial" w:hAnsi="Arial" w:cs="Arial"/>
        </w:rPr>
        <w:t>,</w:t>
      </w:r>
      <w:r>
        <w:rPr>
          <w:rFonts w:ascii="Arial" w:cs="Arial" w:hAnsiTheme="minorEastAsia"/>
        </w:rPr>
        <w:t>减少</w:t>
      </w:r>
      <w:r>
        <w:rPr>
          <w:rFonts w:ascii="Arial" w:hAnsi="Arial" w:cs="Arial"/>
        </w:rPr>
        <w:t>9.5</w:t>
      </w:r>
      <w:r>
        <w:rPr>
          <w:rFonts w:ascii="Arial" w:cs="Arial" w:hAnsiTheme="minorEastAsia"/>
        </w:rPr>
        <w:t>万元</w:t>
      </w:r>
      <w:r>
        <w:rPr>
          <w:rFonts w:ascii="Arial" w:hAnsi="Arial" w:cs="Arial"/>
        </w:rPr>
        <w:t>,</w:t>
      </w:r>
      <w:r>
        <w:rPr>
          <w:rFonts w:ascii="Arial" w:cs="Arial" w:hAnsiTheme="minorEastAsia"/>
        </w:rPr>
        <w:t>下降了</w:t>
      </w:r>
      <w:r>
        <w:rPr>
          <w:rFonts w:ascii="Arial" w:hAnsi="Arial" w:cs="Arial"/>
        </w:rPr>
        <w:t>9.5%</w:t>
      </w:r>
      <w:r>
        <w:rPr>
          <w:rFonts w:ascii="Arial" w:cs="Arial" w:hAnsiTheme="minorEastAsia"/>
        </w:rPr>
        <w:t>。下降的主要原因是离休人员减少。</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七、财政拨款三公两费支出情况说明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年一般公共预算安排的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经费共</w:t>
      </w:r>
      <w:r>
        <w:rPr>
          <w:rFonts w:ascii="Arial" w:hAnsi="Arial" w:cs="Arial"/>
        </w:rPr>
        <w:t xml:space="preserve">36.86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12.78</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53.07%</w:t>
      </w:r>
      <w:r>
        <w:rPr>
          <w:rFonts w:ascii="Arial" w:cs="Arial" w:hAnsiTheme="minorEastAsia"/>
        </w:rPr>
        <w:t>。具体如下</w:t>
      </w:r>
      <w:r>
        <w:rPr>
          <w:rFonts w:ascii="Arial" w:hAnsi="Arial" w:cs="Arial"/>
        </w:rPr>
        <w:t>:</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1</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经费无预算安排</w:t>
      </w:r>
      <w:r>
        <w:rPr>
          <w:rFonts w:ascii="Arial" w:hAnsi="Arial" w:cs="Arial"/>
        </w:rPr>
        <w:t>,</w:t>
      </w:r>
      <w:r>
        <w:rPr>
          <w:rFonts w:ascii="Arial" w:cs="Arial" w:hAnsiTheme="minorEastAsia"/>
        </w:rPr>
        <w:t>同比无变化。</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w:t>
      </w:r>
      <w:r>
        <w:rPr>
          <w:rFonts w:ascii="Arial" w:cs="Arial" w:hAnsiTheme="minorEastAsia"/>
        </w:rPr>
        <w:t>、公务接待费预算</w:t>
      </w:r>
      <w:r>
        <w:rPr>
          <w:rFonts w:ascii="Arial" w:hAnsi="Arial" w:cs="Arial"/>
        </w:rPr>
        <w:t>36.86</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12.78</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53.07%</w:t>
      </w:r>
      <w:r>
        <w:rPr>
          <w:rFonts w:ascii="Arial" w:cs="Arial" w:hAnsiTheme="minorEastAsia"/>
        </w:rPr>
        <w:t>。我单位认真贯彻落实中央八项规定要求</w:t>
      </w:r>
      <w:r>
        <w:rPr>
          <w:rFonts w:ascii="Arial" w:hAnsi="Arial" w:cs="Arial"/>
        </w:rPr>
        <w:t>,</w:t>
      </w:r>
      <w:r>
        <w:rPr>
          <w:rFonts w:ascii="Arial" w:cs="Arial" w:hAnsiTheme="minorEastAsia"/>
        </w:rPr>
        <w:t>严格执行公务接待管理办法。主要用于单位按规定开支的各类公务接待费用。</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3</w:t>
      </w:r>
      <w:r>
        <w:rPr>
          <w:rFonts w:ascii="Arial" w:cs="Arial" w:hAnsiTheme="minorEastAsia"/>
        </w:rPr>
        <w:t>、公务用车购置和运行维护费预算</w:t>
      </w:r>
      <w:r>
        <w:rPr>
          <w:rFonts w:ascii="Arial" w:hAnsi="Arial" w:cs="Arial"/>
        </w:rPr>
        <w:t>0</w:t>
      </w:r>
      <w:r>
        <w:rPr>
          <w:rFonts w:ascii="Arial" w:cs="Arial" w:hAnsiTheme="minorEastAsia"/>
        </w:rPr>
        <w:t>万元。</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4</w:t>
      </w:r>
      <w:r>
        <w:rPr>
          <w:rFonts w:ascii="Arial" w:cs="Arial" w:hAnsiTheme="minorEastAsia"/>
        </w:rPr>
        <w:t>、会议费预算</w:t>
      </w:r>
      <w:r>
        <w:rPr>
          <w:rFonts w:ascii="Arial" w:hAnsi="Arial" w:cs="Arial"/>
        </w:rPr>
        <w:t>0</w:t>
      </w:r>
      <w:r>
        <w:rPr>
          <w:rFonts w:ascii="Arial" w:cs="Arial" w:hAnsiTheme="minorEastAsia"/>
        </w:rPr>
        <w:t>万元。</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八、政府性基金预算支出情况说明</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我单位</w:t>
      </w:r>
      <w:r>
        <w:rPr>
          <w:rFonts w:ascii="Arial" w:hAnsi="Arial" w:cs="Arial"/>
        </w:rPr>
        <w:t>2023</w:t>
      </w:r>
      <w:r>
        <w:rPr>
          <w:rFonts w:ascii="Arial" w:cs="Arial" w:hAnsiTheme="minorEastAsia"/>
        </w:rPr>
        <w:t>年部门预算无政府性基金预算。</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九、国有资本经营预算支出情况说明</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我单位</w:t>
      </w:r>
      <w:r>
        <w:rPr>
          <w:rFonts w:ascii="Arial" w:hAnsi="Arial" w:cs="Arial"/>
        </w:rPr>
        <w:t>2023</w:t>
      </w:r>
      <w:r>
        <w:rPr>
          <w:rFonts w:ascii="Arial" w:cs="Arial" w:hAnsiTheme="minorEastAsia"/>
        </w:rPr>
        <w:t>年部门预算无国有资本经营预算。</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十、其他重要事项情况说明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机关运行经费安排情况说明</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2023</w:t>
      </w:r>
      <w:r>
        <w:rPr>
          <w:rFonts w:ascii="Arial" w:cs="Arial" w:hAnsiTheme="minorEastAsia"/>
        </w:rPr>
        <w:t>年机关运行经费</w:t>
      </w:r>
      <w:r>
        <w:rPr>
          <w:rFonts w:ascii="Arial" w:hAnsi="Arial" w:cs="Arial"/>
        </w:rPr>
        <w:t>38.09</w:t>
      </w:r>
      <w:r>
        <w:rPr>
          <w:rFonts w:ascii="Arial" w:cs="Arial" w:hAnsiTheme="minorEastAsia"/>
        </w:rPr>
        <w:t>万元</w:t>
      </w:r>
      <w:r>
        <w:rPr>
          <w:rFonts w:ascii="Arial" w:hAnsi="Arial" w:cs="Arial"/>
        </w:rPr>
        <w:t>,</w:t>
      </w:r>
      <w:r>
        <w:rPr>
          <w:rFonts w:ascii="Arial" w:cs="Arial" w:hAnsiTheme="minorEastAsia"/>
        </w:rPr>
        <w:t>减少</w:t>
      </w:r>
      <w:r>
        <w:rPr>
          <w:rFonts w:ascii="Arial" w:hAnsi="Arial" w:cs="Arial"/>
        </w:rPr>
        <w:t>5.75</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13.12%</w:t>
      </w:r>
      <w:r>
        <w:rPr>
          <w:rFonts w:ascii="Arial" w:cs="Arial" w:hAnsiTheme="minorEastAsia"/>
        </w:rPr>
        <w:t>。下降的主要原因是人员调动。具体包括办公费</w:t>
      </w:r>
      <w:r>
        <w:rPr>
          <w:rFonts w:ascii="Arial" w:hAnsi="Arial" w:cs="Arial"/>
        </w:rPr>
        <w:t>11.4</w:t>
      </w:r>
      <w:r>
        <w:rPr>
          <w:rFonts w:ascii="Arial" w:cs="Arial" w:hAnsiTheme="minorEastAsia"/>
        </w:rPr>
        <w:t>万元、公务接待费</w:t>
      </w:r>
      <w:r>
        <w:rPr>
          <w:rFonts w:ascii="Arial" w:hAnsi="Arial" w:cs="Arial"/>
        </w:rPr>
        <w:t>6.86</w:t>
      </w:r>
      <w:r>
        <w:rPr>
          <w:rFonts w:ascii="Arial" w:cs="Arial" w:hAnsiTheme="minorEastAsia"/>
        </w:rPr>
        <w:t>万元、其他交通费用</w:t>
      </w:r>
      <w:r>
        <w:rPr>
          <w:rFonts w:ascii="Arial" w:hAnsi="Arial" w:cs="Arial"/>
        </w:rPr>
        <w:t>19.68</w:t>
      </w:r>
      <w:r>
        <w:rPr>
          <w:rFonts w:ascii="Arial" w:cs="Arial" w:hAnsiTheme="minorEastAsia"/>
        </w:rPr>
        <w:t>万元和其他商品和服务支出</w:t>
      </w:r>
      <w:r>
        <w:rPr>
          <w:rFonts w:ascii="Arial" w:hAnsi="Arial" w:cs="Arial"/>
        </w:rPr>
        <w:t>0.15</w:t>
      </w:r>
      <w:r>
        <w:rPr>
          <w:rFonts w:ascii="Arial" w:cs="Arial" w:hAnsiTheme="minorEastAsia"/>
        </w:rPr>
        <w:t>万元。</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政府采购预算安排情况说明</w:t>
      </w:r>
    </w:p>
    <w:p>
      <w:pPr>
        <w:pStyle w:val="4"/>
        <w:widowControl/>
        <w:spacing w:before="150" w:beforeAutospacing="0" w:after="150" w:afterAutospacing="0" w:line="500" w:lineRule="exact"/>
        <w:ind w:firstLine="480" w:firstLineChars="200"/>
        <w:rPr>
          <w:rFonts w:ascii="Arial" w:hAnsi="Arial" w:cs="Arial"/>
          <w:color w:val="FF0000"/>
        </w:rPr>
      </w:pPr>
      <w:r>
        <w:rPr>
          <w:rFonts w:ascii="Arial" w:cs="Arial" w:hAnsiTheme="minorEastAsia"/>
        </w:rPr>
        <w:t>我单位</w:t>
      </w:r>
      <w:r>
        <w:rPr>
          <w:rFonts w:ascii="Arial" w:hAnsi="Arial" w:cs="Arial"/>
        </w:rPr>
        <w:t>2023</w:t>
      </w:r>
      <w:r>
        <w:rPr>
          <w:rFonts w:ascii="Arial" w:cs="Arial" w:hAnsiTheme="minorEastAsia"/>
        </w:rPr>
        <w:t>年部门预算无政府采购预算。</w:t>
      </w:r>
    </w:p>
    <w:p>
      <w:pPr>
        <w:pStyle w:val="4"/>
        <w:widowControl/>
        <w:spacing w:before="150" w:beforeAutospacing="0" w:after="150" w:afterAutospacing="0" w:line="500" w:lineRule="exact"/>
        <w:ind w:firstLine="480" w:firstLineChars="200"/>
        <w:rPr>
          <w:rFonts w:ascii="Arial" w:hAnsi="Arial" w:cs="Arial"/>
          <w:color w:val="FF0000"/>
        </w:rPr>
      </w:pPr>
      <w:r>
        <w:rPr>
          <w:rFonts w:ascii="Arial" w:hAnsi="Arial" w:cs="Arial"/>
        </w:rPr>
        <w:t>(</w:t>
      </w:r>
      <w:r>
        <w:rPr>
          <w:rFonts w:ascii="Arial" w:cs="Arial" w:hAnsiTheme="minorEastAsia"/>
        </w:rPr>
        <w:t>三</w:t>
      </w:r>
      <w:r>
        <w:rPr>
          <w:rFonts w:ascii="Arial" w:hAnsi="Arial" w:cs="Arial"/>
        </w:rPr>
        <w:t>)</w:t>
      </w:r>
      <w:r>
        <w:rPr>
          <w:rFonts w:ascii="Arial" w:cs="Arial" w:hAnsiTheme="minorEastAsia"/>
        </w:rPr>
        <w:t>国有资产占有使用情况说明</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截至</w:t>
      </w:r>
      <w:r>
        <w:rPr>
          <w:rFonts w:ascii="Arial" w:hAnsi="Arial" w:cs="Arial"/>
        </w:rPr>
        <w:t>2022</w:t>
      </w:r>
      <w:r>
        <w:rPr>
          <w:rFonts w:ascii="Arial" w:cs="Arial" w:hAnsiTheme="minorEastAsia"/>
        </w:rPr>
        <w:t>年</w:t>
      </w:r>
      <w:r>
        <w:rPr>
          <w:rFonts w:ascii="Arial" w:hAnsi="Arial" w:cs="Arial"/>
        </w:rPr>
        <w:t>12</w:t>
      </w:r>
      <w:r>
        <w:rPr>
          <w:rFonts w:ascii="Arial" w:cs="Arial" w:hAnsiTheme="minorEastAsia"/>
        </w:rPr>
        <w:t>月</w:t>
      </w:r>
      <w:r>
        <w:rPr>
          <w:rFonts w:ascii="Arial" w:hAnsi="Arial" w:cs="Arial"/>
        </w:rPr>
        <w:t>31</w:t>
      </w:r>
      <w:r>
        <w:rPr>
          <w:rFonts w:ascii="Arial" w:cs="Arial" w:hAnsiTheme="minorEastAsia"/>
        </w:rPr>
        <w:t>日</w:t>
      </w:r>
      <w:r>
        <w:rPr>
          <w:rFonts w:ascii="Arial" w:hAnsi="Arial" w:cs="Arial"/>
        </w:rPr>
        <w:t>,</w:t>
      </w:r>
      <w:r>
        <w:rPr>
          <w:rFonts w:ascii="Arial" w:cs="Arial" w:hAnsiTheme="minorEastAsia"/>
        </w:rPr>
        <w:t>本部门资产总计</w:t>
      </w:r>
      <w:r>
        <w:rPr>
          <w:rFonts w:ascii="Arial" w:hAnsi="Arial" w:cs="Arial"/>
        </w:rPr>
        <w:t>83.76</w:t>
      </w:r>
      <w:r>
        <w:rPr>
          <w:rFonts w:ascii="Arial" w:cs="Arial" w:hAnsiTheme="minorEastAsia"/>
        </w:rPr>
        <w:t>万元</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流动资产</w:t>
      </w:r>
      <w:r>
        <w:rPr>
          <w:rFonts w:ascii="Arial" w:hAnsi="Arial" w:cs="Arial"/>
        </w:rPr>
        <w:t>17.98</w:t>
      </w:r>
      <w:r>
        <w:rPr>
          <w:rFonts w:ascii="Arial" w:cs="Arial" w:hAnsiTheme="minorEastAsia"/>
        </w:rPr>
        <w:t>万元</w:t>
      </w:r>
      <w:r>
        <w:rPr>
          <w:rFonts w:ascii="Arial" w:hAnsi="Arial" w:cs="Arial"/>
        </w:rPr>
        <w:t>,</w:t>
      </w:r>
      <w:r>
        <w:rPr>
          <w:rFonts w:ascii="Arial" w:cs="Arial" w:hAnsiTheme="minorEastAsia"/>
        </w:rPr>
        <w:t>固定资产</w:t>
      </w:r>
      <w:r>
        <w:rPr>
          <w:rFonts w:ascii="Arial" w:hAnsi="Arial" w:cs="Arial"/>
        </w:rPr>
        <w:t>65.69</w:t>
      </w:r>
      <w:r>
        <w:rPr>
          <w:rFonts w:ascii="Arial" w:cs="Arial" w:hAnsiTheme="minorEastAsia"/>
        </w:rPr>
        <w:t>万元</w:t>
      </w:r>
      <w:r>
        <w:rPr>
          <w:rFonts w:ascii="Arial" w:hAnsi="Arial" w:cs="Arial"/>
        </w:rPr>
        <w:t>,</w:t>
      </w:r>
      <w:r>
        <w:rPr>
          <w:rFonts w:ascii="Arial" w:cs="Arial" w:hAnsiTheme="minorEastAsia"/>
        </w:rPr>
        <w:t>在建工程</w:t>
      </w:r>
      <w:r>
        <w:rPr>
          <w:rFonts w:ascii="Arial" w:hAnsi="Arial" w:cs="Arial"/>
        </w:rPr>
        <w:t>0</w:t>
      </w:r>
      <w:r>
        <w:rPr>
          <w:rFonts w:ascii="Arial" w:cs="Arial" w:hAnsiTheme="minorEastAsia"/>
        </w:rPr>
        <w:t>万元</w:t>
      </w:r>
      <w:r>
        <w:rPr>
          <w:rFonts w:ascii="Arial" w:hAnsi="Arial" w:cs="Arial"/>
        </w:rPr>
        <w:t>,</w:t>
      </w:r>
      <w:r>
        <w:rPr>
          <w:rFonts w:ascii="Arial" w:cs="Arial" w:hAnsiTheme="minorEastAsia"/>
        </w:rPr>
        <w:t>无形资产</w:t>
      </w:r>
      <w:r>
        <w:rPr>
          <w:rFonts w:ascii="Arial" w:hAnsi="Arial" w:cs="Arial"/>
        </w:rPr>
        <w:t>0</w:t>
      </w:r>
      <w:r>
        <w:rPr>
          <w:rFonts w:ascii="Arial" w:cs="Arial" w:hAnsiTheme="minorEastAsia"/>
        </w:rPr>
        <w:t>万元。</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本部门实际可调配使用车辆</w:t>
      </w:r>
      <w:r>
        <w:rPr>
          <w:rFonts w:ascii="Arial" w:hAnsi="Arial" w:cs="Arial"/>
        </w:rPr>
        <w:t>0</w:t>
      </w:r>
      <w:r>
        <w:rPr>
          <w:rFonts w:ascii="Arial" w:cs="Arial" w:hAnsiTheme="minorEastAsia"/>
        </w:rPr>
        <w:t>辆</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一般公务用车辆</w:t>
      </w:r>
      <w:r>
        <w:rPr>
          <w:rFonts w:ascii="Arial" w:hAnsi="Arial" w:cs="Arial"/>
        </w:rPr>
        <w:t>0</w:t>
      </w:r>
      <w:r>
        <w:rPr>
          <w:rFonts w:ascii="Arial" w:cs="Arial" w:hAnsiTheme="minorEastAsia"/>
        </w:rPr>
        <w:t>辆。</w:t>
      </w:r>
    </w:p>
    <w:p>
      <w:pPr>
        <w:pStyle w:val="4"/>
        <w:widowControl/>
        <w:spacing w:before="150" w:beforeAutospacing="0" w:after="150" w:afterAutospacing="0" w:line="500" w:lineRule="exact"/>
        <w:ind w:firstLine="480" w:firstLineChars="200"/>
        <w:rPr>
          <w:rFonts w:ascii="Arial" w:hAnsi="Arial" w:cs="Arial"/>
        </w:rPr>
      </w:pPr>
      <w:r>
        <w:rPr>
          <w:rFonts w:ascii="Arial" w:hAnsi="Arial" w:cs="Arial"/>
        </w:rPr>
        <w:t>(</w:t>
      </w:r>
      <w:r>
        <w:rPr>
          <w:rFonts w:ascii="Arial" w:cs="Arial" w:hAnsiTheme="minorEastAsia"/>
        </w:rPr>
        <w:t>四</w:t>
      </w:r>
      <w:r>
        <w:rPr>
          <w:rFonts w:ascii="Arial" w:hAnsi="Arial" w:cs="Arial"/>
        </w:rPr>
        <w:t>)</w:t>
      </w:r>
      <w:r>
        <w:rPr>
          <w:rFonts w:ascii="Arial" w:cs="Arial" w:hAnsiTheme="minorEastAsia"/>
        </w:rPr>
        <w:t>重点项目预算绩效目标等情况说明</w:t>
      </w:r>
    </w:p>
    <w:p>
      <w:pPr>
        <w:pStyle w:val="4"/>
        <w:widowControl/>
        <w:spacing w:before="150" w:beforeAutospacing="0" w:after="150" w:afterAutospacing="0" w:line="500" w:lineRule="exact"/>
        <w:ind w:firstLine="480" w:firstLineChars="200"/>
        <w:rPr>
          <w:rFonts w:ascii="Arial" w:hAnsi="Arial" w:cs="Arial"/>
          <w:color w:val="000000" w:themeColor="text1"/>
        </w:rPr>
      </w:pPr>
      <w:r>
        <w:rPr>
          <w:rFonts w:ascii="Arial" w:cs="Arial" w:hAnsiTheme="minorEastAsia"/>
          <w:color w:val="000000" w:themeColor="text1"/>
        </w:rPr>
        <w:t>重点项目预算绩效目标：离退休老干部体检疗养及春节慰问等经费</w:t>
      </w:r>
      <w:r>
        <w:rPr>
          <w:rFonts w:ascii="Arial" w:hAnsi="Arial" w:cs="Arial"/>
          <w:color w:val="000000" w:themeColor="text1"/>
        </w:rPr>
        <w:t>42.6</w:t>
      </w:r>
      <w:r>
        <w:rPr>
          <w:rFonts w:ascii="Arial" w:cs="Arial" w:hAnsiTheme="minorEastAsia"/>
          <w:color w:val="000000" w:themeColor="text1"/>
        </w:rPr>
        <w:t>万元。</w:t>
      </w:r>
    </w:p>
    <w:p>
      <w:pPr>
        <w:pStyle w:val="4"/>
        <w:widowControl/>
        <w:spacing w:before="150" w:beforeAutospacing="0" w:after="150" w:afterAutospacing="0" w:line="500" w:lineRule="exact"/>
        <w:ind w:firstLine="420"/>
        <w:rPr>
          <w:rFonts w:ascii="Arial" w:hAnsi="Arial" w:cs="Arial"/>
          <w:color w:val="000000" w:themeColor="text1"/>
        </w:rPr>
      </w:pPr>
      <w:r>
        <w:rPr>
          <w:rFonts w:ascii="Arial" w:cs="Arial" w:hAnsiTheme="minorEastAsia"/>
          <w:color w:val="000000" w:themeColor="text1"/>
        </w:rPr>
        <w:t>本单位贯彻落实新时代党的建设总要求和新时代党的组织路线，研究和指导全县党的建设制度改革，牵头拟定全县党的建设制度改革的规划以及组织、干部、人才、老干部、公务员重要政策和制度。同时统一领导和协调全县非公有制经济组织、社会组织党的建设工作，负责规划、指导、督查、管理全县党员干部现代远程教育工作。负责全县领导班子和干部队伍建设的规划和管理。负责全县干部监督工作的综合协调和宏观指导。负责全县干部教育培训工作的整体规划、制度建设、宏观指导、协调服务和督促检查。负责全县党的建设工作特别是各领域基层党建工作以及党员队伍建设的政策研究、宏观指导和监督检查，推动落实基层党建工作责任制。负责全县人才工作和人才队伍建设的宏观指导、综合协调和督促检查。统一管理全县公务员工作。统一管理全县老干部工作。</w:t>
      </w:r>
    </w:p>
    <w:p>
      <w:pPr>
        <w:pStyle w:val="4"/>
        <w:widowControl/>
        <w:spacing w:before="150" w:beforeAutospacing="0" w:after="150" w:afterAutospacing="0" w:line="500" w:lineRule="exact"/>
        <w:ind w:firstLine="420"/>
        <w:rPr>
          <w:rFonts w:hint="eastAsia" w:ascii="Arial" w:cs="Arial" w:hAnsiTheme="minorEastAsia"/>
          <w:color w:val="000000" w:themeColor="text1"/>
        </w:rPr>
      </w:pPr>
      <w:r>
        <w:rPr>
          <w:rFonts w:ascii="Arial" w:cs="Arial" w:hAnsiTheme="minorEastAsia"/>
          <w:color w:val="000000" w:themeColor="text1"/>
        </w:rPr>
        <w:t>项目立项的依据是依据全政发</w:t>
      </w:r>
      <w:r>
        <w:rPr>
          <w:rFonts w:ascii="Arial" w:hAnsi="Arial" w:cs="Arial"/>
          <w:color w:val="000000" w:themeColor="text1"/>
        </w:rPr>
        <w:t>[2003]71</w:t>
      </w:r>
      <w:r>
        <w:rPr>
          <w:rFonts w:ascii="Arial" w:cs="Arial" w:hAnsiTheme="minorEastAsia"/>
          <w:color w:val="000000" w:themeColor="text1"/>
        </w:rPr>
        <w:t>号、桂组字</w:t>
      </w:r>
      <w:r>
        <w:rPr>
          <w:rFonts w:ascii="Arial" w:hAnsi="Arial" w:cs="Arial"/>
          <w:color w:val="000000" w:themeColor="text1"/>
        </w:rPr>
        <w:t>[1981]9</w:t>
      </w:r>
      <w:r>
        <w:rPr>
          <w:rFonts w:ascii="Arial" w:cs="Arial" w:hAnsiTheme="minorEastAsia"/>
          <w:color w:val="000000" w:themeColor="text1"/>
        </w:rPr>
        <w:t>号、市老字</w:t>
      </w:r>
      <w:r>
        <w:rPr>
          <w:rFonts w:ascii="Arial" w:hAnsi="Arial" w:cs="Arial"/>
          <w:color w:val="000000" w:themeColor="text1"/>
        </w:rPr>
        <w:t>[1997]2</w:t>
      </w:r>
      <w:r>
        <w:rPr>
          <w:rFonts w:ascii="Arial" w:cs="Arial" w:hAnsiTheme="minorEastAsia"/>
          <w:color w:val="000000" w:themeColor="text1"/>
        </w:rPr>
        <w:t>号、市财文字</w:t>
      </w:r>
      <w:r>
        <w:rPr>
          <w:rFonts w:ascii="Arial" w:hAnsi="Arial" w:cs="Arial"/>
          <w:color w:val="000000" w:themeColor="text1"/>
        </w:rPr>
        <w:t>[1997]1</w:t>
      </w:r>
      <w:r>
        <w:rPr>
          <w:rFonts w:ascii="Arial" w:cs="Arial" w:hAnsiTheme="minorEastAsia"/>
          <w:color w:val="000000" w:themeColor="text1"/>
        </w:rPr>
        <w:t>号、桂老通字</w:t>
      </w:r>
      <w:r>
        <w:rPr>
          <w:rFonts w:ascii="Arial" w:hAnsi="Arial" w:cs="Arial"/>
          <w:color w:val="000000" w:themeColor="text1"/>
        </w:rPr>
        <w:t>[2013]81</w:t>
      </w:r>
      <w:r>
        <w:rPr>
          <w:rFonts w:ascii="Arial" w:cs="Arial" w:hAnsiTheme="minorEastAsia"/>
          <w:color w:val="000000" w:themeColor="text1"/>
        </w:rPr>
        <w:t>号、市老字</w:t>
      </w:r>
      <w:r>
        <w:rPr>
          <w:rFonts w:ascii="Arial" w:hAnsi="Arial" w:cs="Arial"/>
          <w:color w:val="000000" w:themeColor="text1"/>
        </w:rPr>
        <w:t>[2016]1</w:t>
      </w:r>
      <w:r>
        <w:rPr>
          <w:rFonts w:ascii="Arial" w:cs="Arial" w:hAnsiTheme="minorEastAsia"/>
          <w:color w:val="000000" w:themeColor="text1"/>
        </w:rPr>
        <w:t>号等文件。项目申报的必要性是充分体现了</w:t>
      </w:r>
      <w:r>
        <w:rPr>
          <w:rFonts w:hint="eastAsia" w:ascii="Arial" w:cs="Arial" w:hAnsiTheme="minorEastAsia"/>
          <w:color w:val="000000" w:themeColor="text1"/>
          <w:lang w:eastAsia="zh-CN"/>
        </w:rPr>
        <w:t>县委、县政府</w:t>
      </w:r>
      <w:r>
        <w:rPr>
          <w:rFonts w:ascii="Arial" w:cs="Arial" w:hAnsiTheme="minorEastAsia"/>
          <w:color w:val="000000" w:themeColor="text1"/>
        </w:rPr>
        <w:t>对离退休老干部的重视与关心。项目绩效目标长期目标是落实离退休老干部生活保障、提高离退休老干部生活质量。年度目标是</w:t>
      </w:r>
      <w:r>
        <w:rPr>
          <w:rFonts w:ascii="Arial" w:hAnsi="Arial" w:cs="Arial"/>
          <w:color w:val="000000" w:themeColor="text1"/>
        </w:rPr>
        <w:t>2023</w:t>
      </w:r>
      <w:r>
        <w:rPr>
          <w:rFonts w:ascii="Arial" w:cs="Arial" w:hAnsiTheme="minorEastAsia"/>
          <w:color w:val="000000" w:themeColor="text1"/>
        </w:rPr>
        <w:t>年</w:t>
      </w:r>
      <w:r>
        <w:rPr>
          <w:rFonts w:ascii="Arial" w:hAnsi="Arial" w:cs="Arial"/>
          <w:color w:val="000000" w:themeColor="text1"/>
        </w:rPr>
        <w:t>12</w:t>
      </w:r>
      <w:r>
        <w:rPr>
          <w:rFonts w:ascii="Arial" w:cs="Arial" w:hAnsiTheme="minorEastAsia"/>
          <w:color w:val="000000" w:themeColor="text1"/>
        </w:rPr>
        <w:t>月</w:t>
      </w:r>
      <w:r>
        <w:rPr>
          <w:rFonts w:ascii="Arial" w:hAnsi="Arial" w:cs="Arial"/>
          <w:color w:val="000000" w:themeColor="text1"/>
        </w:rPr>
        <w:t>31</w:t>
      </w:r>
      <w:r>
        <w:rPr>
          <w:rFonts w:ascii="Arial" w:cs="Arial" w:hAnsiTheme="minorEastAsia"/>
          <w:color w:val="000000" w:themeColor="text1"/>
        </w:rPr>
        <w:t>日前完成对全县离休干部（含过世老干部的遗孀其家属进行慰问和接访）、县处级退休干部进行各项生活待遇落实服务，即生老病死的慰问、接待、每年体检、</w:t>
      </w:r>
      <w:r>
        <w:rPr>
          <w:rFonts w:ascii="Arial" w:hAnsi="Arial" w:cs="Arial"/>
          <w:color w:val="000000" w:themeColor="text1"/>
        </w:rPr>
        <w:t>“</w:t>
      </w:r>
      <w:r>
        <w:rPr>
          <w:rFonts w:ascii="Arial" w:cs="Arial" w:hAnsiTheme="minorEastAsia"/>
          <w:color w:val="000000" w:themeColor="text1"/>
        </w:rPr>
        <w:t>三节</w:t>
      </w:r>
      <w:r>
        <w:rPr>
          <w:rFonts w:ascii="Arial" w:hAnsi="Arial" w:cs="Arial"/>
          <w:color w:val="000000" w:themeColor="text1"/>
        </w:rPr>
        <w:t>”</w:t>
      </w:r>
      <w:r>
        <w:rPr>
          <w:rFonts w:ascii="Arial" w:cs="Arial" w:hAnsiTheme="minorEastAsia"/>
          <w:color w:val="000000" w:themeColor="text1"/>
        </w:rPr>
        <w:t>及春节慰问、组织每年健康疗养活动等，贯彻落实离退休老干部政治待遇和生活待遇。年度绩效指标产出指标数量指标组织离退休老干部健康疗养次数</w:t>
      </w:r>
      <w:r>
        <w:rPr>
          <w:rFonts w:ascii="Arial" w:hAnsi="Arial" w:cs="Arial"/>
          <w:color w:val="000000" w:themeColor="text1"/>
        </w:rPr>
        <w:t>≥3</w:t>
      </w:r>
      <w:r>
        <w:rPr>
          <w:rFonts w:ascii="Arial" w:cs="Arial" w:hAnsiTheme="minorEastAsia"/>
          <w:color w:val="000000" w:themeColor="text1"/>
        </w:rPr>
        <w:t>次，春节慰问老干部人数</w:t>
      </w:r>
      <w:r>
        <w:rPr>
          <w:rFonts w:ascii="Arial" w:hAnsi="Arial" w:cs="Arial"/>
          <w:color w:val="000000" w:themeColor="text1"/>
        </w:rPr>
        <w:t>≥13</w:t>
      </w:r>
      <w:r>
        <w:rPr>
          <w:rFonts w:ascii="Arial" w:cs="Arial" w:hAnsiTheme="minorEastAsia"/>
          <w:color w:val="000000" w:themeColor="text1"/>
        </w:rPr>
        <w:t>人，组织老干部体检次数</w:t>
      </w:r>
      <w:r>
        <w:rPr>
          <w:rFonts w:ascii="Arial" w:hAnsi="Arial" w:cs="Arial"/>
          <w:color w:val="000000" w:themeColor="text1"/>
        </w:rPr>
        <w:t>≥2</w:t>
      </w:r>
      <w:r>
        <w:rPr>
          <w:rFonts w:ascii="Arial" w:cs="Arial" w:hAnsiTheme="minorEastAsia"/>
          <w:color w:val="000000" w:themeColor="text1"/>
        </w:rPr>
        <w:t>次，解决离退休老干部生活问题</w:t>
      </w:r>
      <w:r>
        <w:rPr>
          <w:rFonts w:ascii="Arial" w:hAnsi="Arial" w:cs="Arial"/>
          <w:color w:val="000000" w:themeColor="text1"/>
        </w:rPr>
        <w:t>≥3</w:t>
      </w:r>
      <w:r>
        <w:rPr>
          <w:rFonts w:ascii="Arial" w:cs="Arial" w:hAnsiTheme="minorEastAsia"/>
          <w:color w:val="000000" w:themeColor="text1"/>
        </w:rPr>
        <w:t>次，质量指标老干部身体素质提升，春节慰问老干部覆盖率</w:t>
      </w:r>
      <w:r>
        <w:rPr>
          <w:rFonts w:ascii="Arial" w:hAnsi="Arial" w:cs="Arial"/>
          <w:color w:val="000000" w:themeColor="text1"/>
        </w:rPr>
        <w:t>100%</w:t>
      </w:r>
      <w:r>
        <w:rPr>
          <w:rFonts w:ascii="Arial" w:cs="Arial" w:hAnsiTheme="minorEastAsia"/>
          <w:color w:val="000000" w:themeColor="text1"/>
        </w:rPr>
        <w:t>，老干部问题解决率</w:t>
      </w:r>
      <w:r>
        <w:rPr>
          <w:rFonts w:ascii="Arial" w:hAnsi="Arial" w:cs="Arial"/>
          <w:color w:val="000000" w:themeColor="text1"/>
        </w:rPr>
        <w:t>100%</w:t>
      </w:r>
      <w:r>
        <w:rPr>
          <w:rFonts w:ascii="Arial" w:cs="Arial" w:hAnsiTheme="minorEastAsia"/>
          <w:color w:val="000000" w:themeColor="text1"/>
        </w:rPr>
        <w:t>，老干部各项生活待遇落实率</w:t>
      </w:r>
      <w:r>
        <w:rPr>
          <w:rFonts w:ascii="Arial" w:hAnsi="Arial" w:cs="Arial"/>
          <w:color w:val="000000" w:themeColor="text1"/>
        </w:rPr>
        <w:t>100%</w:t>
      </w:r>
      <w:r>
        <w:rPr>
          <w:rFonts w:ascii="Arial" w:cs="Arial" w:hAnsiTheme="minorEastAsia"/>
          <w:color w:val="000000" w:themeColor="text1"/>
        </w:rPr>
        <w:t>，时效指标按时老干部体检疗养，按时慰问老干部及时解决问题。成本指标按年度预算执行，社会效益指标有效提高离退休老干部生活质量，提高对离退休干部的人文关怀树立公众形象。</w:t>
      </w:r>
    </w:p>
    <w:p>
      <w:pPr>
        <w:pStyle w:val="4"/>
        <w:widowControl/>
        <w:spacing w:before="150" w:beforeAutospacing="0" w:after="150" w:afterAutospacing="0" w:line="500" w:lineRule="exact"/>
        <w:ind w:firstLine="420"/>
        <w:rPr>
          <w:rFonts w:hint="eastAsia" w:ascii="Arial" w:cs="Arial" w:hAnsiTheme="minorEastAsia"/>
          <w:color w:val="000000" w:themeColor="text1"/>
        </w:rPr>
      </w:pPr>
    </w:p>
    <w:p>
      <w:pPr>
        <w:pStyle w:val="4"/>
        <w:widowControl/>
        <w:spacing w:before="150" w:beforeAutospacing="0" w:after="150" w:afterAutospacing="0" w:line="500" w:lineRule="exact"/>
        <w:ind w:firstLine="420"/>
        <w:rPr>
          <w:rFonts w:ascii="Arial" w:hAnsi="Arial" w:cs="Arial"/>
          <w:color w:val="000000" w:themeColor="text1"/>
        </w:rPr>
      </w:pPr>
    </w:p>
    <w:p>
      <w:pPr>
        <w:pStyle w:val="4"/>
        <w:widowControl/>
        <w:spacing w:before="150" w:beforeAutospacing="0" w:after="150" w:afterAutospacing="0" w:line="500" w:lineRule="exact"/>
        <w:ind w:firstLine="420"/>
        <w:jc w:val="center"/>
        <w:rPr>
          <w:rFonts w:ascii="Arial" w:hAnsi="Arial" w:cs="Arial"/>
        </w:rPr>
      </w:pPr>
      <w:r>
        <w:rPr>
          <w:rFonts w:ascii="Arial" w:cs="Arial" w:hAnsiTheme="minorEastAsia"/>
        </w:rPr>
        <w:t>专业名词解释</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一、财政拨款收入</w:t>
      </w:r>
      <w:r>
        <w:rPr>
          <w:rFonts w:ascii="Arial" w:hAnsi="Arial" w:cs="Arial"/>
        </w:rPr>
        <w:t>:</w:t>
      </w:r>
      <w:r>
        <w:rPr>
          <w:rFonts w:ascii="Arial" w:cs="Arial" w:hAnsiTheme="minorEastAsia"/>
        </w:rPr>
        <w:t>指财政部门当年拨付的资金。</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二、事业收入</w:t>
      </w:r>
      <w:r>
        <w:rPr>
          <w:rFonts w:ascii="Arial" w:hAnsi="Arial" w:cs="Arial"/>
        </w:rPr>
        <w:t>:</w:t>
      </w:r>
      <w:r>
        <w:rPr>
          <w:rFonts w:ascii="Arial" w:cs="Arial" w:hAnsiTheme="minorEastAsia"/>
        </w:rPr>
        <w:t>指事业单位开展专业业务活动及辅助活动所取得的收入。</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三、其他收入</w:t>
      </w:r>
      <w:r>
        <w:rPr>
          <w:rFonts w:ascii="Arial" w:hAnsi="Arial" w:cs="Arial"/>
        </w:rPr>
        <w:t>:</w:t>
      </w:r>
      <w:r>
        <w:rPr>
          <w:rFonts w:ascii="Arial" w:cs="Arial" w:hAnsiTheme="minorEastAsia"/>
        </w:rPr>
        <w:t>指除上述</w:t>
      </w:r>
      <w:r>
        <w:rPr>
          <w:rFonts w:ascii="Arial" w:hAnsi="Arial" w:cs="Arial"/>
        </w:rPr>
        <w:t>“</w:t>
      </w:r>
      <w:r>
        <w:rPr>
          <w:rFonts w:ascii="Arial" w:cs="Arial" w:hAnsiTheme="minorEastAsia"/>
        </w:rPr>
        <w:t>财政拨款收入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事业收入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经营收入</w:t>
      </w:r>
      <w:r>
        <w:rPr>
          <w:rFonts w:ascii="Arial" w:hAnsi="Arial" w:cs="Arial"/>
        </w:rPr>
        <w:t>”</w:t>
      </w:r>
      <w:r>
        <w:rPr>
          <w:rFonts w:ascii="Arial" w:cs="Arial" w:hAnsiTheme="minorEastAsia"/>
        </w:rPr>
        <w:t>等以外的收入。</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四、基本支出</w:t>
      </w:r>
      <w:r>
        <w:rPr>
          <w:rFonts w:ascii="Arial" w:hAnsi="Arial" w:cs="Arial"/>
        </w:rPr>
        <w:t>:</w:t>
      </w:r>
      <w:r>
        <w:rPr>
          <w:rFonts w:ascii="Arial" w:cs="Arial" w:hAnsiTheme="minorEastAsia"/>
        </w:rPr>
        <w:t>指为保障机构正常运转、完成日常工作任务而发生的人员支出和公用支出。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五、项目支出</w:t>
      </w:r>
      <w:r>
        <w:rPr>
          <w:rFonts w:ascii="Arial" w:hAnsi="Arial" w:cs="Arial"/>
        </w:rPr>
        <w:t>:</w:t>
      </w:r>
      <w:r>
        <w:rPr>
          <w:rFonts w:ascii="Arial" w:cs="Arial" w:hAnsiTheme="minorEastAsia"/>
        </w:rPr>
        <w:t>指在基本支出之外为完成特定行政任务和事业发展目标所发生的支出。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六、一般公共服务支出</w:t>
      </w:r>
      <w:r>
        <w:rPr>
          <w:rFonts w:ascii="Arial" w:hAnsi="Arial" w:cs="Arial"/>
        </w:rPr>
        <w:t>:</w:t>
      </w:r>
      <w:r>
        <w:rPr>
          <w:rFonts w:ascii="Arial" w:cs="Arial" w:hAnsiTheme="minorEastAsia"/>
        </w:rPr>
        <w:t>反映政府提供一般公共服务的支出。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七、社会保障和就业支出</w:t>
      </w:r>
      <w:r>
        <w:rPr>
          <w:rFonts w:ascii="Arial" w:hAnsi="Arial" w:cs="Arial"/>
        </w:rPr>
        <w:t>:</w:t>
      </w:r>
      <w:r>
        <w:rPr>
          <w:rFonts w:ascii="Arial" w:cs="Arial" w:hAnsiTheme="minorEastAsia"/>
        </w:rPr>
        <w:t>反映政府在社会保障与就业方面的支出。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八、卫生健康支出</w:t>
      </w:r>
      <w:r>
        <w:rPr>
          <w:rFonts w:ascii="Arial" w:hAnsi="Arial" w:cs="Arial"/>
        </w:rPr>
        <w:t>:</w:t>
      </w:r>
      <w:r>
        <w:rPr>
          <w:rFonts w:ascii="Arial" w:cs="Arial" w:hAnsiTheme="minorEastAsia"/>
        </w:rPr>
        <w:t>反映政府卫生健康方面的支出。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九、住房保障支出</w:t>
      </w:r>
      <w:r>
        <w:rPr>
          <w:rFonts w:ascii="Arial" w:hAnsi="Arial" w:cs="Arial"/>
        </w:rPr>
        <w:t>:</w:t>
      </w:r>
      <w:r>
        <w:rPr>
          <w:rFonts w:ascii="Arial" w:cs="Arial" w:hAnsiTheme="minorEastAsia"/>
        </w:rPr>
        <w:t>集中反映政府用于住房方面的支出。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纳入财政预决算管理的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是指各部门用财政拨款安排的因公出国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费、公务用车购置及运行费和公务接待费。其中</w:t>
      </w:r>
      <w:r>
        <w:rPr>
          <w:rFonts w:ascii="Arial" w:hAnsi="Arial" w:cs="Arial"/>
        </w:rPr>
        <w:t>,</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费反映单位公务出国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的国际旅费、国外城市间交通费、住宿费、伙食费、培训费、公杂费等支出</w:t>
      </w:r>
      <w:r>
        <w:rPr>
          <w:rFonts w:ascii="Arial" w:hAnsi="Arial" w:cs="Arial"/>
        </w:rPr>
        <w:t>;</w:t>
      </w:r>
      <w:r>
        <w:rPr>
          <w:rFonts w:ascii="Arial" w:cs="Arial" w:hAnsiTheme="minorEastAsia"/>
        </w:rPr>
        <w:t>公务用车购置及运行费反映单位公务用车车辆购置支出</w:t>
      </w:r>
      <w:r>
        <w:rPr>
          <w:rFonts w:ascii="Arial" w:hAnsi="Arial" w:cs="Arial"/>
        </w:rPr>
        <w:t>(</w:t>
      </w:r>
      <w:r>
        <w:rPr>
          <w:rFonts w:ascii="Arial" w:cs="Arial" w:hAnsiTheme="minorEastAsia"/>
        </w:rPr>
        <w:t>含车辆购置税</w:t>
      </w:r>
      <w:r>
        <w:rPr>
          <w:rFonts w:ascii="Arial" w:hAnsi="Arial" w:cs="Arial"/>
        </w:rPr>
        <w:t>)</w:t>
      </w:r>
      <w:r>
        <w:rPr>
          <w:rFonts w:ascii="Arial" w:cs="Arial" w:hAnsiTheme="minorEastAsia"/>
        </w:rPr>
        <w:t>及租用费、燃料费、维修费、过路过桥费、保险费、安全奖励费用等支出</w:t>
      </w:r>
      <w:r>
        <w:rPr>
          <w:rFonts w:ascii="Arial" w:hAnsi="Arial" w:cs="Arial"/>
        </w:rPr>
        <w:t>;</w:t>
      </w:r>
      <w:r>
        <w:rPr>
          <w:rFonts w:ascii="Arial" w:cs="Arial" w:hAnsiTheme="minorEastAsia"/>
        </w:rPr>
        <w:t>公务接待费反映单位按规定开支的各类公务接待</w:t>
      </w:r>
      <w:r>
        <w:rPr>
          <w:rFonts w:ascii="Arial" w:hAnsi="Arial" w:cs="Arial"/>
        </w:rPr>
        <w:t>(</w:t>
      </w:r>
      <w:r>
        <w:rPr>
          <w:rFonts w:ascii="Arial" w:cs="Arial" w:hAnsiTheme="minorEastAsia"/>
        </w:rPr>
        <w:t>含外宾接待</w:t>
      </w:r>
      <w:r>
        <w:rPr>
          <w:rFonts w:ascii="Arial" w:hAnsi="Arial" w:cs="Arial"/>
        </w:rPr>
        <w:t>)</w:t>
      </w:r>
      <w:r>
        <w:rPr>
          <w:rFonts w:ascii="Arial" w:cs="Arial" w:hAnsiTheme="minorEastAsia"/>
        </w:rPr>
        <w:t>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十一、机关运行经费</w:t>
      </w:r>
      <w:r>
        <w:rPr>
          <w:rFonts w:ascii="Arial" w:hAnsi="Arial" w:cs="Arial"/>
        </w:rPr>
        <w:t>:</w:t>
      </w:r>
      <w:r>
        <w:rPr>
          <w:rFonts w:ascii="Arial" w:cs="Arial" w:hAnsiTheme="minorEastAsia"/>
        </w:rPr>
        <w:t>为保障行政单位</w:t>
      </w:r>
      <w:r>
        <w:rPr>
          <w:rFonts w:ascii="Arial" w:hAnsi="Arial" w:cs="Arial"/>
        </w:rPr>
        <w:t>(</w:t>
      </w:r>
      <w:r>
        <w:rPr>
          <w:rFonts w:ascii="Arial" w:cs="Arial" w:hAnsiTheme="minorEastAsia"/>
        </w:rPr>
        <w:t>含参照公务员法管理的事业单位</w:t>
      </w:r>
      <w:r>
        <w:rPr>
          <w:rFonts w:ascii="Arial" w:hAnsi="Arial" w:cs="Arial"/>
        </w:rPr>
        <w:t>)</w:t>
      </w:r>
      <w:r>
        <w:rPr>
          <w:rFonts w:ascii="Arial" w:cs="Arial" w:hAnsiTheme="minorEastAsia"/>
        </w:rPr>
        <w:t>运行用于购买货物和服务的各项资金</w:t>
      </w:r>
      <w:r>
        <w:rPr>
          <w:rFonts w:ascii="Arial" w:hAnsi="Arial" w:cs="Arial"/>
        </w:rPr>
        <w:t>,</w:t>
      </w:r>
      <w:r>
        <w:rPr>
          <w:rFonts w:ascii="Arial" w:cs="Arial" w:hAnsiTheme="minorEastAsia"/>
        </w:rPr>
        <w:t>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十二、一般行政管理事务：反映行政单位（包括实行公务员管理的事业单位）的基本支出。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十三、其他组织事务支出：反映除上述项目以外其他用于中国共产党组织部门的事务支出。</w:t>
      </w:r>
    </w:p>
    <w:p>
      <w:pPr>
        <w:pStyle w:val="4"/>
        <w:widowControl/>
        <w:shd w:val="clear" w:color="auto" w:fill="FFFFFF"/>
        <w:spacing w:before="150" w:beforeAutospacing="0" w:after="150" w:afterAutospacing="0" w:line="500" w:lineRule="exact"/>
        <w:ind w:firstLine="480" w:firstLineChars="200"/>
        <w:rPr>
          <w:rFonts w:ascii="Arial" w:hAnsi="Arial" w:cs="Arial"/>
        </w:rPr>
      </w:pPr>
      <w:r>
        <w:rPr>
          <w:rFonts w:ascii="Arial" w:cs="Arial" w:hAnsiTheme="minorEastAsia"/>
        </w:rPr>
        <w:t>十四、机关事业单位基本养老保险缴费支出：反映机关事业单位实施养老保险制度由单位缴纳的基本养老保险费支出。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十五、机关事业单位职业年金缴费支出：反映机关事业单位实施养老保险制度由单位实际缴纳的职业年金支出。</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十六、其他社会保障和就业支出：反映除上述项目以外其他用于社会保障和就业方面的支出。</w:t>
      </w:r>
    </w:p>
    <w:p>
      <w:pPr>
        <w:pStyle w:val="4"/>
        <w:widowControl/>
        <w:shd w:val="clear" w:color="auto" w:fill="FFFFFF"/>
        <w:spacing w:before="150" w:beforeAutospacing="0" w:after="150" w:afterAutospacing="0" w:line="500" w:lineRule="exact"/>
        <w:ind w:firstLine="480" w:firstLineChars="200"/>
        <w:rPr>
          <w:rFonts w:ascii="Arial" w:hAnsi="Arial" w:cs="Arial"/>
        </w:rPr>
      </w:pPr>
      <w:r>
        <w:rPr>
          <w:rFonts w:ascii="Arial" w:cs="Arial" w:hAnsiTheme="minorEastAsia"/>
        </w:rPr>
        <w:t>十七、行政单位医疗：反映财政部门集中安排的行政单位基本医疗保险缴费经费，未参加医疗保险的行政单位的公费医疗经费，按国家规定享受离休人员待遇的医疗保险。</w:t>
      </w:r>
    </w:p>
    <w:p>
      <w:pPr>
        <w:pStyle w:val="4"/>
        <w:widowControl/>
        <w:spacing w:before="150" w:beforeAutospacing="0" w:after="150" w:afterAutospacing="0" w:line="500" w:lineRule="exact"/>
        <w:ind w:firstLine="480" w:firstLineChars="200"/>
        <w:rPr>
          <w:rFonts w:ascii="Arial" w:hAnsi="Arial" w:cs="Arial"/>
        </w:rPr>
      </w:pPr>
      <w:r>
        <w:rPr>
          <w:rFonts w:ascii="Arial" w:cs="Arial" w:hAnsiTheme="minorEastAsia"/>
        </w:rPr>
        <w:t>十八、其他行政事业单位医疗支出：反映除上述项目以外的其他用于行政事业单位医疗方面的支出。</w:t>
      </w:r>
    </w:p>
    <w:p>
      <w:pPr>
        <w:pStyle w:val="4"/>
        <w:widowControl/>
        <w:shd w:val="clear" w:color="auto" w:fill="FFFFFF"/>
        <w:spacing w:before="150" w:beforeAutospacing="0" w:after="150" w:afterAutospacing="0" w:line="500" w:lineRule="exact"/>
        <w:ind w:firstLine="480" w:firstLineChars="200"/>
        <w:rPr>
          <w:rFonts w:ascii="Arial" w:hAnsi="Arial" w:cs="Arial"/>
        </w:rPr>
      </w:pPr>
      <w:r>
        <w:rPr>
          <w:rFonts w:ascii="Arial" w:cs="Arial" w:hAnsiTheme="minorEastAsia"/>
        </w:rPr>
        <w:t>十九、住房公积金：反映行政事业单位按人力资源和社会保障部、财政部规定的基本工资和津贴补贴以及规定比例为职工缴纳的住房公积金。</w:t>
      </w:r>
    </w:p>
    <w:p>
      <w:pPr>
        <w:pStyle w:val="4"/>
        <w:widowControl/>
        <w:spacing w:before="150" w:beforeAutospacing="0" w:after="150" w:afterAutospacing="0" w:line="500" w:lineRule="exact"/>
        <w:ind w:firstLine="420"/>
        <w:rPr>
          <w:rFonts w:ascii="Arial" w:hAnsi="Arial" w:cs="Arial"/>
        </w:rPr>
      </w:pPr>
    </w:p>
    <w:p>
      <w:pPr>
        <w:pStyle w:val="4"/>
        <w:widowControl/>
        <w:spacing w:line="500" w:lineRule="exact"/>
        <w:rPr>
          <w:rFonts w:ascii="Arial" w:hAnsi="Arial" w:cs="Arial"/>
        </w:rPr>
      </w:pPr>
      <w:r>
        <w:rPr>
          <w:rFonts w:ascii="Arial" w:hAnsi="Arial" w:cs="Arial"/>
        </w:rPr>
        <w:t>​</w:t>
      </w:r>
    </w:p>
    <w:p>
      <w:pPr>
        <w:spacing w:line="500" w:lineRule="exact"/>
        <w:rPr>
          <w:rFonts w:ascii="Arial" w:hAnsi="Arial" w:cs="Arial"/>
          <w:sz w:val="24"/>
          <w:szCs w:val="24"/>
        </w:rPr>
      </w:pPr>
    </w:p>
    <w:sectPr>
      <w:headerReference r:id="rId3" w:type="default"/>
      <w:footerReference r:id="rId4" w:type="default"/>
      <w:footerReference r:id="rId5"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hAnsi="宋体" w:cs="宋体"/>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宋体" w:hAnsi="宋体" w:cs="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hAnsi="宋体" w:cs="宋体"/>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宋体" w:hAnsi="宋体" w:cs="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mNDc3OGQ4OTg3MmRmOTU1YjliY2U4MTdlYzU0ZTcifQ=="/>
  </w:docVars>
  <w:rsids>
    <w:rsidRoot w:val="255B155F"/>
    <w:rsid w:val="003D6468"/>
    <w:rsid w:val="00421C84"/>
    <w:rsid w:val="00535E7A"/>
    <w:rsid w:val="00681BE2"/>
    <w:rsid w:val="006C2E5C"/>
    <w:rsid w:val="009049D8"/>
    <w:rsid w:val="00997D30"/>
    <w:rsid w:val="00A845B1"/>
    <w:rsid w:val="00C60E68"/>
    <w:rsid w:val="00D72607"/>
    <w:rsid w:val="00EF5BA2"/>
    <w:rsid w:val="01415CD2"/>
    <w:rsid w:val="0187402D"/>
    <w:rsid w:val="01AA7D1B"/>
    <w:rsid w:val="020531A4"/>
    <w:rsid w:val="021B6523"/>
    <w:rsid w:val="022C2E9B"/>
    <w:rsid w:val="025832D3"/>
    <w:rsid w:val="0270686F"/>
    <w:rsid w:val="02FE3E7B"/>
    <w:rsid w:val="031C69F7"/>
    <w:rsid w:val="034321D6"/>
    <w:rsid w:val="037405E1"/>
    <w:rsid w:val="03EF1A15"/>
    <w:rsid w:val="0454274D"/>
    <w:rsid w:val="047D100A"/>
    <w:rsid w:val="048B3E34"/>
    <w:rsid w:val="04BA64C7"/>
    <w:rsid w:val="04C75BAA"/>
    <w:rsid w:val="04F55EF7"/>
    <w:rsid w:val="054162A1"/>
    <w:rsid w:val="05502988"/>
    <w:rsid w:val="05600E1D"/>
    <w:rsid w:val="05941421"/>
    <w:rsid w:val="0599432F"/>
    <w:rsid w:val="068707C4"/>
    <w:rsid w:val="069A65B0"/>
    <w:rsid w:val="06CB62A4"/>
    <w:rsid w:val="06DF3FC3"/>
    <w:rsid w:val="070E48A8"/>
    <w:rsid w:val="070E6657"/>
    <w:rsid w:val="07B23486"/>
    <w:rsid w:val="07F65A68"/>
    <w:rsid w:val="08964B56"/>
    <w:rsid w:val="08E104C7"/>
    <w:rsid w:val="08F655F4"/>
    <w:rsid w:val="090E293E"/>
    <w:rsid w:val="091066B6"/>
    <w:rsid w:val="09866978"/>
    <w:rsid w:val="0A287A2F"/>
    <w:rsid w:val="0A540824"/>
    <w:rsid w:val="0A6A2374"/>
    <w:rsid w:val="0AAC240E"/>
    <w:rsid w:val="0AE64D56"/>
    <w:rsid w:val="0B154457"/>
    <w:rsid w:val="0B680A2B"/>
    <w:rsid w:val="0BAB4DBC"/>
    <w:rsid w:val="0C5138FA"/>
    <w:rsid w:val="0C564D28"/>
    <w:rsid w:val="0C6A2581"/>
    <w:rsid w:val="0CA5180B"/>
    <w:rsid w:val="0D5F648C"/>
    <w:rsid w:val="0DF93BBD"/>
    <w:rsid w:val="0E2C21E4"/>
    <w:rsid w:val="0E2F75DE"/>
    <w:rsid w:val="0E4D5CB6"/>
    <w:rsid w:val="0ED91C40"/>
    <w:rsid w:val="0EE24651"/>
    <w:rsid w:val="0EEF4FBF"/>
    <w:rsid w:val="0EF600FC"/>
    <w:rsid w:val="0F87169C"/>
    <w:rsid w:val="0F900551"/>
    <w:rsid w:val="0F96368D"/>
    <w:rsid w:val="0FAC4C5F"/>
    <w:rsid w:val="0FB3423F"/>
    <w:rsid w:val="0FB87AA7"/>
    <w:rsid w:val="0FBD6E6C"/>
    <w:rsid w:val="10563548"/>
    <w:rsid w:val="10703EDE"/>
    <w:rsid w:val="109127D2"/>
    <w:rsid w:val="11357601"/>
    <w:rsid w:val="117758BA"/>
    <w:rsid w:val="119836EC"/>
    <w:rsid w:val="11E701D0"/>
    <w:rsid w:val="121C60CC"/>
    <w:rsid w:val="124C08C2"/>
    <w:rsid w:val="126006AE"/>
    <w:rsid w:val="12AA7B7B"/>
    <w:rsid w:val="12D1335A"/>
    <w:rsid w:val="12E27315"/>
    <w:rsid w:val="13180F89"/>
    <w:rsid w:val="138F28CD"/>
    <w:rsid w:val="13CC3B21"/>
    <w:rsid w:val="14952165"/>
    <w:rsid w:val="14BD6FE9"/>
    <w:rsid w:val="1594241D"/>
    <w:rsid w:val="159B19FD"/>
    <w:rsid w:val="15C03212"/>
    <w:rsid w:val="15D078F9"/>
    <w:rsid w:val="15EC04AB"/>
    <w:rsid w:val="165F0C7D"/>
    <w:rsid w:val="170F4451"/>
    <w:rsid w:val="17214184"/>
    <w:rsid w:val="17375756"/>
    <w:rsid w:val="17A0779F"/>
    <w:rsid w:val="17DD00AB"/>
    <w:rsid w:val="17DD7A00"/>
    <w:rsid w:val="19AF7825"/>
    <w:rsid w:val="19F45B80"/>
    <w:rsid w:val="1A385A6D"/>
    <w:rsid w:val="1A6E5932"/>
    <w:rsid w:val="1B656D35"/>
    <w:rsid w:val="1BAA0BEC"/>
    <w:rsid w:val="1C1222ED"/>
    <w:rsid w:val="1C427076"/>
    <w:rsid w:val="1CC57360"/>
    <w:rsid w:val="1D1F4CC2"/>
    <w:rsid w:val="1D525097"/>
    <w:rsid w:val="1DA376A1"/>
    <w:rsid w:val="1DEF0B38"/>
    <w:rsid w:val="1E636E30"/>
    <w:rsid w:val="1EE00481"/>
    <w:rsid w:val="1F3507CD"/>
    <w:rsid w:val="1F644B96"/>
    <w:rsid w:val="1FA83694"/>
    <w:rsid w:val="1FBF278C"/>
    <w:rsid w:val="2078134F"/>
    <w:rsid w:val="20857532"/>
    <w:rsid w:val="20BC4690"/>
    <w:rsid w:val="20BF0C96"/>
    <w:rsid w:val="20C242E2"/>
    <w:rsid w:val="2129610F"/>
    <w:rsid w:val="215C4736"/>
    <w:rsid w:val="21624D20"/>
    <w:rsid w:val="216E6218"/>
    <w:rsid w:val="21B40858"/>
    <w:rsid w:val="21ED538F"/>
    <w:rsid w:val="21F52495"/>
    <w:rsid w:val="22370D00"/>
    <w:rsid w:val="22A00653"/>
    <w:rsid w:val="23166B67"/>
    <w:rsid w:val="231D7EF5"/>
    <w:rsid w:val="23855F21"/>
    <w:rsid w:val="239161EE"/>
    <w:rsid w:val="23E7405F"/>
    <w:rsid w:val="24C3687B"/>
    <w:rsid w:val="24CE24E6"/>
    <w:rsid w:val="255B155F"/>
    <w:rsid w:val="256718FC"/>
    <w:rsid w:val="25710085"/>
    <w:rsid w:val="258A1100"/>
    <w:rsid w:val="258F5248"/>
    <w:rsid w:val="25BC1C48"/>
    <w:rsid w:val="2629095F"/>
    <w:rsid w:val="2637307C"/>
    <w:rsid w:val="26AA7CF2"/>
    <w:rsid w:val="27084A19"/>
    <w:rsid w:val="27167136"/>
    <w:rsid w:val="28485A15"/>
    <w:rsid w:val="288D78CB"/>
    <w:rsid w:val="289229E4"/>
    <w:rsid w:val="28976054"/>
    <w:rsid w:val="28D92B11"/>
    <w:rsid w:val="29C94933"/>
    <w:rsid w:val="2A1F09F7"/>
    <w:rsid w:val="2A337FFE"/>
    <w:rsid w:val="2A5A1A2F"/>
    <w:rsid w:val="2A720FDA"/>
    <w:rsid w:val="2A816FBC"/>
    <w:rsid w:val="2AF07C9E"/>
    <w:rsid w:val="2B2636BF"/>
    <w:rsid w:val="2B560448"/>
    <w:rsid w:val="2B82123D"/>
    <w:rsid w:val="2BCC4267"/>
    <w:rsid w:val="2BEE0681"/>
    <w:rsid w:val="2C41568D"/>
    <w:rsid w:val="2C7D1A05"/>
    <w:rsid w:val="2CED6B8B"/>
    <w:rsid w:val="2DE53D06"/>
    <w:rsid w:val="2DE735DA"/>
    <w:rsid w:val="2DEA131C"/>
    <w:rsid w:val="2E472931"/>
    <w:rsid w:val="2E4E3659"/>
    <w:rsid w:val="2E6E5AA9"/>
    <w:rsid w:val="2EA4771D"/>
    <w:rsid w:val="2EE1627B"/>
    <w:rsid w:val="2F4131BE"/>
    <w:rsid w:val="2F6A001E"/>
    <w:rsid w:val="2F6F7D2B"/>
    <w:rsid w:val="2FB92D54"/>
    <w:rsid w:val="2FF95846"/>
    <w:rsid w:val="30515682"/>
    <w:rsid w:val="30843362"/>
    <w:rsid w:val="30BA4FD6"/>
    <w:rsid w:val="30D616E4"/>
    <w:rsid w:val="313A7EC4"/>
    <w:rsid w:val="31C11B09"/>
    <w:rsid w:val="320A7897"/>
    <w:rsid w:val="320D7387"/>
    <w:rsid w:val="32250B75"/>
    <w:rsid w:val="32607DFF"/>
    <w:rsid w:val="32870EE7"/>
    <w:rsid w:val="32F72511"/>
    <w:rsid w:val="33260700"/>
    <w:rsid w:val="332D1844"/>
    <w:rsid w:val="336D632F"/>
    <w:rsid w:val="33945FB2"/>
    <w:rsid w:val="33A12012"/>
    <w:rsid w:val="33BA709B"/>
    <w:rsid w:val="34735BC7"/>
    <w:rsid w:val="34A71D15"/>
    <w:rsid w:val="34FF38FF"/>
    <w:rsid w:val="35531555"/>
    <w:rsid w:val="359A7184"/>
    <w:rsid w:val="35DE3514"/>
    <w:rsid w:val="364A6DFC"/>
    <w:rsid w:val="368A7B3B"/>
    <w:rsid w:val="36D8085D"/>
    <w:rsid w:val="37132BC8"/>
    <w:rsid w:val="375C0B95"/>
    <w:rsid w:val="37B87D95"/>
    <w:rsid w:val="38806B05"/>
    <w:rsid w:val="391536F1"/>
    <w:rsid w:val="3962620A"/>
    <w:rsid w:val="39A607ED"/>
    <w:rsid w:val="39F72DF7"/>
    <w:rsid w:val="3A810912"/>
    <w:rsid w:val="3ABC7B9C"/>
    <w:rsid w:val="3ADD023E"/>
    <w:rsid w:val="3AE96BE3"/>
    <w:rsid w:val="3B862684"/>
    <w:rsid w:val="3CE21B3C"/>
    <w:rsid w:val="3D023F8C"/>
    <w:rsid w:val="3D147C87"/>
    <w:rsid w:val="3D255ECD"/>
    <w:rsid w:val="3D8B21D4"/>
    <w:rsid w:val="3D995F73"/>
    <w:rsid w:val="3DC01751"/>
    <w:rsid w:val="3DCE3E6E"/>
    <w:rsid w:val="3DEB4A20"/>
    <w:rsid w:val="3E7E5894"/>
    <w:rsid w:val="3E80785E"/>
    <w:rsid w:val="3EAE1B8B"/>
    <w:rsid w:val="3ECA6D2C"/>
    <w:rsid w:val="3EF82F39"/>
    <w:rsid w:val="3F4940F4"/>
    <w:rsid w:val="3F6F78D3"/>
    <w:rsid w:val="3F9B5FD2"/>
    <w:rsid w:val="3FA04C43"/>
    <w:rsid w:val="4004626D"/>
    <w:rsid w:val="401F09B1"/>
    <w:rsid w:val="402406BD"/>
    <w:rsid w:val="40B97058"/>
    <w:rsid w:val="40E37C31"/>
    <w:rsid w:val="41016309"/>
    <w:rsid w:val="41055DF9"/>
    <w:rsid w:val="412D5350"/>
    <w:rsid w:val="41801923"/>
    <w:rsid w:val="41B96BE3"/>
    <w:rsid w:val="41F52311"/>
    <w:rsid w:val="42B37AD7"/>
    <w:rsid w:val="43413334"/>
    <w:rsid w:val="43574906"/>
    <w:rsid w:val="439B0C97"/>
    <w:rsid w:val="44332C7D"/>
    <w:rsid w:val="443A04B0"/>
    <w:rsid w:val="44C61D43"/>
    <w:rsid w:val="44C63AF1"/>
    <w:rsid w:val="44E126B9"/>
    <w:rsid w:val="44ED72D0"/>
    <w:rsid w:val="45344EFF"/>
    <w:rsid w:val="454A4722"/>
    <w:rsid w:val="45E561F9"/>
    <w:rsid w:val="464B69A4"/>
    <w:rsid w:val="465B470D"/>
    <w:rsid w:val="46603AD2"/>
    <w:rsid w:val="46713F31"/>
    <w:rsid w:val="4678706D"/>
    <w:rsid w:val="46801369"/>
    <w:rsid w:val="46971BE9"/>
    <w:rsid w:val="46A95479"/>
    <w:rsid w:val="47CF53B3"/>
    <w:rsid w:val="47CF7161"/>
    <w:rsid w:val="486D24D6"/>
    <w:rsid w:val="48981C49"/>
    <w:rsid w:val="48C540C0"/>
    <w:rsid w:val="48EB7FCA"/>
    <w:rsid w:val="49276041"/>
    <w:rsid w:val="49301E81"/>
    <w:rsid w:val="49373210"/>
    <w:rsid w:val="495E079C"/>
    <w:rsid w:val="49653EE4"/>
    <w:rsid w:val="49D722FD"/>
    <w:rsid w:val="49DB003F"/>
    <w:rsid w:val="49E05655"/>
    <w:rsid w:val="4A054B02"/>
    <w:rsid w:val="4A070E34"/>
    <w:rsid w:val="4A246FD1"/>
    <w:rsid w:val="4A547DF1"/>
    <w:rsid w:val="4A600544"/>
    <w:rsid w:val="4A77763C"/>
    <w:rsid w:val="4A802994"/>
    <w:rsid w:val="4A9B77CE"/>
    <w:rsid w:val="4AA20B5D"/>
    <w:rsid w:val="4B217CD3"/>
    <w:rsid w:val="4BB2766B"/>
    <w:rsid w:val="4BBD1FBC"/>
    <w:rsid w:val="4BD27220"/>
    <w:rsid w:val="4C0B6FE2"/>
    <w:rsid w:val="4C9B5863"/>
    <w:rsid w:val="4CC37CD5"/>
    <w:rsid w:val="4D043409"/>
    <w:rsid w:val="4D111FCA"/>
    <w:rsid w:val="4E01203E"/>
    <w:rsid w:val="4E3C3076"/>
    <w:rsid w:val="4E4168DE"/>
    <w:rsid w:val="4E870795"/>
    <w:rsid w:val="4EB1136E"/>
    <w:rsid w:val="4F18319B"/>
    <w:rsid w:val="4F4B17C3"/>
    <w:rsid w:val="4F4F0B87"/>
    <w:rsid w:val="4F5E5E6E"/>
    <w:rsid w:val="4F7D3946"/>
    <w:rsid w:val="503114CC"/>
    <w:rsid w:val="506F7733"/>
    <w:rsid w:val="50EF2622"/>
    <w:rsid w:val="51121E6C"/>
    <w:rsid w:val="511F2F07"/>
    <w:rsid w:val="514566E6"/>
    <w:rsid w:val="515626A1"/>
    <w:rsid w:val="51C615D4"/>
    <w:rsid w:val="51FD2B1C"/>
    <w:rsid w:val="51FD48CA"/>
    <w:rsid w:val="520E7FA5"/>
    <w:rsid w:val="52636E23"/>
    <w:rsid w:val="52952D55"/>
    <w:rsid w:val="52A641CC"/>
    <w:rsid w:val="533267F6"/>
    <w:rsid w:val="53890B0C"/>
    <w:rsid w:val="53DD2C05"/>
    <w:rsid w:val="54091C4C"/>
    <w:rsid w:val="541A1764"/>
    <w:rsid w:val="54244390"/>
    <w:rsid w:val="54422A68"/>
    <w:rsid w:val="54E35FFA"/>
    <w:rsid w:val="55142657"/>
    <w:rsid w:val="55A25EB5"/>
    <w:rsid w:val="55CC1183"/>
    <w:rsid w:val="55D32512"/>
    <w:rsid w:val="55DA564E"/>
    <w:rsid w:val="5730129E"/>
    <w:rsid w:val="57715B3F"/>
    <w:rsid w:val="57882E88"/>
    <w:rsid w:val="57DE0CFA"/>
    <w:rsid w:val="580A1AEF"/>
    <w:rsid w:val="581408D2"/>
    <w:rsid w:val="58801DB1"/>
    <w:rsid w:val="58BF28DA"/>
    <w:rsid w:val="58C72F7C"/>
    <w:rsid w:val="58D2260D"/>
    <w:rsid w:val="59945B14"/>
    <w:rsid w:val="59F241AF"/>
    <w:rsid w:val="5A252C10"/>
    <w:rsid w:val="5A3D43FE"/>
    <w:rsid w:val="5A407A4A"/>
    <w:rsid w:val="5A490FF5"/>
    <w:rsid w:val="5A7C2CDD"/>
    <w:rsid w:val="5A7E4E87"/>
    <w:rsid w:val="5ADA7E9F"/>
    <w:rsid w:val="5B127639"/>
    <w:rsid w:val="5B294982"/>
    <w:rsid w:val="5BA66421"/>
    <w:rsid w:val="5BB66216"/>
    <w:rsid w:val="5C841E70"/>
    <w:rsid w:val="5C8C341B"/>
    <w:rsid w:val="5CA00C74"/>
    <w:rsid w:val="5CB32755"/>
    <w:rsid w:val="5D0B433F"/>
    <w:rsid w:val="5D50567D"/>
    <w:rsid w:val="5DA16A52"/>
    <w:rsid w:val="5DB1138B"/>
    <w:rsid w:val="5E6E2DD8"/>
    <w:rsid w:val="5F3A0F0C"/>
    <w:rsid w:val="5F661D01"/>
    <w:rsid w:val="5F69359F"/>
    <w:rsid w:val="5F7F2DC3"/>
    <w:rsid w:val="5F954394"/>
    <w:rsid w:val="5FA236F0"/>
    <w:rsid w:val="60235E44"/>
    <w:rsid w:val="60F872D1"/>
    <w:rsid w:val="612B6C21"/>
    <w:rsid w:val="617C3A5E"/>
    <w:rsid w:val="61CD6067"/>
    <w:rsid w:val="62065A1D"/>
    <w:rsid w:val="62467BC8"/>
    <w:rsid w:val="62634C1E"/>
    <w:rsid w:val="627D5B18"/>
    <w:rsid w:val="6333639E"/>
    <w:rsid w:val="637013A0"/>
    <w:rsid w:val="6384309D"/>
    <w:rsid w:val="63A96660"/>
    <w:rsid w:val="63FC2C34"/>
    <w:rsid w:val="640B2E77"/>
    <w:rsid w:val="644545DB"/>
    <w:rsid w:val="64891600"/>
    <w:rsid w:val="64C73242"/>
    <w:rsid w:val="64E33DF4"/>
    <w:rsid w:val="65624D19"/>
    <w:rsid w:val="657A6506"/>
    <w:rsid w:val="65856C59"/>
    <w:rsid w:val="65DD0843"/>
    <w:rsid w:val="65DF0A5F"/>
    <w:rsid w:val="66B9305E"/>
    <w:rsid w:val="677D5BED"/>
    <w:rsid w:val="67B57CC9"/>
    <w:rsid w:val="67C1041C"/>
    <w:rsid w:val="68324E76"/>
    <w:rsid w:val="68863414"/>
    <w:rsid w:val="68FA68F9"/>
    <w:rsid w:val="69196036"/>
    <w:rsid w:val="693D1D24"/>
    <w:rsid w:val="69670B4F"/>
    <w:rsid w:val="698A6F34"/>
    <w:rsid w:val="699A5717"/>
    <w:rsid w:val="6A3A6264"/>
    <w:rsid w:val="6A58493C"/>
    <w:rsid w:val="6AC87E46"/>
    <w:rsid w:val="6AD40467"/>
    <w:rsid w:val="6AFC5C0F"/>
    <w:rsid w:val="6B364752"/>
    <w:rsid w:val="6B6F4633"/>
    <w:rsid w:val="6BD9385B"/>
    <w:rsid w:val="6CCB3AEB"/>
    <w:rsid w:val="6CEE3336"/>
    <w:rsid w:val="6E6761C1"/>
    <w:rsid w:val="6ECD20C9"/>
    <w:rsid w:val="6EFD1A48"/>
    <w:rsid w:val="6EFE1F56"/>
    <w:rsid w:val="6F0F4163"/>
    <w:rsid w:val="6F176B74"/>
    <w:rsid w:val="6F307C36"/>
    <w:rsid w:val="6FFD3FBC"/>
    <w:rsid w:val="7040034C"/>
    <w:rsid w:val="706A7177"/>
    <w:rsid w:val="70785D38"/>
    <w:rsid w:val="70DD5B9B"/>
    <w:rsid w:val="70DE20D9"/>
    <w:rsid w:val="70FE448F"/>
    <w:rsid w:val="716F713B"/>
    <w:rsid w:val="71B11502"/>
    <w:rsid w:val="71E371E1"/>
    <w:rsid w:val="721101F2"/>
    <w:rsid w:val="72233A82"/>
    <w:rsid w:val="72CB7276"/>
    <w:rsid w:val="72ED672C"/>
    <w:rsid w:val="732301DD"/>
    <w:rsid w:val="732B7092"/>
    <w:rsid w:val="73326672"/>
    <w:rsid w:val="736507F6"/>
    <w:rsid w:val="73724CC1"/>
    <w:rsid w:val="739249D1"/>
    <w:rsid w:val="73C31078"/>
    <w:rsid w:val="74065409"/>
    <w:rsid w:val="74C94DB4"/>
    <w:rsid w:val="7535244A"/>
    <w:rsid w:val="757840E4"/>
    <w:rsid w:val="75917CED"/>
    <w:rsid w:val="75CB4B5C"/>
    <w:rsid w:val="765D3A06"/>
    <w:rsid w:val="76FB321F"/>
    <w:rsid w:val="76FB6D7B"/>
    <w:rsid w:val="77040325"/>
    <w:rsid w:val="770C71DA"/>
    <w:rsid w:val="772B7660"/>
    <w:rsid w:val="781F4CEB"/>
    <w:rsid w:val="78520C1D"/>
    <w:rsid w:val="78A771BA"/>
    <w:rsid w:val="78DD498A"/>
    <w:rsid w:val="78FD327E"/>
    <w:rsid w:val="79052133"/>
    <w:rsid w:val="795D1F6F"/>
    <w:rsid w:val="79660E24"/>
    <w:rsid w:val="79D815F5"/>
    <w:rsid w:val="7A5A4353"/>
    <w:rsid w:val="7ACF29F8"/>
    <w:rsid w:val="7AE244DA"/>
    <w:rsid w:val="7AE91D0C"/>
    <w:rsid w:val="7AF20495"/>
    <w:rsid w:val="7AFD57B8"/>
    <w:rsid w:val="7B537186"/>
    <w:rsid w:val="7B6E0463"/>
    <w:rsid w:val="7BA61968"/>
    <w:rsid w:val="7BA93249"/>
    <w:rsid w:val="7BB35E76"/>
    <w:rsid w:val="7BF00E78"/>
    <w:rsid w:val="7C10151B"/>
    <w:rsid w:val="7C365023"/>
    <w:rsid w:val="7C75312C"/>
    <w:rsid w:val="7C7948B0"/>
    <w:rsid w:val="7C815F74"/>
    <w:rsid w:val="7C8952E3"/>
    <w:rsid w:val="7C9275E1"/>
    <w:rsid w:val="7CD460A4"/>
    <w:rsid w:val="7D43322A"/>
    <w:rsid w:val="7D5176F5"/>
    <w:rsid w:val="7E27478B"/>
    <w:rsid w:val="7E4C610E"/>
    <w:rsid w:val="7E7C2E97"/>
    <w:rsid w:val="7EB0669D"/>
    <w:rsid w:val="7F062761"/>
    <w:rsid w:val="7F5636E8"/>
    <w:rsid w:val="7F5672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10</Pages>
  <Words>5298</Words>
  <Characters>6036</Characters>
  <Lines>43</Lines>
  <Paragraphs>12</Paragraphs>
  <TotalTime>182</TotalTime>
  <ScaleCrop>false</ScaleCrop>
  <LinksUpToDate>false</LinksUpToDate>
  <CharactersWithSpaces>6045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Administrator</cp:lastModifiedBy>
  <cp:lastPrinted>2023-03-23T09:44:00Z</cp:lastPrinted>
  <dcterms:modified xsi:type="dcterms:W3CDTF">2023-06-30T08:18:14Z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735C88C555744AA596C61A472DAD8BE6</vt:lpwstr>
  </property>
</Properties>
</file>