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150" w:beforeAutospacing="0" w:after="150" w:afterAutospacing="0" w:line="460" w:lineRule="exact"/>
        <w:ind w:firstLine="420"/>
        <w:jc w:val="center"/>
        <w:rPr>
          <w:b/>
        </w:rPr>
      </w:pPr>
    </w:p>
    <w:p>
      <w:pPr>
        <w:pStyle w:val="6"/>
        <w:widowControl/>
        <w:spacing w:before="150" w:beforeAutospacing="0" w:after="150" w:afterAutospacing="0" w:line="460" w:lineRule="exact"/>
        <w:ind w:firstLine="420"/>
        <w:jc w:val="center"/>
        <w:rPr>
          <w:rFonts w:ascii="Arial" w:hAnsi="Arial" w:cs="Arial"/>
        </w:rPr>
      </w:pPr>
      <w:r>
        <w:rPr>
          <w:rFonts w:hint="eastAsia"/>
          <w:b/>
        </w:rPr>
        <w:t>中国人民政治协商会议全州县委员会办公室2023</w:t>
      </w:r>
      <w:r>
        <w:rPr>
          <w:b/>
        </w:rPr>
        <w:t>年部门预算</w:t>
      </w:r>
    </w:p>
    <w:p>
      <w:pPr>
        <w:pStyle w:val="6"/>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6"/>
        <w:widowControl/>
        <w:spacing w:before="150" w:beforeAutospacing="0" w:after="150" w:afterAutospacing="0" w:line="460" w:lineRule="exact"/>
        <w:ind w:firstLine="420"/>
        <w:rPr>
          <w:rFonts w:ascii="Arial" w:hAnsi="Arial" w:cs="Arial"/>
        </w:rPr>
      </w:pPr>
      <w:r>
        <w:rPr>
          <w:rFonts w:ascii="Arial" w:hAnsi="Arial" w:cs="Arial"/>
        </w:rPr>
        <w:t>   第一部分 部门概况</w:t>
      </w:r>
    </w:p>
    <w:p>
      <w:pPr>
        <w:pStyle w:val="6"/>
        <w:widowControl/>
        <w:spacing w:before="150" w:beforeAutospacing="0" w:after="150" w:afterAutospacing="0" w:line="460" w:lineRule="exact"/>
        <w:ind w:firstLine="420"/>
        <w:rPr>
          <w:rFonts w:ascii="Arial" w:hAnsi="Arial" w:cs="Arial"/>
        </w:rPr>
      </w:pPr>
      <w:r>
        <w:rPr>
          <w:rFonts w:ascii="Arial" w:hAnsi="Arial" w:cs="Arial"/>
        </w:rPr>
        <w:t>   一、主要职能职责</w:t>
      </w:r>
    </w:p>
    <w:p>
      <w:pPr>
        <w:pStyle w:val="6"/>
        <w:widowControl/>
        <w:spacing w:before="150" w:beforeAutospacing="0" w:after="150" w:afterAutospacing="0" w:line="460" w:lineRule="exact"/>
        <w:ind w:firstLine="420"/>
        <w:rPr>
          <w:rFonts w:ascii="Arial" w:hAnsi="Arial" w:cs="Arial"/>
        </w:rPr>
      </w:pPr>
      <w:r>
        <w:rPr>
          <w:rFonts w:ascii="Arial" w:hAnsi="Arial" w:cs="Arial"/>
        </w:rPr>
        <w:t>   二、机构设置（本级和二层单位构成）</w:t>
      </w:r>
    </w:p>
    <w:p>
      <w:pPr>
        <w:pStyle w:val="6"/>
        <w:widowControl/>
        <w:spacing w:before="150" w:beforeAutospacing="0" w:after="150" w:afterAutospacing="0" w:line="460" w:lineRule="exact"/>
        <w:ind w:firstLine="420"/>
        <w:rPr>
          <w:rFonts w:ascii="Arial" w:hAnsi="Arial" w:cs="Arial"/>
        </w:rPr>
      </w:pPr>
      <w:r>
        <w:rPr>
          <w:rFonts w:ascii="Arial" w:hAnsi="Arial" w:cs="Arial"/>
        </w:rPr>
        <w:t>   三、编制现状及人员构成（本级和二层单位）</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  四、年度主要工作任务</w:t>
      </w:r>
    </w:p>
    <w:p>
      <w:pPr>
        <w:pStyle w:val="6"/>
        <w:widowControl/>
        <w:spacing w:before="150" w:beforeAutospacing="0" w:after="150" w:afterAutospacing="0" w:line="460" w:lineRule="exact"/>
        <w:ind w:firstLine="420"/>
        <w:rPr>
          <w:rFonts w:ascii="Arial" w:hAnsi="Arial" w:cs="Arial"/>
        </w:rPr>
      </w:pPr>
      <w:r>
        <w:rPr>
          <w:rFonts w:ascii="Arial" w:hAnsi="Arial" w:cs="Arial"/>
        </w:rPr>
        <w:t>   第二部分 部门预算报表</w:t>
      </w:r>
    </w:p>
    <w:p>
      <w:pPr>
        <w:pStyle w:val="6"/>
        <w:widowControl/>
        <w:spacing w:before="150" w:beforeAutospacing="0" w:after="150" w:afterAutospacing="0" w:line="460" w:lineRule="exact"/>
        <w:ind w:firstLine="420"/>
        <w:rPr>
          <w:rFonts w:ascii="Arial" w:hAnsi="Arial" w:cs="Arial"/>
        </w:rPr>
      </w:pPr>
      <w:r>
        <w:rPr>
          <w:rFonts w:ascii="Arial" w:hAnsi="Arial" w:cs="Arial"/>
        </w:rPr>
        <w:t>   一、部门收支总体情况表</w:t>
      </w:r>
    </w:p>
    <w:p>
      <w:pPr>
        <w:pStyle w:val="6"/>
        <w:widowControl/>
        <w:spacing w:before="150" w:beforeAutospacing="0" w:after="150" w:afterAutospacing="0" w:line="460" w:lineRule="exact"/>
        <w:ind w:firstLine="420"/>
        <w:rPr>
          <w:rFonts w:ascii="Arial" w:hAnsi="Arial" w:cs="Arial"/>
        </w:rPr>
      </w:pPr>
      <w:r>
        <w:rPr>
          <w:rFonts w:ascii="Arial" w:hAnsi="Arial" w:cs="Arial"/>
        </w:rPr>
        <w:t>   二、部门收入总体情况表</w:t>
      </w:r>
    </w:p>
    <w:p>
      <w:pPr>
        <w:pStyle w:val="6"/>
        <w:widowControl/>
        <w:spacing w:before="150" w:beforeAutospacing="0" w:after="150" w:afterAutospacing="0" w:line="460" w:lineRule="exact"/>
        <w:ind w:firstLine="420"/>
        <w:rPr>
          <w:rFonts w:ascii="Arial" w:hAnsi="Arial" w:cs="Arial"/>
        </w:rPr>
      </w:pPr>
      <w:r>
        <w:rPr>
          <w:rFonts w:ascii="Arial" w:hAnsi="Arial" w:cs="Arial"/>
        </w:rPr>
        <w:t>   三、部门支出总体情况表</w:t>
      </w:r>
    </w:p>
    <w:p>
      <w:pPr>
        <w:pStyle w:val="6"/>
        <w:widowControl/>
        <w:spacing w:before="150" w:beforeAutospacing="0" w:after="150" w:afterAutospacing="0" w:line="460" w:lineRule="exact"/>
        <w:ind w:firstLine="420"/>
        <w:rPr>
          <w:rFonts w:ascii="Arial" w:hAnsi="Arial" w:cs="Arial"/>
        </w:rPr>
      </w:pPr>
      <w:r>
        <w:rPr>
          <w:rFonts w:ascii="Arial" w:hAnsi="Arial" w:cs="Arial"/>
        </w:rPr>
        <w:t>   四、财政拨款收支总体情况表</w:t>
      </w:r>
    </w:p>
    <w:p>
      <w:pPr>
        <w:pStyle w:val="6"/>
        <w:widowControl/>
        <w:spacing w:before="150" w:beforeAutospacing="0" w:after="150" w:afterAutospacing="0" w:line="460" w:lineRule="exact"/>
        <w:ind w:firstLine="420"/>
        <w:rPr>
          <w:rFonts w:ascii="Arial" w:hAnsi="Arial" w:cs="Arial"/>
        </w:rPr>
      </w:pPr>
      <w:r>
        <w:rPr>
          <w:rFonts w:ascii="Arial" w:hAnsi="Arial" w:cs="Arial"/>
        </w:rPr>
        <w:t>   五、一般公共预算支出情况表</w:t>
      </w:r>
    </w:p>
    <w:p>
      <w:pPr>
        <w:pStyle w:val="6"/>
        <w:widowControl/>
        <w:spacing w:before="150" w:beforeAutospacing="0" w:after="150" w:afterAutospacing="0" w:line="460" w:lineRule="exact"/>
        <w:ind w:firstLine="420"/>
        <w:rPr>
          <w:rFonts w:ascii="Arial" w:hAnsi="Arial" w:cs="Arial"/>
        </w:rPr>
      </w:pPr>
      <w:r>
        <w:rPr>
          <w:rFonts w:ascii="Arial" w:hAnsi="Arial" w:cs="Arial"/>
        </w:rPr>
        <w:t>   六、一般公共预算基本支出情况表</w:t>
      </w:r>
    </w:p>
    <w:p>
      <w:pPr>
        <w:pStyle w:val="6"/>
        <w:widowControl/>
        <w:spacing w:before="150" w:beforeAutospacing="0" w:after="150" w:afterAutospacing="0" w:line="460" w:lineRule="exact"/>
        <w:ind w:firstLine="420"/>
        <w:rPr>
          <w:rFonts w:ascii="Arial" w:hAnsi="Arial" w:cs="Arial"/>
        </w:rPr>
      </w:pPr>
      <w:r>
        <w:rPr>
          <w:rFonts w:ascii="Arial" w:hAnsi="Arial" w:cs="Arial"/>
        </w:rPr>
        <w:t>   七、一般公共预算“三公”经费支出情况表</w:t>
      </w:r>
    </w:p>
    <w:p>
      <w:pPr>
        <w:pStyle w:val="6"/>
        <w:widowControl/>
        <w:spacing w:before="150" w:beforeAutospacing="0" w:after="150" w:afterAutospacing="0" w:line="460" w:lineRule="exact"/>
        <w:ind w:firstLine="420"/>
        <w:rPr>
          <w:rFonts w:ascii="Arial" w:hAnsi="Arial" w:cs="Arial"/>
        </w:rPr>
      </w:pPr>
      <w:r>
        <w:rPr>
          <w:rFonts w:ascii="Arial" w:hAnsi="Arial" w:cs="Arial"/>
        </w:rPr>
        <w:t>   八、政府性基金预算支出情况标</w:t>
      </w:r>
    </w:p>
    <w:p>
      <w:pPr>
        <w:pStyle w:val="6"/>
        <w:widowControl/>
        <w:spacing w:before="150" w:beforeAutospacing="0" w:after="150" w:afterAutospacing="0" w:line="460" w:lineRule="exact"/>
        <w:ind w:firstLine="420"/>
        <w:rPr>
          <w:rFonts w:ascii="Arial" w:hAnsi="Arial" w:cs="Arial"/>
        </w:rPr>
      </w:pPr>
      <w:r>
        <w:rPr>
          <w:rFonts w:ascii="Arial" w:hAnsi="Arial" w:cs="Arial"/>
        </w:rPr>
        <w:t>   第三部分  </w:t>
      </w:r>
      <w:r>
        <w:rPr>
          <w:rFonts w:hint="eastAsia" w:ascii="Arial" w:hAnsi="Arial" w:cs="Arial"/>
        </w:rPr>
        <w:t>2023</w:t>
      </w:r>
      <w:r>
        <w:rPr>
          <w:rFonts w:ascii="Arial" w:hAnsi="Arial" w:cs="Arial"/>
        </w:rPr>
        <w:t>年部门预算情况说明</w:t>
      </w:r>
    </w:p>
    <w:p>
      <w:pPr>
        <w:pStyle w:val="6"/>
        <w:widowControl/>
        <w:spacing w:before="150" w:beforeAutospacing="0" w:after="150" w:afterAutospacing="0" w:line="460" w:lineRule="exact"/>
        <w:ind w:firstLine="420"/>
        <w:rPr>
          <w:rFonts w:ascii="Arial" w:hAnsi="Arial" w:cs="Arial"/>
        </w:rPr>
      </w:pPr>
      <w:r>
        <w:rPr>
          <w:rFonts w:ascii="Arial" w:hAnsi="Arial" w:cs="Arial"/>
        </w:rPr>
        <w:t>   第四部分 专业名词解释</w:t>
      </w:r>
    </w:p>
    <w:p>
      <w:pPr>
        <w:pStyle w:val="6"/>
        <w:widowControl/>
        <w:spacing w:before="150" w:beforeAutospacing="0" w:after="150" w:afterAutospacing="0" w:line="460" w:lineRule="exact"/>
        <w:ind w:firstLine="420"/>
        <w:rPr>
          <w:rFonts w:ascii="Arial" w:hAnsi="Arial" w:cs="Arial"/>
        </w:rPr>
      </w:pPr>
    </w:p>
    <w:p>
      <w:pPr>
        <w:pStyle w:val="6"/>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6"/>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1、政治协商是对国家和地方的大政方针以及政治、经济、文化和社会生活中的重要问题在决策之前进行协商和就决策执行过程中的重要问题进行协商。</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2、民主监督是对国家宪法、法律和法规的实施，重大方针政策的贯彻执行、国家机关及其工作人员的工作，通过建议和批评进行监督。</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3、参政议政是对政治、经济、文化和社会生活中的重要问题以及人民群众普遍关心的问题，开展调查研究，反映社情民意，进行协商讨论。通过调研报告、提案、建议案或其他形式，向中国共产党和国家机关提出意见和建议。</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4、完成县委交办的其他任务。</w:t>
      </w:r>
    </w:p>
    <w:p>
      <w:pPr>
        <w:pStyle w:val="6"/>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2023年我单位部门预算编制单位共  1  个，具体如下：</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行政单位 1 个，即：中国人民政治协商会议全州县委员会。其中内设股室有：政协办公室、提案和社会法制委员会、经济科技和联谊委员会、教文卫体委员会、政协工作研究与委员联络委员会。</w:t>
      </w:r>
    </w:p>
    <w:p>
      <w:pPr>
        <w:pStyle w:val="6"/>
        <w:widowControl/>
        <w:spacing w:before="150" w:beforeAutospacing="0" w:after="150" w:afterAutospacing="0" w:line="460" w:lineRule="exact"/>
        <w:ind w:firstLine="420"/>
        <w:rPr>
          <w:rFonts w:ascii="Arial" w:hAnsi="Arial" w:cs="Arial"/>
        </w:rPr>
      </w:pPr>
      <w:r>
        <w:rPr>
          <w:rFonts w:ascii="Arial" w:hAnsi="Arial" w:cs="Arial"/>
        </w:rPr>
        <w:t> 三、编制现状及人员构成（本级和二层单位）</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政协全州县委员会部门编制人数为 30人，其中：行政编制（含参公单位） 26  人，工勤编制4人。</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编内在职 30 人，其中：行政在职  26 人，工勤在职 4人。离退休人员 19 人，其中：离休人员 0 人，退休人员  19 人。遗属补助人员1人。</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四、年度主要工作任务</w:t>
      </w:r>
    </w:p>
    <w:p>
      <w:pPr>
        <w:pStyle w:val="6"/>
        <w:widowControl/>
        <w:spacing w:before="150" w:beforeAutospacing="0" w:after="150" w:afterAutospacing="0" w:line="460" w:lineRule="exact"/>
        <w:ind w:firstLine="420"/>
        <w:rPr>
          <w:rFonts w:ascii="Arial" w:hAnsi="Arial" w:cs="Arial"/>
        </w:rPr>
      </w:pPr>
      <w:r>
        <w:rPr>
          <w:rFonts w:ascii="Arial" w:hAnsi="Arial" w:cs="Arial"/>
        </w:rPr>
        <w:t>（一）筑牢思想同心，在强化党建引领中突出新特点</w:t>
      </w:r>
    </w:p>
    <w:p>
      <w:pPr>
        <w:pStyle w:val="6"/>
        <w:widowControl/>
        <w:spacing w:before="150" w:beforeAutospacing="0" w:after="150" w:afterAutospacing="0" w:line="460" w:lineRule="exact"/>
        <w:ind w:firstLine="420"/>
        <w:rPr>
          <w:rFonts w:ascii="Arial" w:hAnsi="Arial" w:cs="Arial"/>
        </w:rPr>
      </w:pPr>
      <w:r>
        <w:rPr>
          <w:rFonts w:ascii="Arial" w:hAnsi="Arial" w:cs="Arial"/>
        </w:rPr>
        <w:t>坚持把思想建设摆在首位，以习近平新时代中国特色社会主义思想武装头脑，指导实践。深入</w:t>
      </w:r>
      <w:r>
        <w:rPr>
          <w:rFonts w:hint="eastAsia" w:ascii="Arial" w:hAnsi="Arial" w:cs="Arial"/>
        </w:rPr>
        <w:t>学习宣传贯彻党的二十大精神</w:t>
      </w:r>
      <w:r>
        <w:rPr>
          <w:rFonts w:ascii="Arial" w:hAnsi="Arial" w:cs="Arial"/>
        </w:rPr>
        <w:t>和中央、自治区、市委、县委政协工作会议精神，通过学习培训引导新一届政协委员提高政治站位，</w:t>
      </w:r>
      <w:r>
        <w:rPr>
          <w:rFonts w:hint="eastAsia" w:ascii="Arial" w:hAnsi="Arial" w:cs="Arial"/>
        </w:rPr>
        <w:t>全面贯彻新发展理念，着力推动高质量发展</w:t>
      </w:r>
      <w:r>
        <w:rPr>
          <w:rFonts w:ascii="Arial" w:hAnsi="Arial" w:cs="Arial"/>
        </w:rPr>
        <w:t>。继续学习贯彻习近平总书记在广西特别是全州视察时的重要讲话精神，引导广大政协委员悉心感悟、用心思考，把学习成果转化为履职尽责的实际成效。认真履行全面从严治党和意识形态工作主体责任，切实把党的全面领导贯穿于政协工作的各方面和全过程。持续推进政协系统党的建设。进一步加强政协各级党组织建设，推进党支部标准化、规范化、品牌化建设，推动党建工作和政协工作深度融合、相互促进。</w:t>
      </w:r>
    </w:p>
    <w:p>
      <w:pPr>
        <w:pStyle w:val="6"/>
        <w:widowControl/>
        <w:spacing w:before="150" w:beforeAutospacing="0" w:after="150" w:afterAutospacing="0" w:line="460" w:lineRule="exact"/>
        <w:ind w:firstLine="420"/>
        <w:rPr>
          <w:rFonts w:ascii="Arial" w:hAnsi="Arial" w:cs="Arial"/>
        </w:rPr>
      </w:pPr>
      <w:r>
        <w:rPr>
          <w:rFonts w:ascii="Arial" w:hAnsi="Arial" w:cs="Arial"/>
        </w:rPr>
        <w:t>（二）围绕</w:t>
      </w:r>
      <w:r>
        <w:rPr>
          <w:rFonts w:hint="eastAsia" w:ascii="Arial" w:hAnsi="Arial" w:cs="Arial"/>
        </w:rPr>
        <w:t>“</w:t>
      </w:r>
      <w:r>
        <w:rPr>
          <w:rFonts w:ascii="Arial" w:hAnsi="Arial" w:cs="Arial"/>
        </w:rPr>
        <w:t>十四五</w:t>
      </w:r>
      <w:r>
        <w:rPr>
          <w:rFonts w:hint="eastAsia" w:ascii="Arial" w:hAnsi="Arial" w:cs="Arial"/>
        </w:rPr>
        <w:t>”</w:t>
      </w:r>
      <w:r>
        <w:rPr>
          <w:rFonts w:ascii="Arial" w:hAnsi="Arial" w:cs="Arial"/>
        </w:rPr>
        <w:t>规划，在助力高质量发展中彰显新作为</w:t>
      </w:r>
    </w:p>
    <w:p>
      <w:pPr>
        <w:pStyle w:val="6"/>
        <w:widowControl/>
        <w:spacing w:before="150" w:beforeAutospacing="0" w:after="150" w:afterAutospacing="0" w:line="460" w:lineRule="exact"/>
        <w:ind w:firstLine="420"/>
        <w:rPr>
          <w:rFonts w:ascii="Arial" w:hAnsi="Arial" w:cs="Arial"/>
        </w:rPr>
      </w:pPr>
      <w:r>
        <w:rPr>
          <w:rFonts w:ascii="Arial" w:hAnsi="Arial" w:cs="Arial"/>
        </w:rPr>
        <w:t>坚持围绕中心、服务大局，以</w:t>
      </w:r>
      <w:r>
        <w:rPr>
          <w:rFonts w:hint="eastAsia" w:ascii="Arial" w:hAnsi="Arial" w:cs="Arial"/>
        </w:rPr>
        <w:t>“</w:t>
      </w:r>
      <w:r>
        <w:rPr>
          <w:rFonts w:ascii="Arial" w:hAnsi="Arial" w:cs="Arial"/>
        </w:rPr>
        <w:t>十四五</w:t>
      </w:r>
      <w:r>
        <w:rPr>
          <w:rFonts w:hint="eastAsia" w:ascii="Arial" w:hAnsi="Arial" w:cs="Arial"/>
        </w:rPr>
        <w:t>”</w:t>
      </w:r>
      <w:r>
        <w:rPr>
          <w:rFonts w:ascii="Arial" w:hAnsi="Arial" w:cs="Arial"/>
        </w:rPr>
        <w:t>规划目标任务为主线，紧紧围绕产业深度融合发展，加快产业链培育和产业集群集聚，推动全县经济高质量发展履职尽责。要围绕</w:t>
      </w:r>
      <w:r>
        <w:rPr>
          <w:rFonts w:hint="eastAsia" w:ascii="Arial" w:hAnsi="Arial" w:cs="Arial"/>
        </w:rPr>
        <w:t>“</w:t>
      </w:r>
      <w:r>
        <w:rPr>
          <w:rFonts w:ascii="Arial" w:hAnsi="Arial" w:cs="Arial"/>
        </w:rPr>
        <w:t>加快推进工业振兴</w:t>
      </w:r>
      <w:r>
        <w:rPr>
          <w:rFonts w:hint="eastAsia" w:ascii="Arial" w:hAnsi="Arial" w:cs="Arial"/>
        </w:rPr>
        <w:t>”</w:t>
      </w:r>
      <w:r>
        <w:rPr>
          <w:rFonts w:ascii="Arial" w:hAnsi="Arial" w:cs="Arial"/>
        </w:rPr>
        <w:t>，聚焦建设特色产业园、培育主导产业集群、打造</w:t>
      </w:r>
      <w:r>
        <w:rPr>
          <w:rFonts w:hint="eastAsia" w:ascii="Arial" w:hAnsi="Arial" w:cs="Arial"/>
        </w:rPr>
        <w:t>“</w:t>
      </w:r>
      <w:r>
        <w:rPr>
          <w:rFonts w:ascii="Arial" w:hAnsi="Arial" w:cs="Arial"/>
        </w:rPr>
        <w:t>中国干米粉之都</w:t>
      </w:r>
      <w:r>
        <w:rPr>
          <w:rFonts w:hint="eastAsia" w:ascii="Arial" w:hAnsi="Arial" w:cs="Arial"/>
        </w:rPr>
        <w:t>”</w:t>
      </w:r>
      <w:r>
        <w:rPr>
          <w:rFonts w:ascii="Arial" w:hAnsi="Arial" w:cs="Arial"/>
        </w:rPr>
        <w:t>、提升优势产业集聚力、培育壮大新兴产业等方面深入开展协商；要围绕</w:t>
      </w:r>
      <w:r>
        <w:rPr>
          <w:rFonts w:hint="eastAsia" w:ascii="Arial" w:hAnsi="Arial" w:cs="Arial"/>
        </w:rPr>
        <w:t>“</w:t>
      </w:r>
      <w:r>
        <w:rPr>
          <w:rFonts w:ascii="Arial" w:hAnsi="Arial" w:cs="Arial"/>
        </w:rPr>
        <w:t>全面推进乡村振兴</w:t>
      </w:r>
      <w:r>
        <w:rPr>
          <w:rFonts w:hint="eastAsia" w:ascii="Arial" w:hAnsi="Arial" w:cs="Arial"/>
        </w:rPr>
        <w:t>”</w:t>
      </w:r>
      <w:r>
        <w:rPr>
          <w:rFonts w:ascii="Arial" w:hAnsi="Arial" w:cs="Arial"/>
        </w:rPr>
        <w:t>，聚焦巩固脱贫成果、田园综合体建设、农村人居环境改善、冷链物流、农产品电商等方面深入调研；要围绕</w:t>
      </w:r>
      <w:r>
        <w:rPr>
          <w:rFonts w:hint="eastAsia" w:ascii="Arial" w:hAnsi="Arial" w:cs="Arial"/>
        </w:rPr>
        <w:t>“</w:t>
      </w:r>
      <w:r>
        <w:rPr>
          <w:rFonts w:ascii="Arial" w:hAnsi="Arial" w:cs="Arial"/>
        </w:rPr>
        <w:t>深入推进旅游振兴</w:t>
      </w:r>
      <w:r>
        <w:rPr>
          <w:rFonts w:hint="eastAsia" w:ascii="Arial" w:hAnsi="Arial" w:cs="Arial"/>
        </w:rPr>
        <w:t>”</w:t>
      </w:r>
      <w:r>
        <w:rPr>
          <w:rFonts w:ascii="Arial" w:hAnsi="Arial" w:cs="Arial"/>
        </w:rPr>
        <w:t xml:space="preserve">，引导委员以湘江战役红色文化为引领，推动 </w:t>
      </w:r>
      <w:r>
        <w:rPr>
          <w:rFonts w:hint="eastAsia" w:ascii="Arial" w:hAnsi="Arial" w:cs="Arial"/>
        </w:rPr>
        <w:t>“</w:t>
      </w:r>
      <w:r>
        <w:rPr>
          <w:rFonts w:ascii="Arial" w:hAnsi="Arial" w:cs="Arial"/>
        </w:rPr>
        <w:t>红古绿</w:t>
      </w:r>
      <w:r>
        <w:rPr>
          <w:rFonts w:hint="eastAsia" w:ascii="Arial" w:hAnsi="Arial" w:cs="Arial"/>
        </w:rPr>
        <w:t>”</w:t>
      </w:r>
      <w:r>
        <w:rPr>
          <w:rFonts w:ascii="Arial" w:hAnsi="Arial" w:cs="Arial"/>
        </w:rPr>
        <w:t xml:space="preserve">（红色旅游、古色旅游、绿色旅游）文旅融合发展积极建言献策；就 </w:t>
      </w:r>
      <w:r>
        <w:rPr>
          <w:rFonts w:hint="eastAsia" w:ascii="Arial" w:hAnsi="Arial" w:cs="Arial"/>
        </w:rPr>
        <w:t>“</w:t>
      </w:r>
      <w:r>
        <w:rPr>
          <w:rFonts w:ascii="Arial" w:hAnsi="Arial" w:cs="Arial"/>
        </w:rPr>
        <w:t>强力推进项目振兴</w:t>
      </w:r>
      <w:r>
        <w:rPr>
          <w:rFonts w:hint="eastAsia" w:ascii="Arial" w:hAnsi="Arial" w:cs="Arial"/>
        </w:rPr>
        <w:t>”</w:t>
      </w:r>
      <w:r>
        <w:rPr>
          <w:rFonts w:ascii="Arial" w:hAnsi="Arial" w:cs="Arial"/>
        </w:rPr>
        <w:t>引导委员积极开展调研视察。为培育全州七大百亿产业凝心聚力、双向发力。</w:t>
      </w:r>
    </w:p>
    <w:p>
      <w:pPr>
        <w:pStyle w:val="6"/>
        <w:widowControl/>
        <w:spacing w:before="150" w:beforeAutospacing="0" w:after="150" w:afterAutospacing="0" w:line="460" w:lineRule="exact"/>
        <w:ind w:firstLine="420"/>
        <w:rPr>
          <w:rFonts w:ascii="Arial" w:hAnsi="Arial" w:cs="Arial"/>
        </w:rPr>
      </w:pPr>
      <w:r>
        <w:rPr>
          <w:rFonts w:ascii="Arial" w:hAnsi="Arial" w:cs="Arial"/>
        </w:rPr>
        <w:t>（三）深入基层察民情，为增强人民群众幸福感倾情尽力</w:t>
      </w:r>
    </w:p>
    <w:p>
      <w:pPr>
        <w:pStyle w:val="6"/>
        <w:widowControl/>
        <w:spacing w:before="150" w:beforeAutospacing="0" w:after="150" w:afterAutospacing="0" w:line="460" w:lineRule="exact"/>
        <w:ind w:firstLine="420"/>
        <w:rPr>
          <w:rFonts w:ascii="Arial" w:hAnsi="Arial" w:cs="Arial"/>
        </w:rPr>
      </w:pPr>
      <w:r>
        <w:rPr>
          <w:rFonts w:ascii="Arial" w:hAnsi="Arial" w:cs="Arial"/>
        </w:rPr>
        <w:t>人民性是政协的本质属性，政协委员要进一步提高政治站位，心怀人民，在工作中真正把增进民生福祉，增强人民幸福感作为履职的出发点和落脚点。围绕老百姓最关心、最关注、最现实的利益问题，就发展普惠托育服务体系、推进城区义务教育学校课后服务体系、推动教育均衡优质发展、完善医疗系统管理分配和服务体系等方面深入调研。要切实服务民生、维护民利，紧紧围绕教育、就业、医疗、养老、扫黑除恶等热点难点问题开展协商议政活动，广泛听取社会各界群众的诉求和愿望，充分吸纳各方面的意见和建议，切实为促进民生改善发出诚恳之言，提出破解之策。</w:t>
      </w:r>
    </w:p>
    <w:p>
      <w:pPr>
        <w:pStyle w:val="6"/>
        <w:widowControl/>
        <w:spacing w:before="150" w:beforeAutospacing="0" w:after="150" w:afterAutospacing="0" w:line="460" w:lineRule="exact"/>
        <w:ind w:firstLine="420"/>
        <w:rPr>
          <w:rFonts w:ascii="Arial" w:hAnsi="Arial" w:cs="Arial"/>
        </w:rPr>
      </w:pPr>
      <w:r>
        <w:rPr>
          <w:rFonts w:ascii="Arial" w:hAnsi="Arial" w:cs="Arial"/>
        </w:rPr>
        <w:t>（四）提高委员履职能力，在推动政协工作提质增效中激发活力</w:t>
      </w:r>
    </w:p>
    <w:p>
      <w:pPr>
        <w:pStyle w:val="6"/>
        <w:widowControl/>
        <w:spacing w:before="150" w:beforeAutospacing="0" w:after="150" w:afterAutospacing="0" w:line="460" w:lineRule="exact"/>
        <w:ind w:firstLine="420"/>
        <w:rPr>
          <w:rFonts w:ascii="Arial" w:hAnsi="Arial" w:cs="Arial"/>
        </w:rPr>
      </w:pPr>
      <w:r>
        <w:rPr>
          <w:rFonts w:ascii="Arial" w:hAnsi="Arial" w:cs="Arial"/>
        </w:rPr>
        <w:t>贯彻落实</w:t>
      </w:r>
      <w:r>
        <w:rPr>
          <w:rFonts w:hint="eastAsia" w:ascii="Arial" w:hAnsi="Arial" w:cs="Arial"/>
        </w:rPr>
        <w:t>“</w:t>
      </w:r>
      <w:r>
        <w:rPr>
          <w:rFonts w:ascii="Arial" w:hAnsi="Arial" w:cs="Arial"/>
        </w:rPr>
        <w:t>懂政协、会协商、善议政，守纪律、讲规矩、重品行</w:t>
      </w:r>
      <w:r>
        <w:rPr>
          <w:rFonts w:hint="eastAsia" w:ascii="Arial" w:hAnsi="Arial" w:cs="Arial"/>
        </w:rPr>
        <w:t>”</w:t>
      </w:r>
      <w:r>
        <w:rPr>
          <w:rFonts w:ascii="Arial" w:hAnsi="Arial" w:cs="Arial"/>
        </w:rPr>
        <w:t>的要求，适应</w:t>
      </w:r>
      <w:r>
        <w:rPr>
          <w:rFonts w:hint="eastAsia" w:ascii="Arial" w:hAnsi="Arial" w:cs="Arial"/>
        </w:rPr>
        <w:t>“</w:t>
      </w:r>
      <w:r>
        <w:rPr>
          <w:rFonts w:ascii="Arial" w:hAnsi="Arial" w:cs="Arial"/>
        </w:rPr>
        <w:t>后疫情</w:t>
      </w:r>
      <w:r>
        <w:rPr>
          <w:rFonts w:hint="eastAsia" w:ascii="Arial" w:hAnsi="Arial" w:cs="Arial"/>
        </w:rPr>
        <w:t>”</w:t>
      </w:r>
      <w:r>
        <w:rPr>
          <w:rFonts w:ascii="Arial" w:hAnsi="Arial" w:cs="Arial"/>
        </w:rPr>
        <w:t>特点，举办新一届政协委员履职提升专题培训班，组织更多委员前往知名高校参加学习培训，着力提高委员</w:t>
      </w:r>
      <w:r>
        <w:rPr>
          <w:rFonts w:hint="eastAsia" w:ascii="Arial" w:hAnsi="Arial" w:cs="Arial"/>
        </w:rPr>
        <w:t>“</w:t>
      </w:r>
      <w:r>
        <w:rPr>
          <w:rFonts w:ascii="Arial" w:hAnsi="Arial" w:cs="Arial"/>
        </w:rPr>
        <w:t>政治把握能力</w:t>
      </w:r>
      <w:r>
        <w:rPr>
          <w:rFonts w:hint="eastAsia" w:ascii="Arial" w:hAnsi="Arial" w:cs="Arial"/>
        </w:rPr>
        <w:t>”“</w:t>
      </w:r>
      <w:r>
        <w:rPr>
          <w:rFonts w:ascii="Arial" w:hAnsi="Arial" w:cs="Arial"/>
        </w:rPr>
        <w:t>调查研究能力</w:t>
      </w:r>
      <w:r>
        <w:rPr>
          <w:rFonts w:hint="eastAsia" w:ascii="Arial" w:hAnsi="Arial" w:cs="Arial"/>
        </w:rPr>
        <w:t>”“</w:t>
      </w:r>
      <w:r>
        <w:rPr>
          <w:rFonts w:ascii="Arial" w:hAnsi="Arial" w:cs="Arial"/>
        </w:rPr>
        <w:t>联系群众能力</w:t>
      </w:r>
      <w:r>
        <w:rPr>
          <w:rFonts w:hint="eastAsia" w:ascii="Arial" w:hAnsi="Arial" w:cs="Arial"/>
        </w:rPr>
        <w:t>”“</w:t>
      </w:r>
      <w:r>
        <w:rPr>
          <w:rFonts w:ascii="Arial" w:hAnsi="Arial" w:cs="Arial"/>
        </w:rPr>
        <w:t>合作共事能力</w:t>
      </w:r>
      <w:r>
        <w:rPr>
          <w:rFonts w:hint="eastAsia" w:ascii="Arial" w:hAnsi="Arial" w:cs="Arial"/>
        </w:rPr>
        <w:t>”</w:t>
      </w:r>
      <w:r>
        <w:rPr>
          <w:rFonts w:ascii="Arial" w:hAnsi="Arial" w:cs="Arial"/>
        </w:rPr>
        <w:t>；健全和完善委员履职工作规则，完善委员履职考核评价机制；开展优秀政协委员评选表彰活动，增强委员主体意识和履职热情。探索推行委员述职评议，健全委员联系联络服务机制；推进乡镇政协工作站建设，实现乡镇政协工作站全覆盖。</w:t>
      </w:r>
    </w:p>
    <w:p>
      <w:pPr>
        <w:pStyle w:val="6"/>
        <w:widowControl/>
        <w:spacing w:before="150" w:beforeAutospacing="0" w:after="150" w:afterAutospacing="0" w:line="460" w:lineRule="exact"/>
        <w:ind w:firstLine="420"/>
        <w:rPr>
          <w:rFonts w:ascii="Arial" w:hAnsi="Arial" w:cs="Arial"/>
        </w:rPr>
      </w:pPr>
      <w:r>
        <w:rPr>
          <w:rFonts w:ascii="Arial" w:hAnsi="Arial" w:cs="Arial"/>
        </w:rPr>
        <w:t>（五）把握</w:t>
      </w:r>
      <w:r>
        <w:rPr>
          <w:rFonts w:hint="eastAsia" w:ascii="Arial" w:hAnsi="Arial" w:cs="Arial"/>
        </w:rPr>
        <w:t>“</w:t>
      </w:r>
      <w:r>
        <w:rPr>
          <w:rFonts w:ascii="Arial" w:hAnsi="Arial" w:cs="Arial"/>
        </w:rPr>
        <w:t>弘扬文化历史</w:t>
      </w:r>
      <w:r>
        <w:rPr>
          <w:rFonts w:hint="eastAsia" w:ascii="Arial" w:hAnsi="Arial" w:cs="Arial"/>
        </w:rPr>
        <w:t>”</w:t>
      </w:r>
      <w:r>
        <w:rPr>
          <w:rFonts w:ascii="Arial" w:hAnsi="Arial" w:cs="Arial"/>
        </w:rPr>
        <w:t>优良传统，在增强文化自信、凝聚发展共识中服务新全州</w:t>
      </w:r>
    </w:p>
    <w:p>
      <w:pPr>
        <w:pStyle w:val="6"/>
        <w:widowControl/>
        <w:spacing w:before="150" w:beforeAutospacing="0" w:after="150" w:afterAutospacing="0" w:line="460" w:lineRule="exact"/>
        <w:ind w:firstLine="420"/>
        <w:rPr>
          <w:rFonts w:ascii="Arial" w:hAnsi="Arial" w:cs="Arial"/>
        </w:rPr>
      </w:pPr>
      <w:bookmarkStart w:id="0" w:name="_GoBack"/>
      <w:bookmarkEnd w:id="0"/>
      <w:r>
        <w:rPr>
          <w:rFonts w:ascii="Arial" w:hAnsi="Arial" w:cs="Arial"/>
        </w:rPr>
        <w:t>习近平新时代中国特色社会主义思想对新时期政协文史工作提出了新要求。我们要坚持整合各方资源，继续深挖全州本土深厚的文化历史，着力构建政协文史工作新平台，充分利用政协文史独特的资源优势，不断呈现全州富有地域特色、民族特色的传统文化，真实生动地记录全州文化历史，使政协文史成为传承与弘扬全州文化历史的重要阵地，成为团结引导社会各界文化交流的重要平台。</w:t>
      </w:r>
    </w:p>
    <w:p>
      <w:pPr>
        <w:pStyle w:val="6"/>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6"/>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6"/>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6"/>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6"/>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6"/>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6"/>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6"/>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6"/>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6"/>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6"/>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6"/>
        <w:widowControl/>
        <w:spacing w:before="150" w:beforeAutospacing="0" w:after="150" w:afterAutospacing="0" w:line="460" w:lineRule="exact"/>
        <w:ind w:firstLine="420"/>
        <w:jc w:val="center"/>
        <w:rPr>
          <w:rFonts w:ascii="Arial" w:hAnsi="Arial" w:cs="Arial"/>
        </w:rPr>
      </w:pPr>
      <w:r>
        <w:rPr>
          <w:rFonts w:ascii="Arial" w:hAnsi="Arial" w:cs="Arial"/>
        </w:rPr>
        <w:t>第三部分  </w:t>
      </w:r>
      <w:r>
        <w:rPr>
          <w:rFonts w:hint="eastAsia" w:ascii="Arial" w:hAnsi="Arial" w:cs="Arial"/>
        </w:rPr>
        <w:t>2023</w:t>
      </w:r>
      <w:r>
        <w:rPr>
          <w:rFonts w:ascii="Arial" w:hAnsi="Arial" w:cs="Arial"/>
        </w:rPr>
        <w:t>年部门预算情况说明</w:t>
      </w:r>
    </w:p>
    <w:p>
      <w:pPr>
        <w:pStyle w:val="6"/>
        <w:widowControl/>
        <w:spacing w:before="150" w:beforeAutospacing="0" w:after="150" w:afterAutospacing="0" w:line="460" w:lineRule="exact"/>
        <w:ind w:firstLine="420"/>
        <w:rPr>
          <w:rFonts w:ascii="Arial" w:hAnsi="Arial" w:cs="Arial"/>
        </w:rPr>
      </w:pPr>
      <w:r>
        <w:rPr>
          <w:rFonts w:ascii="Arial" w:hAnsi="Arial" w:cs="Arial"/>
        </w:rPr>
        <w:t>  一、部门收支总体情况说明</w:t>
      </w:r>
    </w:p>
    <w:p>
      <w:pPr>
        <w:pStyle w:val="6"/>
        <w:widowControl/>
        <w:spacing w:before="150" w:beforeAutospacing="0" w:after="150" w:afterAutospacing="0" w:line="460" w:lineRule="exact"/>
        <w:ind w:firstLine="420"/>
        <w:rPr>
          <w:rFonts w:ascii="Arial" w:hAnsi="Arial" w:cs="Arial"/>
        </w:rPr>
      </w:pPr>
      <w:r>
        <w:rPr>
          <w:rFonts w:ascii="Arial" w:hAnsi="Arial" w:cs="Arial"/>
        </w:rPr>
        <w:t> （一）收入预算说明</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2023</w:t>
      </w:r>
      <w:r>
        <w:rPr>
          <w:rFonts w:ascii="Arial" w:hAnsi="Arial" w:cs="Arial"/>
        </w:rPr>
        <w:t>年收入总预算</w:t>
      </w:r>
      <w:r>
        <w:rPr>
          <w:rFonts w:hint="eastAsia" w:ascii="Arial" w:hAnsi="Arial" w:cs="Arial"/>
        </w:rPr>
        <w:t>761.84</w:t>
      </w:r>
      <w:r>
        <w:rPr>
          <w:rFonts w:ascii="Arial" w:hAnsi="Arial" w:cs="Arial"/>
        </w:rPr>
        <w:t>万元，同比</w:t>
      </w:r>
      <w:r>
        <w:rPr>
          <w:rFonts w:hint="eastAsia" w:ascii="Arial" w:hAnsi="Arial" w:cs="Arial"/>
        </w:rPr>
        <w:t>增加99.41</w:t>
      </w:r>
      <w:r>
        <w:rPr>
          <w:rFonts w:ascii="Arial" w:hAnsi="Arial" w:cs="Arial"/>
        </w:rPr>
        <w:t>万元， </w:t>
      </w:r>
      <w:r>
        <w:rPr>
          <w:rFonts w:hint="eastAsia" w:ascii="Arial" w:hAnsi="Arial" w:cs="Arial"/>
        </w:rPr>
        <w:t>增长15</w:t>
      </w:r>
      <w:r>
        <w:rPr>
          <w:rFonts w:ascii="Arial" w:hAnsi="Arial" w:cs="Arial"/>
        </w:rPr>
        <w:t>％，其中：一般公共预算拨款 </w:t>
      </w:r>
      <w:r>
        <w:rPr>
          <w:rFonts w:hint="eastAsia" w:ascii="Arial" w:hAnsi="Arial" w:cs="Arial"/>
        </w:rPr>
        <w:t>655.77</w:t>
      </w:r>
      <w:r>
        <w:rPr>
          <w:rFonts w:ascii="Arial" w:hAnsi="Arial" w:cs="Arial"/>
        </w:rPr>
        <w:t xml:space="preserve"> 万元，占收入总预算 </w:t>
      </w:r>
      <w:r>
        <w:rPr>
          <w:rFonts w:hint="eastAsia" w:ascii="Arial" w:hAnsi="Arial" w:cs="Arial"/>
        </w:rPr>
        <w:t xml:space="preserve">86.07 </w:t>
      </w:r>
      <w:r>
        <w:rPr>
          <w:rFonts w:ascii="Arial" w:hAnsi="Arial" w:cs="Arial"/>
        </w:rPr>
        <w:t>％，同比</w:t>
      </w:r>
      <w:r>
        <w:rPr>
          <w:rFonts w:hint="eastAsia" w:ascii="Arial" w:hAnsi="Arial" w:cs="Arial"/>
        </w:rPr>
        <w:t>减少6.66</w:t>
      </w:r>
      <w:r>
        <w:rPr>
          <w:rFonts w:ascii="Arial" w:hAnsi="Arial" w:cs="Arial"/>
        </w:rPr>
        <w:t>万元， </w:t>
      </w:r>
      <w:r>
        <w:rPr>
          <w:rFonts w:hint="eastAsia" w:ascii="Arial" w:hAnsi="Arial" w:cs="Arial"/>
        </w:rPr>
        <w:t>下降1</w:t>
      </w:r>
      <w:r>
        <w:rPr>
          <w:rFonts w:ascii="Arial" w:hAnsi="Arial" w:cs="Arial"/>
        </w:rPr>
        <w:t>％；上年结转结余</w:t>
      </w:r>
      <w:r>
        <w:rPr>
          <w:rFonts w:hint="eastAsia" w:ascii="Arial" w:hAnsi="Arial" w:cs="Arial"/>
        </w:rPr>
        <w:t>106.67</w:t>
      </w:r>
      <w:r>
        <w:rPr>
          <w:rFonts w:ascii="Arial" w:hAnsi="Arial" w:cs="Arial"/>
        </w:rPr>
        <w:t>万元</w:t>
      </w:r>
      <w:r>
        <w:rPr>
          <w:rFonts w:hint="eastAsia" w:ascii="Arial" w:hAnsi="Arial" w:cs="Arial"/>
        </w:rPr>
        <w:t>，</w:t>
      </w:r>
      <w:r>
        <w:rPr>
          <w:rFonts w:ascii="Arial" w:hAnsi="Arial" w:cs="Arial"/>
        </w:rPr>
        <w:t>占收入总预算</w:t>
      </w:r>
      <w:r>
        <w:rPr>
          <w:rFonts w:hint="eastAsia" w:ascii="Arial" w:hAnsi="Arial" w:cs="Arial"/>
        </w:rPr>
        <w:t>13.93</w:t>
      </w:r>
      <w:r>
        <w:rPr>
          <w:rFonts w:ascii="Arial" w:hAnsi="Arial" w:cs="Arial"/>
        </w:rPr>
        <w:t>%</w:t>
      </w:r>
      <w:r>
        <w:rPr>
          <w:rFonts w:hint="eastAsia" w:ascii="Arial" w:hAnsi="Arial" w:cs="Arial"/>
        </w:rPr>
        <w:t>，</w:t>
      </w:r>
      <w:r>
        <w:rPr>
          <w:rFonts w:ascii="Arial" w:hAnsi="Arial" w:cs="Arial"/>
        </w:rPr>
        <w:t>政府性基金拨款  </w:t>
      </w:r>
      <w:r>
        <w:rPr>
          <w:rFonts w:hint="eastAsia" w:ascii="Arial" w:hAnsi="Arial" w:cs="Arial"/>
        </w:rPr>
        <w:t>0</w:t>
      </w:r>
      <w:r>
        <w:rPr>
          <w:rFonts w:ascii="Arial" w:hAnsi="Arial" w:cs="Arial"/>
        </w:rPr>
        <w:t xml:space="preserve"> 万元。收入预算总体</w:t>
      </w:r>
      <w:r>
        <w:rPr>
          <w:rFonts w:hint="eastAsia" w:ascii="Arial" w:hAnsi="Arial" w:cs="Arial"/>
        </w:rPr>
        <w:t>增加</w:t>
      </w:r>
      <w:r>
        <w:rPr>
          <w:rFonts w:ascii="Arial" w:hAnsi="Arial" w:cs="Arial"/>
        </w:rPr>
        <w:t>的主要原因：</w:t>
      </w:r>
      <w:r>
        <w:rPr>
          <w:rFonts w:hint="eastAsia" w:ascii="Arial" w:hAnsi="Arial" w:cs="Arial"/>
        </w:rPr>
        <w:t>人员增加，经费增加</w:t>
      </w:r>
      <w:r>
        <w:rPr>
          <w:rFonts w:ascii="Arial" w:hAnsi="Arial" w:cs="Arial"/>
        </w:rPr>
        <w:t>。</w:t>
      </w:r>
    </w:p>
    <w:p>
      <w:pPr>
        <w:pStyle w:val="6"/>
        <w:widowControl/>
        <w:spacing w:before="150" w:beforeAutospacing="0" w:after="150" w:afterAutospacing="0" w:line="460" w:lineRule="exact"/>
        <w:ind w:firstLine="420"/>
        <w:rPr>
          <w:rFonts w:ascii="Arial" w:hAnsi="Arial" w:cs="Arial"/>
        </w:rPr>
      </w:pPr>
      <w:r>
        <w:rPr>
          <w:rFonts w:ascii="Arial" w:hAnsi="Arial" w:cs="Arial"/>
        </w:rPr>
        <w:t> （二）支出预算说明</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2023</w:t>
      </w:r>
      <w:r>
        <w:rPr>
          <w:rFonts w:ascii="Arial" w:hAnsi="Arial" w:cs="Arial"/>
        </w:rPr>
        <w:t xml:space="preserve">年支出总预算 </w:t>
      </w:r>
      <w:r>
        <w:rPr>
          <w:rFonts w:hint="eastAsia" w:ascii="Arial" w:hAnsi="Arial" w:cs="Arial"/>
        </w:rPr>
        <w:t>761.84</w:t>
      </w:r>
      <w:r>
        <w:rPr>
          <w:rFonts w:ascii="Arial" w:hAnsi="Arial" w:cs="Arial"/>
        </w:rPr>
        <w:t>万元，同比</w:t>
      </w:r>
      <w:r>
        <w:rPr>
          <w:rFonts w:hint="eastAsia" w:ascii="Arial" w:hAnsi="Arial" w:cs="Arial"/>
        </w:rPr>
        <w:t>增加99.41</w:t>
      </w:r>
      <w:r>
        <w:rPr>
          <w:rFonts w:ascii="Arial" w:hAnsi="Arial" w:cs="Arial"/>
        </w:rPr>
        <w:t>万元， </w:t>
      </w:r>
      <w:r>
        <w:rPr>
          <w:rFonts w:hint="eastAsia" w:ascii="Arial" w:hAnsi="Arial" w:cs="Arial"/>
        </w:rPr>
        <w:t>增长15</w:t>
      </w:r>
      <w:r>
        <w:rPr>
          <w:rFonts w:ascii="Arial" w:hAnsi="Arial" w:cs="Arial"/>
        </w:rPr>
        <w:t>％。</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 xml:space="preserve">1、按支出功能分类科目划分，共分为 </w:t>
      </w:r>
      <w:r>
        <w:rPr>
          <w:rFonts w:hint="eastAsia" w:ascii="Arial" w:hAnsi="Arial" w:cs="Arial"/>
        </w:rPr>
        <w:t>4</w:t>
      </w:r>
      <w:r>
        <w:rPr>
          <w:rFonts w:ascii="Arial" w:hAnsi="Arial" w:cs="Arial"/>
        </w:rPr>
        <w:t xml:space="preserve"> 类，其中： </w:t>
      </w:r>
    </w:p>
    <w:p>
      <w:pPr>
        <w:pStyle w:val="6"/>
        <w:widowControl/>
        <w:spacing w:before="150" w:beforeAutospacing="0" w:after="150" w:afterAutospacing="0" w:line="460" w:lineRule="exact"/>
        <w:ind w:firstLine="420"/>
        <w:rPr>
          <w:rFonts w:ascii="Arial" w:hAnsi="Arial" w:cs="Arial"/>
        </w:rPr>
      </w:pPr>
      <w:r>
        <w:rPr>
          <w:rFonts w:ascii="Arial" w:hAnsi="Arial" w:cs="Arial"/>
        </w:rPr>
        <w:t xml:space="preserve">（1）一般公共服务支出 </w:t>
      </w:r>
      <w:r>
        <w:rPr>
          <w:rFonts w:hint="eastAsia" w:ascii="Arial" w:hAnsi="Arial" w:cs="Arial"/>
        </w:rPr>
        <w:t>603.96</w:t>
      </w:r>
      <w:r>
        <w:rPr>
          <w:rFonts w:ascii="Arial" w:hAnsi="Arial" w:cs="Arial"/>
        </w:rPr>
        <w:t xml:space="preserve"> 万元，占支出总预算</w:t>
      </w:r>
      <w:r>
        <w:rPr>
          <w:rFonts w:hint="eastAsia" w:ascii="Arial" w:hAnsi="Arial" w:cs="Arial"/>
        </w:rPr>
        <w:t>92.1</w:t>
      </w:r>
      <w:r>
        <w:rPr>
          <w:rFonts w:ascii="Arial" w:hAnsi="Arial" w:cs="Arial"/>
        </w:rPr>
        <w:t xml:space="preserve"> ％，同比</w:t>
      </w:r>
      <w:r>
        <w:rPr>
          <w:rFonts w:hint="eastAsia" w:ascii="Arial" w:hAnsi="Arial" w:cs="Arial"/>
        </w:rPr>
        <w:t>增加86.96</w:t>
      </w:r>
      <w:r>
        <w:rPr>
          <w:rFonts w:ascii="Arial" w:hAnsi="Arial" w:cs="Arial"/>
        </w:rPr>
        <w:t>万元，</w:t>
      </w:r>
      <w:r>
        <w:rPr>
          <w:rFonts w:hint="eastAsia" w:ascii="Arial" w:hAnsi="Arial" w:cs="Arial"/>
        </w:rPr>
        <w:t>增长</w:t>
      </w:r>
      <w:r>
        <w:rPr>
          <w:rFonts w:ascii="Arial" w:hAnsi="Arial" w:cs="Arial"/>
        </w:rPr>
        <w:t> </w:t>
      </w:r>
      <w:r>
        <w:rPr>
          <w:rFonts w:hint="eastAsia" w:ascii="Arial" w:hAnsi="Arial" w:cs="Arial"/>
        </w:rPr>
        <w:t>16.82</w:t>
      </w:r>
      <w:r>
        <w:rPr>
          <w:rFonts w:ascii="Arial" w:hAnsi="Arial" w:cs="Arial"/>
        </w:rPr>
        <w:t>％；</w:t>
      </w:r>
    </w:p>
    <w:p>
      <w:pPr>
        <w:pStyle w:val="6"/>
        <w:widowControl/>
        <w:spacing w:before="150" w:beforeAutospacing="0" w:after="150" w:afterAutospacing="0" w:line="460" w:lineRule="exact"/>
        <w:ind w:firstLine="420"/>
        <w:rPr>
          <w:rFonts w:ascii="Arial" w:hAnsi="Arial" w:cs="Arial"/>
        </w:rPr>
      </w:pPr>
      <w:r>
        <w:rPr>
          <w:rFonts w:ascii="Arial" w:hAnsi="Arial" w:cs="Arial"/>
        </w:rPr>
        <w:t xml:space="preserve">（2）社会保障和就业 </w:t>
      </w:r>
      <w:r>
        <w:rPr>
          <w:rFonts w:hint="eastAsia" w:ascii="Arial" w:hAnsi="Arial" w:cs="Arial"/>
        </w:rPr>
        <w:t xml:space="preserve">95.01 </w:t>
      </w:r>
      <w:r>
        <w:rPr>
          <w:rFonts w:ascii="Arial" w:hAnsi="Arial" w:cs="Arial"/>
        </w:rPr>
        <w:t>万元，占支出总预算 </w:t>
      </w:r>
      <w:r>
        <w:rPr>
          <w:rFonts w:hint="eastAsia" w:ascii="Arial" w:hAnsi="Arial" w:cs="Arial"/>
        </w:rPr>
        <w:t>14.49</w:t>
      </w:r>
      <w:r>
        <w:rPr>
          <w:rFonts w:ascii="Arial" w:hAnsi="Arial" w:cs="Arial"/>
        </w:rPr>
        <w:t xml:space="preserve"> ％，同比</w:t>
      </w:r>
      <w:r>
        <w:rPr>
          <w:rFonts w:hint="eastAsia" w:ascii="Arial" w:hAnsi="Arial" w:cs="Arial"/>
        </w:rPr>
        <w:t>增加12.44</w:t>
      </w:r>
      <w:r>
        <w:rPr>
          <w:rFonts w:ascii="Arial" w:hAnsi="Arial" w:cs="Arial"/>
        </w:rPr>
        <w:t xml:space="preserve"> 万元，</w:t>
      </w:r>
      <w:r>
        <w:rPr>
          <w:rFonts w:hint="eastAsia" w:ascii="Arial" w:hAnsi="Arial" w:cs="Arial"/>
        </w:rPr>
        <w:t>增长15.07</w:t>
      </w:r>
      <w:r>
        <w:rPr>
          <w:rFonts w:ascii="Arial" w:hAnsi="Arial" w:cs="Arial"/>
        </w:rPr>
        <w:t>％；</w:t>
      </w:r>
    </w:p>
    <w:p>
      <w:pPr>
        <w:pStyle w:val="6"/>
        <w:widowControl/>
        <w:spacing w:before="150" w:beforeAutospacing="0" w:after="150" w:afterAutospacing="0" w:line="460" w:lineRule="exact"/>
        <w:ind w:firstLine="420"/>
        <w:rPr>
          <w:rFonts w:ascii="Arial" w:hAnsi="Arial" w:cs="Arial"/>
        </w:rPr>
      </w:pPr>
      <w:r>
        <w:rPr>
          <w:rFonts w:ascii="Arial" w:hAnsi="Arial" w:cs="Arial"/>
        </w:rPr>
        <w:t>（3）医疗</w:t>
      </w:r>
      <w:r>
        <w:rPr>
          <w:rFonts w:hint="eastAsia" w:ascii="Arial" w:hAnsi="Arial" w:cs="Arial"/>
        </w:rPr>
        <w:t xml:space="preserve">健康支出27.28 </w:t>
      </w:r>
      <w:r>
        <w:rPr>
          <w:rFonts w:ascii="Arial" w:hAnsi="Arial" w:cs="Arial"/>
        </w:rPr>
        <w:t xml:space="preserve">万元,占支出总预算 </w:t>
      </w:r>
      <w:r>
        <w:rPr>
          <w:rFonts w:hint="eastAsia" w:ascii="Arial" w:hAnsi="Arial" w:cs="Arial"/>
        </w:rPr>
        <w:t>4.16</w:t>
      </w:r>
      <w:r>
        <w:rPr>
          <w:rFonts w:ascii="Arial" w:hAnsi="Arial" w:cs="Arial"/>
        </w:rPr>
        <w:t> ％，同比</w:t>
      </w:r>
      <w:r>
        <w:rPr>
          <w:rFonts w:hint="eastAsia" w:ascii="Arial" w:hAnsi="Arial" w:cs="Arial"/>
        </w:rPr>
        <w:t>无变化</w:t>
      </w:r>
      <w:r>
        <w:rPr>
          <w:rFonts w:ascii="Arial" w:hAnsi="Arial" w:cs="Arial"/>
        </w:rPr>
        <w:t>；</w:t>
      </w:r>
    </w:p>
    <w:p>
      <w:pPr>
        <w:pStyle w:val="6"/>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35.58</w:t>
      </w:r>
      <w:r>
        <w:rPr>
          <w:rFonts w:ascii="Arial" w:hAnsi="Arial" w:cs="Arial"/>
        </w:rPr>
        <w:t xml:space="preserve"> 万元,占支出总预算</w:t>
      </w:r>
      <w:r>
        <w:rPr>
          <w:rFonts w:hint="eastAsia" w:ascii="Arial" w:hAnsi="Arial" w:cs="Arial"/>
        </w:rPr>
        <w:t>5.43</w:t>
      </w:r>
      <w:r>
        <w:rPr>
          <w:rFonts w:ascii="Arial" w:hAnsi="Arial" w:cs="Arial"/>
        </w:rPr>
        <w:t>％，同比</w:t>
      </w:r>
      <w:r>
        <w:rPr>
          <w:rFonts w:hint="eastAsia" w:ascii="Arial" w:hAnsi="Arial" w:cs="Arial"/>
        </w:rPr>
        <w:t>无变化</w:t>
      </w:r>
      <w:r>
        <w:rPr>
          <w:rFonts w:ascii="Arial" w:hAnsi="Arial" w:cs="Arial"/>
        </w:rPr>
        <w:t>。</w:t>
      </w:r>
    </w:p>
    <w:p>
      <w:pPr>
        <w:pStyle w:val="6"/>
        <w:widowControl/>
        <w:spacing w:before="150" w:beforeAutospacing="0" w:after="150" w:afterAutospacing="0" w:line="460" w:lineRule="exact"/>
        <w:ind w:firstLine="420"/>
        <w:rPr>
          <w:rFonts w:ascii="Arial" w:hAnsi="Arial" w:cs="Arial"/>
        </w:rPr>
      </w:pPr>
      <w:r>
        <w:rPr>
          <w:rFonts w:ascii="Arial" w:hAnsi="Arial" w:cs="Arial"/>
        </w:rPr>
        <w:t>  二、部门收入总体情况说明</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2023年总收入预算</w:t>
      </w:r>
      <w:r>
        <w:rPr>
          <w:rFonts w:hint="eastAsia" w:ascii="Arial" w:hAnsi="Arial" w:cs="Arial"/>
        </w:rPr>
        <w:t>761.84</w:t>
      </w:r>
      <w:r>
        <w:rPr>
          <w:rFonts w:ascii="Arial" w:hAnsi="Arial" w:cs="Arial"/>
        </w:rPr>
        <w:t>万元,同比增加</w:t>
      </w:r>
      <w:r>
        <w:rPr>
          <w:rFonts w:hint="eastAsia" w:ascii="Arial" w:hAnsi="Arial" w:cs="Arial"/>
        </w:rPr>
        <w:t>99.41</w:t>
      </w:r>
      <w:r>
        <w:rPr>
          <w:rFonts w:ascii="Arial" w:hAnsi="Arial" w:cs="Arial"/>
        </w:rPr>
        <w:t>万元,增长</w:t>
      </w:r>
      <w:r>
        <w:rPr>
          <w:rFonts w:hint="eastAsia" w:ascii="Arial" w:hAnsi="Arial" w:cs="Arial"/>
        </w:rPr>
        <w:t>15</w:t>
      </w:r>
      <w:r>
        <w:rPr>
          <w:rFonts w:ascii="Arial" w:hAnsi="Arial" w:cs="Arial"/>
        </w:rPr>
        <w:t>%。其中:本年收入</w:t>
      </w:r>
      <w:r>
        <w:rPr>
          <w:rFonts w:hint="eastAsia" w:ascii="Arial" w:hAnsi="Arial" w:cs="Arial"/>
        </w:rPr>
        <w:t>655.77</w:t>
      </w:r>
      <w:r>
        <w:rPr>
          <w:rFonts w:ascii="Arial" w:hAnsi="Arial" w:cs="Arial"/>
        </w:rPr>
        <w:t>万元,上年结转结余</w:t>
      </w:r>
      <w:r>
        <w:rPr>
          <w:rFonts w:hint="eastAsia" w:ascii="Arial" w:hAnsi="Arial" w:cs="Arial"/>
        </w:rPr>
        <w:t>106.07</w:t>
      </w:r>
      <w:r>
        <w:rPr>
          <w:rFonts w:ascii="Arial" w:hAnsi="Arial" w:cs="Arial"/>
        </w:rPr>
        <w:t>万元。一般公共预算</w:t>
      </w:r>
      <w:r>
        <w:rPr>
          <w:rFonts w:hint="eastAsia" w:ascii="Arial" w:hAnsi="Arial" w:cs="Arial"/>
        </w:rPr>
        <w:t>761.84</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15</w:t>
      </w:r>
      <w:r>
        <w:rPr>
          <w:rFonts w:ascii="Arial" w:hAnsi="Arial" w:cs="Arial"/>
        </w:rPr>
        <w:t>%万元增加的原因</w:t>
      </w:r>
      <w:r>
        <w:rPr>
          <w:rFonts w:hint="eastAsia" w:ascii="Arial" w:hAnsi="Arial" w:cs="Arial"/>
        </w:rPr>
        <w:t xml:space="preserve">是上年有结余。 </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三、部门支出总体情况说明</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2023年总支出预算</w:t>
      </w:r>
      <w:r>
        <w:rPr>
          <w:rFonts w:hint="eastAsia" w:ascii="Arial" w:hAnsi="Arial" w:cs="Arial"/>
        </w:rPr>
        <w:t>761.84</w:t>
      </w:r>
      <w:r>
        <w:rPr>
          <w:rFonts w:ascii="Arial" w:hAnsi="Arial" w:cs="Arial"/>
        </w:rPr>
        <w:t>万元, 同比增加</w:t>
      </w:r>
      <w:r>
        <w:rPr>
          <w:rFonts w:hint="eastAsia" w:ascii="Arial" w:hAnsi="Arial" w:cs="Arial"/>
        </w:rPr>
        <w:t>99.41</w:t>
      </w:r>
      <w:r>
        <w:rPr>
          <w:rFonts w:ascii="Arial" w:hAnsi="Arial" w:cs="Arial"/>
        </w:rPr>
        <w:t>万元,增长</w:t>
      </w:r>
      <w:r>
        <w:rPr>
          <w:rFonts w:hint="eastAsia" w:ascii="Arial" w:hAnsi="Arial" w:cs="Arial"/>
        </w:rPr>
        <w:t>15</w:t>
      </w:r>
      <w:r>
        <w:rPr>
          <w:rFonts w:ascii="Arial" w:hAnsi="Arial" w:cs="Arial"/>
        </w:rPr>
        <w:t>%。其中:基本支出</w:t>
      </w:r>
      <w:r>
        <w:rPr>
          <w:rFonts w:hint="eastAsia" w:ascii="Arial" w:hAnsi="Arial" w:cs="Arial"/>
        </w:rPr>
        <w:t>503.57</w:t>
      </w:r>
      <w:r>
        <w:rPr>
          <w:rFonts w:ascii="Arial" w:hAnsi="Arial" w:cs="Arial"/>
        </w:rPr>
        <w:t>万元,占总支出预算</w:t>
      </w:r>
      <w:r>
        <w:rPr>
          <w:rFonts w:hint="eastAsia" w:ascii="Arial" w:hAnsi="Arial" w:cs="Arial"/>
        </w:rPr>
        <w:t>66.1</w:t>
      </w:r>
      <w:r>
        <w:rPr>
          <w:rFonts w:ascii="Arial" w:hAnsi="Arial" w:cs="Arial"/>
        </w:rPr>
        <w:t>%,同比增加</w:t>
      </w:r>
      <w:r>
        <w:rPr>
          <w:rFonts w:hint="eastAsia" w:ascii="Arial" w:hAnsi="Arial" w:cs="Arial"/>
        </w:rPr>
        <w:t>11.26</w:t>
      </w:r>
      <w:r>
        <w:rPr>
          <w:rFonts w:ascii="Arial" w:hAnsi="Arial" w:cs="Arial"/>
        </w:rPr>
        <w:t>万元,增长</w:t>
      </w:r>
      <w:r>
        <w:rPr>
          <w:rFonts w:hint="eastAsia" w:ascii="Arial" w:hAnsi="Arial" w:cs="Arial"/>
        </w:rPr>
        <w:t>2.28</w:t>
      </w:r>
      <w:r>
        <w:rPr>
          <w:rFonts w:ascii="Arial" w:hAnsi="Arial" w:cs="Arial"/>
        </w:rPr>
        <w:t>%,</w:t>
      </w:r>
      <w:r>
        <w:rPr>
          <w:rFonts w:hint="eastAsia" w:ascii="Arial" w:hAnsi="Arial" w:cs="Arial"/>
        </w:rPr>
        <w:t>增加</w:t>
      </w:r>
      <w:r>
        <w:rPr>
          <w:rFonts w:ascii="Arial" w:hAnsi="Arial" w:cs="Arial"/>
        </w:rPr>
        <w:t>的原因</w:t>
      </w:r>
      <w:r>
        <w:rPr>
          <w:rFonts w:hint="eastAsia" w:ascii="Arial" w:hAnsi="Arial" w:cs="Arial"/>
        </w:rPr>
        <w:t>行政单位离退休费用增加</w:t>
      </w:r>
      <w:r>
        <w:rPr>
          <w:rFonts w:ascii="Arial" w:hAnsi="Arial" w:cs="Arial"/>
        </w:rPr>
        <w:t>;项目支出</w:t>
      </w:r>
      <w:r>
        <w:rPr>
          <w:rFonts w:hint="eastAsia" w:ascii="Arial" w:hAnsi="Arial" w:cs="Arial"/>
        </w:rPr>
        <w:t>258.27</w:t>
      </w:r>
      <w:r>
        <w:rPr>
          <w:rFonts w:ascii="Arial" w:hAnsi="Arial" w:cs="Arial"/>
        </w:rPr>
        <w:t>万元,占总支出预算</w:t>
      </w:r>
      <w:r>
        <w:rPr>
          <w:rFonts w:hint="eastAsia" w:ascii="Arial" w:hAnsi="Arial" w:cs="Arial"/>
        </w:rPr>
        <w:t>33.9</w:t>
      </w:r>
      <w:r>
        <w:rPr>
          <w:rFonts w:ascii="Arial" w:hAnsi="Arial" w:cs="Arial"/>
        </w:rPr>
        <w:t>%,同比增加</w:t>
      </w:r>
      <w:r>
        <w:rPr>
          <w:rFonts w:hint="eastAsia" w:ascii="Arial" w:hAnsi="Arial" w:cs="Arial"/>
        </w:rPr>
        <w:t>88.15</w:t>
      </w:r>
      <w:r>
        <w:rPr>
          <w:rFonts w:ascii="Arial" w:hAnsi="Arial" w:cs="Arial"/>
        </w:rPr>
        <w:t>万元,增长</w:t>
      </w:r>
      <w:r>
        <w:rPr>
          <w:rFonts w:hint="eastAsia" w:ascii="Arial" w:hAnsi="Arial" w:cs="Arial"/>
        </w:rPr>
        <w:t>51.8</w:t>
      </w:r>
      <w:r>
        <w:rPr>
          <w:rFonts w:ascii="Arial" w:hAnsi="Arial" w:cs="Arial"/>
        </w:rPr>
        <w:t>%,增加的原因</w:t>
      </w:r>
      <w:r>
        <w:rPr>
          <w:rFonts w:hint="eastAsia" w:ascii="Arial" w:hAnsi="Arial" w:cs="Arial"/>
        </w:rPr>
        <w:t>是其他政协事务支出增加</w:t>
      </w:r>
      <w:r>
        <w:rPr>
          <w:rFonts w:ascii="Arial" w:hAnsi="Arial" w:cs="Arial"/>
        </w:rPr>
        <w:t>。</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四、财政拨款收支总体情况说明</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2023年财政拨款收入预算</w:t>
      </w:r>
      <w:r>
        <w:rPr>
          <w:rFonts w:hint="eastAsia" w:ascii="Arial" w:hAnsi="Arial" w:cs="Arial"/>
        </w:rPr>
        <w:t>761.84</w:t>
      </w:r>
      <w:r>
        <w:rPr>
          <w:rFonts w:ascii="Arial" w:hAnsi="Arial" w:cs="Arial"/>
        </w:rPr>
        <w:t>万元,同比增加</w:t>
      </w:r>
      <w:r>
        <w:rPr>
          <w:rFonts w:hint="eastAsia" w:ascii="Arial" w:hAnsi="Arial" w:cs="Arial"/>
        </w:rPr>
        <w:t>99.41</w:t>
      </w:r>
      <w:r>
        <w:rPr>
          <w:rFonts w:ascii="Arial" w:hAnsi="Arial" w:cs="Arial"/>
        </w:rPr>
        <w:t>万元,增长</w:t>
      </w:r>
      <w:r>
        <w:rPr>
          <w:rFonts w:hint="eastAsia" w:ascii="Arial" w:hAnsi="Arial" w:cs="Arial"/>
        </w:rPr>
        <w:t>15</w:t>
      </w:r>
      <w:r>
        <w:rPr>
          <w:rFonts w:ascii="Arial" w:hAnsi="Arial" w:cs="Arial"/>
        </w:rPr>
        <w:t>%,其中:一般公共预算拨款</w:t>
      </w:r>
      <w:r>
        <w:rPr>
          <w:rFonts w:hint="eastAsia" w:ascii="Arial" w:hAnsi="Arial" w:cs="Arial"/>
        </w:rPr>
        <w:t>655.77</w:t>
      </w:r>
      <w:r>
        <w:rPr>
          <w:rFonts w:ascii="Arial" w:hAnsi="Arial" w:cs="Arial"/>
        </w:rPr>
        <w:t>万元,占收入总预算</w:t>
      </w:r>
      <w:r>
        <w:rPr>
          <w:rFonts w:hint="eastAsia" w:ascii="Arial" w:hAnsi="Arial" w:cs="Arial"/>
        </w:rPr>
        <w:t>86.07</w:t>
      </w:r>
      <w:r>
        <w:rPr>
          <w:rFonts w:ascii="Arial" w:hAnsi="Arial" w:cs="Arial"/>
        </w:rPr>
        <w:t>%,同比增加</w:t>
      </w:r>
      <w:r>
        <w:rPr>
          <w:rFonts w:hint="eastAsia" w:ascii="Arial" w:hAnsi="Arial" w:cs="Arial"/>
        </w:rPr>
        <w:t>3.34</w:t>
      </w:r>
      <w:r>
        <w:rPr>
          <w:rFonts w:ascii="Arial" w:hAnsi="Arial" w:cs="Arial"/>
        </w:rPr>
        <w:t>万元,增长</w:t>
      </w:r>
      <w:r>
        <w:rPr>
          <w:rFonts w:hint="eastAsia" w:ascii="Arial" w:hAnsi="Arial" w:cs="Arial"/>
        </w:rPr>
        <w:t>0.5</w:t>
      </w:r>
      <w:r>
        <w:rPr>
          <w:rFonts w:ascii="Arial" w:hAnsi="Arial" w:cs="Arial"/>
        </w:rPr>
        <w:t>%,增加的原因</w:t>
      </w:r>
      <w:r>
        <w:rPr>
          <w:rFonts w:hint="eastAsia" w:ascii="Arial" w:hAnsi="Arial" w:cs="Arial"/>
        </w:rPr>
        <w:t>项目支出增加；</w:t>
      </w:r>
      <w:r>
        <w:rPr>
          <w:rFonts w:ascii="Arial" w:hAnsi="Arial" w:cs="Arial"/>
        </w:rPr>
        <w:t>上年结转结余</w:t>
      </w:r>
      <w:r>
        <w:rPr>
          <w:rFonts w:hint="eastAsia" w:ascii="Arial" w:hAnsi="Arial" w:cs="Arial"/>
        </w:rPr>
        <w:t>106.67</w:t>
      </w:r>
      <w:r>
        <w:rPr>
          <w:rFonts w:ascii="Arial" w:hAnsi="Arial" w:cs="Arial"/>
        </w:rPr>
        <w:t>万元</w:t>
      </w:r>
      <w:r>
        <w:rPr>
          <w:rFonts w:hint="eastAsia" w:ascii="Arial" w:hAnsi="Arial" w:cs="Arial"/>
        </w:rPr>
        <w:t>，</w:t>
      </w:r>
      <w:r>
        <w:rPr>
          <w:rFonts w:ascii="Arial" w:hAnsi="Arial" w:cs="Arial"/>
        </w:rPr>
        <w:t>占收入总预算</w:t>
      </w:r>
      <w:r>
        <w:rPr>
          <w:rFonts w:hint="eastAsia" w:ascii="Arial" w:hAnsi="Arial" w:cs="Arial"/>
        </w:rPr>
        <w:t>13.93</w:t>
      </w:r>
      <w:r>
        <w:rPr>
          <w:rFonts w:ascii="Arial" w:hAnsi="Arial" w:cs="Arial"/>
        </w:rPr>
        <w:t>%。</w:t>
      </w:r>
    </w:p>
    <w:p>
      <w:pPr>
        <w:pStyle w:val="6"/>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761.84</w:t>
      </w:r>
      <w:r>
        <w:rPr>
          <w:rFonts w:ascii="Arial" w:hAnsi="Arial" w:cs="Arial"/>
        </w:rPr>
        <w:t>万元,同比增加</w:t>
      </w:r>
      <w:r>
        <w:rPr>
          <w:rFonts w:hint="eastAsia" w:ascii="Arial" w:hAnsi="Arial" w:cs="Arial"/>
        </w:rPr>
        <w:t>99.41</w:t>
      </w:r>
      <w:r>
        <w:rPr>
          <w:rFonts w:ascii="Arial" w:hAnsi="Arial" w:cs="Arial"/>
        </w:rPr>
        <w:t>万元,增长</w:t>
      </w:r>
      <w:r>
        <w:rPr>
          <w:rFonts w:hint="eastAsia" w:ascii="Arial" w:hAnsi="Arial" w:cs="Arial"/>
        </w:rPr>
        <w:t>15</w:t>
      </w:r>
      <w:r>
        <w:rPr>
          <w:rFonts w:ascii="Arial" w:hAnsi="Arial" w:cs="Arial"/>
        </w:rPr>
        <w:t>%,增加的原因</w:t>
      </w:r>
      <w:r>
        <w:rPr>
          <w:rFonts w:hint="eastAsia" w:ascii="Arial" w:hAnsi="Arial" w:cs="Arial"/>
        </w:rPr>
        <w:t>项目支出增加，单位离退休费用增加</w:t>
      </w:r>
      <w:r>
        <w:rPr>
          <w:rFonts w:ascii="Arial" w:hAnsi="Arial" w:cs="Arial"/>
        </w:rPr>
        <w:t>。</w:t>
      </w:r>
    </w:p>
    <w:p>
      <w:pPr>
        <w:pStyle w:val="6"/>
        <w:widowControl/>
        <w:spacing w:before="150" w:beforeAutospacing="0" w:after="150" w:afterAutospacing="0" w:line="460" w:lineRule="exact"/>
        <w:ind w:firstLine="420"/>
        <w:rPr>
          <w:rFonts w:ascii="Arial" w:hAnsi="Arial" w:cs="Arial"/>
        </w:rPr>
      </w:pPr>
      <w:r>
        <w:rPr>
          <w:rFonts w:ascii="Arial" w:hAnsi="Arial" w:cs="Arial"/>
        </w:rPr>
        <w:t xml:space="preserve">五、一般公共预算支出情况说明 </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2023</w:t>
      </w:r>
      <w:r>
        <w:rPr>
          <w:rFonts w:ascii="Arial" w:hAnsi="Arial" w:cs="Arial"/>
        </w:rPr>
        <w:t xml:space="preserve">年一般公共预算支出预算  </w:t>
      </w:r>
      <w:r>
        <w:rPr>
          <w:rFonts w:hint="eastAsia" w:ascii="Arial" w:hAnsi="Arial" w:cs="Arial"/>
        </w:rPr>
        <w:t>761.84</w:t>
      </w:r>
      <w:r>
        <w:rPr>
          <w:rFonts w:ascii="Arial" w:hAnsi="Arial" w:cs="Arial"/>
        </w:rPr>
        <w:t>万元，同比</w:t>
      </w:r>
      <w:r>
        <w:rPr>
          <w:rFonts w:hint="eastAsia" w:ascii="Arial" w:hAnsi="Arial" w:cs="Arial"/>
        </w:rPr>
        <w:t>增加99.41</w:t>
      </w:r>
      <w:r>
        <w:rPr>
          <w:rFonts w:ascii="Arial" w:hAnsi="Arial" w:cs="Arial"/>
        </w:rPr>
        <w:t>万元， </w:t>
      </w:r>
      <w:r>
        <w:rPr>
          <w:rFonts w:hint="eastAsia" w:ascii="Arial" w:hAnsi="Arial" w:cs="Arial"/>
        </w:rPr>
        <w:t>增长15</w:t>
      </w:r>
      <w:r>
        <w:rPr>
          <w:rFonts w:ascii="Arial" w:hAnsi="Arial" w:cs="Arial"/>
        </w:rPr>
        <w:t>％。</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按支出功能分类科目划分,共分为</w:t>
      </w:r>
      <w:r>
        <w:rPr>
          <w:rFonts w:hint="eastAsia" w:ascii="Arial" w:hAnsi="Arial" w:cs="Arial"/>
        </w:rPr>
        <w:t>4</w:t>
      </w:r>
      <w:r>
        <w:rPr>
          <w:rFonts w:ascii="Arial" w:hAnsi="Arial" w:cs="Arial"/>
        </w:rPr>
        <w:t>类,其中:</w:t>
      </w:r>
    </w:p>
    <w:p>
      <w:pPr>
        <w:pStyle w:val="6"/>
        <w:widowControl/>
        <w:spacing w:before="150" w:beforeAutospacing="0" w:after="150" w:afterAutospacing="0" w:line="460" w:lineRule="exact"/>
        <w:ind w:firstLine="420"/>
        <w:rPr>
          <w:rFonts w:ascii="Arial" w:hAnsi="Arial" w:cs="Arial"/>
        </w:rPr>
      </w:pPr>
      <w:r>
        <w:rPr>
          <w:rFonts w:ascii="Arial" w:hAnsi="Arial" w:cs="Arial"/>
        </w:rPr>
        <w:t>（1）一般公共服务类科目</w:t>
      </w:r>
      <w:r>
        <w:rPr>
          <w:rFonts w:hint="eastAsia" w:ascii="Arial" w:hAnsi="Arial" w:cs="Arial"/>
        </w:rPr>
        <w:t>603.96</w:t>
      </w:r>
      <w:r>
        <w:rPr>
          <w:rFonts w:ascii="Arial" w:hAnsi="Arial" w:cs="Arial"/>
        </w:rPr>
        <w:t>万元，占一般公共预算支出预算</w:t>
      </w:r>
      <w:r>
        <w:rPr>
          <w:rFonts w:hint="eastAsia" w:ascii="Arial" w:hAnsi="Arial" w:cs="Arial"/>
        </w:rPr>
        <w:t>79.28</w:t>
      </w:r>
      <w:r>
        <w:rPr>
          <w:rFonts w:ascii="Arial" w:hAnsi="Arial" w:cs="Arial"/>
        </w:rPr>
        <w:t> ％，同比</w:t>
      </w:r>
      <w:r>
        <w:rPr>
          <w:rFonts w:hint="eastAsia" w:ascii="Arial" w:hAnsi="Arial" w:cs="Arial"/>
        </w:rPr>
        <w:t>增加86.96</w:t>
      </w:r>
      <w:r>
        <w:rPr>
          <w:rFonts w:ascii="Arial" w:hAnsi="Arial" w:cs="Arial"/>
        </w:rPr>
        <w:t>万元，</w:t>
      </w:r>
      <w:r>
        <w:rPr>
          <w:rFonts w:hint="eastAsia" w:ascii="Arial" w:hAnsi="Arial" w:cs="Arial"/>
        </w:rPr>
        <w:t>上升</w:t>
      </w:r>
      <w:r>
        <w:rPr>
          <w:rFonts w:ascii="Arial" w:hAnsi="Arial" w:cs="Arial"/>
        </w:rPr>
        <w:t> </w:t>
      </w:r>
      <w:r>
        <w:rPr>
          <w:rFonts w:hint="eastAsia" w:ascii="Arial" w:hAnsi="Arial" w:cs="Arial"/>
        </w:rPr>
        <w:t>16.82</w:t>
      </w:r>
      <w:r>
        <w:rPr>
          <w:rFonts w:ascii="Arial" w:hAnsi="Arial" w:cs="Arial"/>
        </w:rPr>
        <w:t>％。具体如下：</w:t>
      </w:r>
    </w:p>
    <w:p>
      <w:pPr>
        <w:pStyle w:val="6"/>
        <w:widowControl/>
        <w:spacing w:before="150" w:beforeAutospacing="0" w:after="150" w:afterAutospacing="0" w:line="460" w:lineRule="exact"/>
        <w:ind w:firstLine="420"/>
        <w:rPr>
          <w:rFonts w:ascii="Arial" w:hAnsi="Arial" w:cs="Arial"/>
        </w:rPr>
      </w:pPr>
      <w:r>
        <w:rPr>
          <w:rFonts w:ascii="Arial" w:hAnsi="Arial" w:cs="Arial"/>
        </w:rPr>
        <w:t>行政运行</w:t>
      </w:r>
      <w:r>
        <w:rPr>
          <w:rFonts w:hint="eastAsia" w:ascii="Arial" w:hAnsi="Arial" w:cs="Arial"/>
        </w:rPr>
        <w:t xml:space="preserve">390.17 </w:t>
      </w:r>
      <w:r>
        <w:rPr>
          <w:rFonts w:ascii="Arial" w:hAnsi="Arial" w:cs="Arial"/>
        </w:rPr>
        <w:t>万元，同比</w:t>
      </w:r>
      <w:r>
        <w:rPr>
          <w:rFonts w:hint="eastAsia" w:ascii="Arial" w:hAnsi="Arial" w:cs="Arial"/>
        </w:rPr>
        <w:t>增加43.29</w:t>
      </w:r>
      <w:r>
        <w:rPr>
          <w:rFonts w:ascii="Arial" w:hAnsi="Arial" w:cs="Arial"/>
        </w:rPr>
        <w:t>万元，</w:t>
      </w:r>
      <w:r>
        <w:rPr>
          <w:rFonts w:hint="eastAsia" w:ascii="Arial" w:hAnsi="Arial" w:cs="Arial"/>
        </w:rPr>
        <w:t>增长12.48</w:t>
      </w:r>
      <w:r>
        <w:rPr>
          <w:rFonts w:ascii="Arial" w:hAnsi="Arial" w:cs="Arial"/>
        </w:rPr>
        <w:t>％，全部是基本支出预算。主要用于</w:t>
      </w:r>
      <w:r>
        <w:rPr>
          <w:rFonts w:hint="eastAsia" w:ascii="Arial" w:hAnsi="Arial" w:cs="Arial"/>
        </w:rPr>
        <w:t>人员经费、公用经费</w:t>
      </w:r>
      <w:r>
        <w:rPr>
          <w:rFonts w:ascii="Arial" w:hAnsi="Arial" w:cs="Arial"/>
        </w:rPr>
        <w:t>，根据国家规定的基本工资和津补贴标准等安排的人员经费支出，按县级公用经费定额标准安排的办公费、印刷费、邮电费、水电费、差旅费等日常公用经费支出。</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政协会议支出38.7万元，同比无变化；</w:t>
      </w:r>
    </w:p>
    <w:p>
      <w:pPr>
        <w:pStyle w:val="6"/>
        <w:widowControl/>
        <w:spacing w:before="150" w:beforeAutospacing="0" w:after="150" w:afterAutospacing="0" w:line="460" w:lineRule="exact"/>
        <w:ind w:firstLine="420" w:firstLineChars="175"/>
        <w:rPr>
          <w:rFonts w:ascii="Arial" w:hAnsi="Arial" w:cs="Arial"/>
        </w:rPr>
      </w:pPr>
      <w:r>
        <w:rPr>
          <w:rFonts w:hint="eastAsia" w:ascii="Arial" w:hAnsi="Arial" w:cs="Arial"/>
        </w:rPr>
        <w:t>其他政协事务支出175.09 万元，同比增长43.67万元，同比增长33.18%。原因是新增基本支出20.52万元，项目支出增加23.15万元。</w:t>
      </w:r>
    </w:p>
    <w:p>
      <w:pPr>
        <w:pStyle w:val="6"/>
        <w:widowControl/>
        <w:spacing w:before="150" w:beforeAutospacing="0" w:after="150" w:afterAutospacing="0" w:line="460" w:lineRule="exact"/>
        <w:ind w:firstLine="420"/>
        <w:rPr>
          <w:rFonts w:ascii="Arial" w:hAnsi="Arial" w:cs="Arial"/>
        </w:rPr>
      </w:pPr>
      <w:r>
        <w:rPr>
          <w:rFonts w:ascii="Arial" w:hAnsi="Arial" w:cs="Arial"/>
        </w:rPr>
        <w:t>社会保障和就业支出</w:t>
      </w:r>
      <w:r>
        <w:rPr>
          <w:rFonts w:hint="eastAsia" w:ascii="Arial" w:hAnsi="Arial" w:cs="Arial"/>
        </w:rPr>
        <w:t>95.01</w:t>
      </w:r>
      <w:r>
        <w:rPr>
          <w:rFonts w:ascii="Arial" w:hAnsi="Arial" w:cs="Arial"/>
        </w:rPr>
        <w:t xml:space="preserve">万元,占一般公共预算支出预算 </w:t>
      </w:r>
      <w:r>
        <w:rPr>
          <w:rFonts w:hint="eastAsia" w:ascii="Arial" w:hAnsi="Arial" w:cs="Arial"/>
        </w:rPr>
        <w:t>12.47</w:t>
      </w:r>
      <w:r>
        <w:rPr>
          <w:rFonts w:ascii="Arial" w:hAnsi="Arial" w:cs="Arial"/>
        </w:rPr>
        <w:t>％，同比</w:t>
      </w:r>
      <w:r>
        <w:rPr>
          <w:rFonts w:hint="eastAsia" w:ascii="Arial" w:hAnsi="Arial" w:cs="Arial"/>
        </w:rPr>
        <w:t>增加12.44</w:t>
      </w:r>
      <w:r>
        <w:rPr>
          <w:rFonts w:ascii="Arial" w:hAnsi="Arial" w:cs="Arial"/>
        </w:rPr>
        <w:t xml:space="preserve"> 万元，</w:t>
      </w:r>
      <w:r>
        <w:rPr>
          <w:rFonts w:hint="eastAsia" w:ascii="Arial" w:hAnsi="Arial" w:cs="Arial"/>
        </w:rPr>
        <w:t>增加 15.07</w:t>
      </w:r>
      <w:r>
        <w:rPr>
          <w:rFonts w:ascii="Arial" w:hAnsi="Arial" w:cs="Arial"/>
        </w:rPr>
        <w:t> ％。具体如下：</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行政单位离退休：23.85万元，同比增长12.45万元，同比增长109.2%；</w:t>
      </w:r>
    </w:p>
    <w:p>
      <w:pPr>
        <w:pStyle w:val="6"/>
        <w:widowControl/>
        <w:spacing w:before="150" w:beforeAutospacing="0" w:after="150" w:afterAutospacing="0" w:line="460" w:lineRule="exact"/>
        <w:ind w:firstLine="420"/>
        <w:rPr>
          <w:rFonts w:ascii="Arial" w:hAnsi="Arial" w:cs="Arial"/>
        </w:rPr>
      </w:pPr>
      <w:r>
        <w:rPr>
          <w:rFonts w:ascii="Arial" w:hAnsi="Arial" w:cs="Arial"/>
        </w:rPr>
        <w:t xml:space="preserve">机关事业单位基本养老保险缴费支出 </w:t>
      </w:r>
      <w:r>
        <w:rPr>
          <w:rFonts w:hint="eastAsia" w:ascii="Arial" w:hAnsi="Arial" w:cs="Arial"/>
        </w:rPr>
        <w:t>47.44</w:t>
      </w:r>
      <w:r>
        <w:rPr>
          <w:rFonts w:ascii="Arial" w:hAnsi="Arial" w:cs="Arial"/>
        </w:rPr>
        <w:t>万元，同比</w:t>
      </w:r>
      <w:r>
        <w:rPr>
          <w:rFonts w:hint="eastAsia" w:ascii="Arial" w:hAnsi="Arial" w:cs="Arial"/>
        </w:rPr>
        <w:t>无变化</w:t>
      </w:r>
      <w:r>
        <w:rPr>
          <w:rFonts w:ascii="Arial" w:hAnsi="Arial" w:cs="Arial"/>
        </w:rPr>
        <w:t>，全部是基本支出预算。主要用于单位在职职工养老保险缴费。</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机关事业单位职业年金缴费支出23.72 万元，同比无变化。主要用于单位在职职工职业年金缴费。</w:t>
      </w:r>
    </w:p>
    <w:p>
      <w:pPr>
        <w:pStyle w:val="6"/>
        <w:widowControl/>
        <w:spacing w:before="150" w:beforeAutospacing="0" w:after="150" w:afterAutospacing="0" w:line="460" w:lineRule="exact"/>
        <w:ind w:firstLine="420"/>
        <w:rPr>
          <w:rFonts w:ascii="Arial" w:hAnsi="Arial" w:cs="Arial"/>
        </w:rPr>
      </w:pPr>
      <w:r>
        <w:rPr>
          <w:rFonts w:ascii="Arial" w:hAnsi="Arial" w:cs="Arial"/>
        </w:rPr>
        <w:t xml:space="preserve">（3）卫生健康支出 </w:t>
      </w:r>
      <w:r>
        <w:rPr>
          <w:rFonts w:hint="eastAsia" w:ascii="Arial" w:hAnsi="Arial" w:cs="Arial"/>
        </w:rPr>
        <w:t>27.28</w:t>
      </w:r>
      <w:r>
        <w:rPr>
          <w:rFonts w:ascii="Arial" w:hAnsi="Arial" w:cs="Arial"/>
        </w:rPr>
        <w:t>万元,占一般公共预算支出预算</w:t>
      </w:r>
      <w:r>
        <w:rPr>
          <w:rFonts w:hint="eastAsia" w:ascii="Arial" w:hAnsi="Arial" w:cs="Arial"/>
        </w:rPr>
        <w:t>3.58</w:t>
      </w:r>
      <w:r>
        <w:rPr>
          <w:rFonts w:ascii="Arial" w:hAnsi="Arial" w:cs="Arial"/>
        </w:rPr>
        <w:t xml:space="preserve"> %，同比</w:t>
      </w:r>
      <w:r>
        <w:rPr>
          <w:rFonts w:hint="eastAsia" w:ascii="Arial" w:hAnsi="Arial" w:cs="Arial"/>
        </w:rPr>
        <w:t>无变化</w:t>
      </w:r>
      <w:r>
        <w:rPr>
          <w:rFonts w:ascii="Arial" w:hAnsi="Arial" w:cs="Arial"/>
        </w:rPr>
        <w:t>。具体如下：</w:t>
      </w:r>
    </w:p>
    <w:p>
      <w:pPr>
        <w:pStyle w:val="6"/>
        <w:widowControl/>
        <w:spacing w:before="150" w:beforeAutospacing="0" w:after="150" w:afterAutospacing="0" w:line="460" w:lineRule="exact"/>
        <w:ind w:firstLine="420"/>
        <w:rPr>
          <w:rFonts w:ascii="Arial" w:hAnsi="Arial" w:cs="Arial"/>
        </w:rPr>
      </w:pPr>
      <w:r>
        <w:rPr>
          <w:rFonts w:ascii="Arial" w:hAnsi="Arial" w:cs="Arial"/>
        </w:rPr>
        <w:t>行政单位医疗</w:t>
      </w:r>
      <w:r>
        <w:rPr>
          <w:rFonts w:hint="eastAsia" w:ascii="Arial" w:hAnsi="Arial" w:cs="Arial"/>
        </w:rPr>
        <w:t>26.69</w:t>
      </w:r>
      <w:r>
        <w:rPr>
          <w:rFonts w:ascii="Arial" w:hAnsi="Arial" w:cs="Arial"/>
        </w:rPr>
        <w:t>万元，同比</w:t>
      </w:r>
      <w:r>
        <w:rPr>
          <w:rFonts w:hint="eastAsia" w:ascii="Arial" w:hAnsi="Arial" w:cs="Arial"/>
        </w:rPr>
        <w:t>无变化</w:t>
      </w:r>
      <w:r>
        <w:rPr>
          <w:rFonts w:ascii="Arial" w:hAnsi="Arial" w:cs="Arial"/>
        </w:rPr>
        <w:t>，全部是基本支出预算。是根据统一规定，按行政机关(含参公单位)在职职工工资总额的一定比例缴纳的基本医疗保险支出。</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其他</w:t>
      </w:r>
      <w:r>
        <w:rPr>
          <w:rFonts w:ascii="Arial" w:hAnsi="Arial" w:cs="Arial"/>
        </w:rPr>
        <w:t xml:space="preserve">事业单位医疗 </w:t>
      </w:r>
      <w:r>
        <w:rPr>
          <w:rFonts w:hint="eastAsia" w:ascii="Arial" w:hAnsi="Arial" w:cs="Arial"/>
        </w:rPr>
        <w:t>0.59</w:t>
      </w:r>
      <w:r>
        <w:rPr>
          <w:rFonts w:ascii="Arial" w:hAnsi="Arial" w:cs="Arial"/>
        </w:rPr>
        <w:t>万元，同比</w:t>
      </w:r>
      <w:r>
        <w:rPr>
          <w:rFonts w:hint="eastAsia" w:ascii="Arial" w:hAnsi="Arial" w:cs="Arial"/>
        </w:rPr>
        <w:t>无变化</w:t>
      </w:r>
      <w:r>
        <w:rPr>
          <w:rFonts w:ascii="Arial" w:hAnsi="Arial" w:cs="Arial"/>
        </w:rPr>
        <w:t>，全部是基本支出预算。是根据统一规定，按事业单位在职职工工资总额的一定比例缴纳的基本医疗保险支出。</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（4）</w:t>
      </w:r>
      <w:r>
        <w:rPr>
          <w:rFonts w:ascii="Arial" w:hAnsi="Arial" w:cs="Arial"/>
        </w:rPr>
        <w:t xml:space="preserve">住房保障支出 </w:t>
      </w:r>
      <w:r>
        <w:rPr>
          <w:rFonts w:hint="eastAsia" w:ascii="Arial" w:hAnsi="Arial" w:cs="Arial"/>
        </w:rPr>
        <w:t>35.58</w:t>
      </w:r>
      <w:r>
        <w:rPr>
          <w:rFonts w:ascii="Arial" w:hAnsi="Arial" w:cs="Arial"/>
        </w:rPr>
        <w:t>万元,占一般公共预算支出预算</w:t>
      </w:r>
      <w:r>
        <w:rPr>
          <w:rFonts w:hint="eastAsia" w:ascii="Arial" w:hAnsi="Arial" w:cs="Arial"/>
        </w:rPr>
        <w:t>4.67</w:t>
      </w:r>
      <w:r>
        <w:rPr>
          <w:rFonts w:ascii="Arial" w:hAnsi="Arial" w:cs="Arial"/>
        </w:rPr>
        <w:t>%，同比</w:t>
      </w:r>
      <w:r>
        <w:rPr>
          <w:rFonts w:hint="eastAsia" w:ascii="Arial" w:hAnsi="Arial" w:cs="Arial"/>
        </w:rPr>
        <w:t>无变化</w:t>
      </w:r>
      <w:r>
        <w:rPr>
          <w:rFonts w:ascii="Arial" w:hAnsi="Arial" w:cs="Arial"/>
        </w:rPr>
        <w:t>。具体如下：</w:t>
      </w:r>
    </w:p>
    <w:p>
      <w:pPr>
        <w:pStyle w:val="6"/>
        <w:widowControl/>
        <w:spacing w:before="150" w:beforeAutospacing="0" w:after="150" w:afterAutospacing="0" w:line="460" w:lineRule="exact"/>
        <w:ind w:firstLine="420"/>
        <w:rPr>
          <w:rFonts w:ascii="Arial" w:hAnsi="Arial" w:cs="Arial"/>
        </w:rPr>
      </w:pPr>
      <w:r>
        <w:rPr>
          <w:rFonts w:ascii="Arial" w:hAnsi="Arial" w:cs="Arial"/>
        </w:rPr>
        <w:t xml:space="preserve">住房公积金 </w:t>
      </w:r>
      <w:r>
        <w:rPr>
          <w:rFonts w:hint="eastAsia" w:ascii="Arial" w:hAnsi="Arial" w:cs="Arial"/>
        </w:rPr>
        <w:t>35.58</w:t>
      </w:r>
      <w:r>
        <w:rPr>
          <w:rFonts w:ascii="Arial" w:hAnsi="Arial" w:cs="Arial"/>
        </w:rPr>
        <w:t>万元，同比</w:t>
      </w:r>
      <w:r>
        <w:rPr>
          <w:rFonts w:hint="eastAsia" w:ascii="Arial" w:hAnsi="Arial" w:cs="Arial"/>
        </w:rPr>
        <w:t>无变化</w:t>
      </w:r>
      <w:r>
        <w:rPr>
          <w:rFonts w:ascii="Arial" w:hAnsi="Arial" w:cs="Arial"/>
        </w:rPr>
        <w:t>，全部是基本支出预算。是按照统一规定，为</w:t>
      </w:r>
      <w:r>
        <w:rPr>
          <w:rFonts w:hint="eastAsia" w:ascii="Arial" w:hAnsi="Arial" w:cs="Arial"/>
        </w:rPr>
        <w:t>部机关</w:t>
      </w:r>
      <w:r>
        <w:rPr>
          <w:rFonts w:ascii="Arial" w:hAnsi="Arial" w:cs="Arial"/>
        </w:rPr>
        <w:t>职工缴纳的住房公积金支出。</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六、一般公共预算基本支出情况说明</w:t>
      </w:r>
      <w:r>
        <w:rPr>
          <w:rFonts w:ascii="Arial" w:hAnsi="Arial" w:cs="Arial"/>
        </w:rPr>
        <w:tab/>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2023年一般公共预算基本支出</w:t>
      </w:r>
      <w:r>
        <w:rPr>
          <w:rFonts w:hint="eastAsia" w:ascii="Arial" w:hAnsi="Arial" w:cs="Arial"/>
        </w:rPr>
        <w:t>490.07</w:t>
      </w:r>
      <w:r>
        <w:rPr>
          <w:rFonts w:ascii="Arial" w:hAnsi="Arial" w:cs="Arial"/>
        </w:rPr>
        <w:t>万元,减少</w:t>
      </w:r>
      <w:r>
        <w:rPr>
          <w:rFonts w:hint="eastAsia" w:ascii="Arial" w:hAnsi="Arial" w:cs="Arial"/>
        </w:rPr>
        <w:t>2.24</w:t>
      </w:r>
      <w:r>
        <w:rPr>
          <w:rFonts w:ascii="Arial" w:hAnsi="Arial" w:cs="Arial"/>
        </w:rPr>
        <w:t>万元,下降</w:t>
      </w:r>
      <w:r>
        <w:rPr>
          <w:rFonts w:hint="eastAsia" w:ascii="Arial" w:hAnsi="Arial" w:cs="Arial"/>
        </w:rPr>
        <w:t>0.45</w:t>
      </w:r>
      <w:r>
        <w:rPr>
          <w:rFonts w:ascii="Arial" w:hAnsi="Arial" w:cs="Arial"/>
        </w:rPr>
        <w:t>%,下降的主要原因是</w:t>
      </w:r>
      <w:r>
        <w:rPr>
          <w:rFonts w:hint="eastAsia" w:ascii="Arial" w:hAnsi="Arial" w:cs="Arial"/>
        </w:rPr>
        <w:t>人员经费有所减少</w:t>
      </w:r>
      <w:r>
        <w:rPr>
          <w:rFonts w:ascii="Arial" w:hAnsi="Arial" w:cs="Arial"/>
        </w:rPr>
        <w:t>。其中:工资福利支出</w:t>
      </w:r>
      <w:r>
        <w:rPr>
          <w:rFonts w:hint="eastAsia" w:ascii="Arial" w:hAnsi="Arial" w:cs="Arial"/>
        </w:rPr>
        <w:t>430.55</w:t>
      </w:r>
      <w:r>
        <w:rPr>
          <w:rFonts w:ascii="Arial" w:hAnsi="Arial" w:cs="Arial"/>
        </w:rPr>
        <w:t>万元,减少</w:t>
      </w:r>
      <w:r>
        <w:rPr>
          <w:rFonts w:hint="eastAsia" w:ascii="Arial" w:hAnsi="Arial" w:cs="Arial"/>
        </w:rPr>
        <w:t>0.01</w:t>
      </w:r>
      <w:r>
        <w:rPr>
          <w:rFonts w:ascii="Arial" w:hAnsi="Arial" w:cs="Arial"/>
        </w:rPr>
        <w:t>万元,下降</w:t>
      </w:r>
      <w:r>
        <w:rPr>
          <w:rFonts w:hint="eastAsia" w:ascii="Arial" w:hAnsi="Arial" w:cs="Arial"/>
        </w:rPr>
        <w:t>0.002</w:t>
      </w:r>
      <w:r>
        <w:rPr>
          <w:rFonts w:ascii="Arial" w:hAnsi="Arial" w:cs="Arial"/>
        </w:rPr>
        <w:t>%,下降的主要原因是</w:t>
      </w:r>
      <w:r>
        <w:rPr>
          <w:rFonts w:hint="eastAsia" w:ascii="Arial" w:hAnsi="Arial" w:cs="Arial"/>
        </w:rPr>
        <w:t>年终绩效考核奖励减少</w:t>
      </w:r>
      <w:r>
        <w:rPr>
          <w:rFonts w:ascii="Arial" w:hAnsi="Arial" w:cs="Arial"/>
        </w:rPr>
        <w:t>。商品和服务支出</w:t>
      </w:r>
      <w:r>
        <w:rPr>
          <w:rFonts w:hint="eastAsia" w:ascii="Arial" w:hAnsi="Arial" w:cs="Arial"/>
        </w:rPr>
        <w:t>47.52</w:t>
      </w:r>
      <w:r>
        <w:rPr>
          <w:rFonts w:ascii="Arial" w:hAnsi="Arial" w:cs="Arial"/>
        </w:rPr>
        <w:t>万元,减少</w:t>
      </w:r>
      <w:r>
        <w:rPr>
          <w:rFonts w:hint="eastAsia" w:ascii="Arial" w:hAnsi="Arial" w:cs="Arial"/>
        </w:rPr>
        <w:t>2.07</w:t>
      </w:r>
      <w:r>
        <w:rPr>
          <w:rFonts w:ascii="Arial" w:hAnsi="Arial" w:cs="Arial"/>
        </w:rPr>
        <w:t>万元,下降</w:t>
      </w:r>
      <w:r>
        <w:rPr>
          <w:rFonts w:hint="eastAsia" w:ascii="Arial" w:hAnsi="Arial" w:cs="Arial"/>
        </w:rPr>
        <w:t>4.17</w:t>
      </w:r>
      <w:r>
        <w:rPr>
          <w:rFonts w:ascii="Arial" w:hAnsi="Arial" w:cs="Arial"/>
        </w:rPr>
        <w:t>%。下降的主要原因是</w:t>
      </w:r>
      <w:r>
        <w:rPr>
          <w:rFonts w:hint="eastAsia" w:ascii="Arial" w:hAnsi="Arial" w:cs="Arial"/>
        </w:rPr>
        <w:t>公用经费缩减，节省开支</w:t>
      </w:r>
      <w:r>
        <w:rPr>
          <w:rFonts w:ascii="Arial" w:hAnsi="Arial" w:cs="Arial"/>
        </w:rPr>
        <w:t>。对个人和家庭的补助</w:t>
      </w:r>
      <w:r>
        <w:rPr>
          <w:rFonts w:hint="eastAsia" w:ascii="Arial" w:hAnsi="Arial" w:cs="Arial"/>
        </w:rPr>
        <w:t>12</w:t>
      </w:r>
      <w:r>
        <w:rPr>
          <w:rFonts w:ascii="Arial" w:hAnsi="Arial" w:cs="Arial"/>
        </w:rPr>
        <w:t>万元,减少</w:t>
      </w:r>
      <w:r>
        <w:rPr>
          <w:rFonts w:hint="eastAsia" w:ascii="Arial" w:hAnsi="Arial" w:cs="Arial"/>
        </w:rPr>
        <w:t>0.16</w:t>
      </w:r>
      <w:r>
        <w:rPr>
          <w:rFonts w:ascii="Arial" w:hAnsi="Arial" w:cs="Arial"/>
        </w:rPr>
        <w:t>万元,下降</w:t>
      </w:r>
      <w:r>
        <w:rPr>
          <w:rFonts w:hint="eastAsia" w:ascii="Arial" w:hAnsi="Arial" w:cs="Arial"/>
        </w:rPr>
        <w:t>1.31</w:t>
      </w:r>
      <w:r>
        <w:rPr>
          <w:rFonts w:ascii="Arial" w:hAnsi="Arial" w:cs="Arial"/>
        </w:rPr>
        <w:t>%。下降的主要原因是</w:t>
      </w:r>
      <w:r>
        <w:rPr>
          <w:rFonts w:hint="eastAsia" w:ascii="Arial" w:hAnsi="Arial" w:cs="Arial"/>
        </w:rPr>
        <w:t>生活补助减少</w:t>
      </w:r>
      <w:r>
        <w:rPr>
          <w:rFonts w:ascii="Arial" w:hAnsi="Arial" w:cs="Arial"/>
        </w:rPr>
        <w:t>。</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七、财政拨款三公两费支出情况说明</w:t>
      </w:r>
    </w:p>
    <w:p>
      <w:pPr>
        <w:pStyle w:val="6"/>
        <w:widowControl/>
        <w:spacing w:before="150" w:beforeAutospacing="0" w:after="150" w:afterAutospacing="0" w:line="460" w:lineRule="exact"/>
        <w:ind w:firstLine="420"/>
        <w:rPr>
          <w:rFonts w:ascii="Arial" w:hAnsi="Arial" w:cs="Arial"/>
        </w:rPr>
      </w:pPr>
      <w:r>
        <w:rPr>
          <w:rFonts w:ascii="Arial" w:hAnsi="Arial" w:cs="Arial"/>
        </w:rPr>
        <w:t> </w:t>
      </w:r>
      <w:r>
        <w:rPr>
          <w:rFonts w:hint="eastAsia" w:ascii="Arial" w:hAnsi="Arial" w:cs="Arial"/>
        </w:rPr>
        <w:t>2023</w:t>
      </w:r>
      <w:r>
        <w:rPr>
          <w:rFonts w:ascii="Arial" w:hAnsi="Arial" w:cs="Arial"/>
        </w:rPr>
        <w:t>年一般公共预算安排的“三公”经费共</w:t>
      </w:r>
      <w:r>
        <w:rPr>
          <w:rFonts w:hint="eastAsia" w:ascii="Arial" w:hAnsi="Arial" w:cs="Arial"/>
        </w:rPr>
        <w:t>40.7</w:t>
      </w:r>
      <w:r>
        <w:rPr>
          <w:rFonts w:ascii="Arial" w:hAnsi="Arial" w:cs="Arial"/>
        </w:rPr>
        <w:t>万元，增加</w:t>
      </w:r>
      <w:r>
        <w:rPr>
          <w:rFonts w:hint="eastAsia" w:ascii="Arial" w:hAnsi="Arial" w:cs="Arial"/>
        </w:rPr>
        <w:t>34.7</w:t>
      </w:r>
      <w:r>
        <w:rPr>
          <w:rFonts w:ascii="Arial" w:hAnsi="Arial" w:cs="Arial"/>
        </w:rPr>
        <w:t>万元，增长</w:t>
      </w:r>
      <w:r>
        <w:rPr>
          <w:rFonts w:hint="eastAsia" w:ascii="Arial" w:hAnsi="Arial" w:cs="Arial"/>
        </w:rPr>
        <w:t>578</w:t>
      </w:r>
      <w:r>
        <w:rPr>
          <w:rFonts w:ascii="Arial" w:hAnsi="Arial" w:cs="Arial"/>
        </w:rPr>
        <w:t xml:space="preserve"> ％。具体如下：</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1、因公出国（境）经费无预算安排，同比无变化。</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 xml:space="preserve">2、公务接待费预算 </w:t>
      </w:r>
      <w:r>
        <w:rPr>
          <w:rFonts w:hint="eastAsia" w:ascii="Arial" w:hAnsi="Arial" w:cs="Arial"/>
        </w:rPr>
        <w:t>20</w:t>
      </w:r>
      <w:r>
        <w:rPr>
          <w:rFonts w:ascii="Arial" w:hAnsi="Arial" w:cs="Arial"/>
        </w:rPr>
        <w:t>万元，增加</w:t>
      </w:r>
      <w:r>
        <w:rPr>
          <w:rFonts w:hint="eastAsia" w:ascii="Arial" w:hAnsi="Arial" w:cs="Arial"/>
        </w:rPr>
        <w:t>14</w:t>
      </w:r>
      <w:r>
        <w:rPr>
          <w:rFonts w:ascii="Arial" w:hAnsi="Arial" w:cs="Arial"/>
        </w:rPr>
        <w:t>万元，增长</w:t>
      </w:r>
      <w:r>
        <w:rPr>
          <w:rFonts w:hint="eastAsia" w:ascii="Arial" w:hAnsi="Arial" w:cs="Arial"/>
        </w:rPr>
        <w:t>233</w:t>
      </w:r>
      <w:r>
        <w:rPr>
          <w:rFonts w:ascii="Arial" w:hAnsi="Arial" w:cs="Arial"/>
        </w:rPr>
        <w:t xml:space="preserve"> ％。</w:t>
      </w:r>
      <w:r>
        <w:rPr>
          <w:rFonts w:hint="eastAsia" w:ascii="Arial" w:hAnsi="Arial" w:cs="Arial"/>
        </w:rPr>
        <w:t>增长的主要原因是其他市、县到我县的红色旅游考察增加，导致公务接待增加</w:t>
      </w:r>
      <w:r>
        <w:rPr>
          <w:rFonts w:ascii="Arial" w:hAnsi="Arial" w:cs="Arial"/>
        </w:rPr>
        <w:t>。</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3、公务用车购置和运行维护费预算</w:t>
      </w:r>
      <w:r>
        <w:rPr>
          <w:rFonts w:hint="eastAsia" w:ascii="Arial" w:hAnsi="Arial" w:cs="Arial"/>
        </w:rPr>
        <w:t xml:space="preserve">  0</w:t>
      </w:r>
      <w:r>
        <w:rPr>
          <w:rFonts w:ascii="Arial" w:hAnsi="Arial" w:cs="Arial"/>
        </w:rPr>
        <w:t xml:space="preserve"> 万元，同比无变化。</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4.会议费预算20.7万元，增加20.7万元，增长100%。增长的主要原因是今年召开“两会”，会议费相应增加。</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八、政府性基金预算支出情况说明</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本单位2023</w:t>
      </w:r>
      <w:r>
        <w:rPr>
          <w:rFonts w:ascii="Arial" w:hAnsi="Arial" w:cs="Arial"/>
        </w:rPr>
        <w:t>年</w:t>
      </w:r>
      <w:r>
        <w:rPr>
          <w:rFonts w:hint="eastAsia" w:ascii="Arial" w:hAnsi="Arial" w:cs="Arial"/>
        </w:rPr>
        <w:t>无</w:t>
      </w:r>
      <w:r>
        <w:rPr>
          <w:rFonts w:ascii="Arial" w:hAnsi="Arial" w:cs="Arial"/>
        </w:rPr>
        <w:t>政府性基金预算</w:t>
      </w:r>
      <w:r>
        <w:rPr>
          <w:rFonts w:hint="eastAsia" w:ascii="Arial" w:hAnsi="Arial" w:cs="Arial"/>
        </w:rPr>
        <w:t>安排的</w:t>
      </w:r>
      <w:r>
        <w:rPr>
          <w:rFonts w:ascii="Arial" w:hAnsi="Arial" w:cs="Arial"/>
        </w:rPr>
        <w:t>支出。</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九、国有资本经营预算支出情况说明</w:t>
      </w:r>
    </w:p>
    <w:p>
      <w:pPr>
        <w:pStyle w:val="6"/>
        <w:widowControl/>
        <w:spacing w:before="150" w:beforeAutospacing="0" w:after="150" w:afterAutospacing="0" w:line="460" w:lineRule="exact"/>
        <w:ind w:firstLine="240" w:firstLineChars="100"/>
        <w:rPr>
          <w:rFonts w:ascii="Arial" w:hAnsi="Arial" w:cs="Arial"/>
        </w:rPr>
      </w:pPr>
      <w:r>
        <w:rPr>
          <w:rFonts w:ascii="Arial" w:hAnsi="Arial" w:cs="Arial"/>
        </w:rPr>
        <w:t>　单位无使用国有资本经营预算安排的支出。</w:t>
      </w:r>
    </w:p>
    <w:p>
      <w:pPr>
        <w:pStyle w:val="6"/>
        <w:widowControl/>
        <w:spacing w:before="150" w:beforeAutospacing="0" w:after="150" w:afterAutospacing="0" w:line="460" w:lineRule="exact"/>
        <w:ind w:firstLine="420"/>
        <w:rPr>
          <w:rFonts w:ascii="Arial" w:hAnsi="Arial" w:cs="Arial"/>
        </w:rPr>
      </w:pPr>
      <w:r>
        <w:rPr>
          <w:rFonts w:ascii="Arial" w:hAnsi="Arial" w:cs="Arial"/>
        </w:rPr>
        <w:t> 十、其他重要事项情况说明</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w:t>
      </w:r>
      <w:r>
        <w:rPr>
          <w:rFonts w:ascii="Arial" w:hAnsi="Arial" w:cs="Arial"/>
        </w:rPr>
        <w:t>一</w:t>
      </w:r>
      <w:r>
        <w:rPr>
          <w:rFonts w:hint="eastAsia" w:ascii="Arial" w:hAnsi="Arial" w:cs="Arial"/>
        </w:rPr>
        <w:t>）</w:t>
      </w:r>
      <w:r>
        <w:rPr>
          <w:rFonts w:ascii="Arial" w:hAnsi="Arial" w:cs="Arial"/>
        </w:rPr>
        <w:t>机关运行经费安排情况说明</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2023</w:t>
      </w:r>
      <w:r>
        <w:rPr>
          <w:rFonts w:ascii="Arial" w:hAnsi="Arial" w:cs="Arial"/>
        </w:rPr>
        <w:t>年机关运行经费</w:t>
      </w:r>
      <w:r>
        <w:rPr>
          <w:rFonts w:hint="eastAsia" w:ascii="Arial" w:hAnsi="Arial" w:cs="Arial"/>
        </w:rPr>
        <w:t xml:space="preserve"> 47.52 </w:t>
      </w:r>
      <w:r>
        <w:rPr>
          <w:rFonts w:ascii="Arial" w:hAnsi="Arial" w:cs="Arial"/>
        </w:rPr>
        <w:t>万元，</w:t>
      </w:r>
      <w:r>
        <w:rPr>
          <w:rFonts w:hint="eastAsia" w:ascii="Arial" w:hAnsi="Arial" w:cs="Arial"/>
        </w:rPr>
        <w:t>同比</w:t>
      </w:r>
      <w:r>
        <w:rPr>
          <w:rFonts w:ascii="Arial" w:hAnsi="Arial" w:cs="Arial"/>
        </w:rPr>
        <w:t>减少</w:t>
      </w:r>
      <w:r>
        <w:rPr>
          <w:rFonts w:hint="eastAsia" w:ascii="Arial" w:hAnsi="Arial" w:cs="Arial"/>
        </w:rPr>
        <w:t>2.07</w:t>
      </w:r>
      <w:r>
        <w:rPr>
          <w:rFonts w:ascii="Arial" w:hAnsi="Arial" w:cs="Arial"/>
        </w:rPr>
        <w:t xml:space="preserve"> 万元，下降</w:t>
      </w:r>
      <w:r>
        <w:rPr>
          <w:rFonts w:hint="eastAsia" w:ascii="Arial" w:hAnsi="Arial" w:cs="Arial"/>
        </w:rPr>
        <w:t>4.17</w:t>
      </w:r>
      <w:r>
        <w:rPr>
          <w:rFonts w:ascii="Arial" w:hAnsi="Arial" w:cs="Arial"/>
        </w:rPr>
        <w:t>％。下降的主要原因是</w:t>
      </w:r>
      <w:r>
        <w:rPr>
          <w:rFonts w:hint="eastAsia" w:ascii="Arial" w:hAnsi="Arial" w:cs="Arial"/>
        </w:rPr>
        <w:t>减少开支</w:t>
      </w:r>
      <w:r>
        <w:rPr>
          <w:rFonts w:ascii="Arial" w:hAnsi="Arial" w:cs="Arial"/>
        </w:rPr>
        <w:t>。具体包括办公费</w:t>
      </w:r>
      <w:r>
        <w:rPr>
          <w:rFonts w:hint="eastAsia" w:ascii="Arial" w:hAnsi="Arial" w:cs="Arial"/>
        </w:rPr>
        <w:t xml:space="preserve"> 5 </w:t>
      </w:r>
      <w:r>
        <w:rPr>
          <w:rFonts w:ascii="Arial" w:hAnsi="Arial" w:cs="Arial"/>
        </w:rPr>
        <w:t>万元、</w:t>
      </w:r>
      <w:r>
        <w:rPr>
          <w:rFonts w:hint="eastAsia" w:ascii="Arial" w:hAnsi="Arial" w:cs="Arial"/>
        </w:rPr>
        <w:t>差旅费10万元、维修（维护）费3.52万元、公务接待费2万元、</w:t>
      </w:r>
      <w:r>
        <w:rPr>
          <w:rFonts w:ascii="Arial" w:hAnsi="Arial" w:cs="Arial"/>
        </w:rPr>
        <w:t>其他交通费用</w:t>
      </w:r>
      <w:r>
        <w:rPr>
          <w:rFonts w:hint="eastAsia" w:ascii="Arial" w:hAnsi="Arial" w:cs="Arial"/>
        </w:rPr>
        <w:t>27</w:t>
      </w:r>
      <w:r>
        <w:rPr>
          <w:rFonts w:ascii="Arial" w:hAnsi="Arial" w:cs="Arial"/>
        </w:rPr>
        <w:t>万元。</w:t>
      </w:r>
    </w:p>
    <w:p>
      <w:pPr>
        <w:pStyle w:val="6"/>
        <w:widowControl/>
        <w:spacing w:before="150" w:beforeAutospacing="0" w:after="150" w:afterAutospacing="0" w:line="460" w:lineRule="exact"/>
        <w:ind w:firstLine="420"/>
        <w:rPr>
          <w:rFonts w:ascii="Arial" w:hAnsi="Arial" w:cs="Arial"/>
        </w:rPr>
      </w:pPr>
      <w:r>
        <w:rPr>
          <w:rFonts w:ascii="Arial" w:hAnsi="Arial" w:cs="Arial"/>
        </w:rPr>
        <w:t> </w:t>
      </w:r>
      <w:r>
        <w:rPr>
          <w:rFonts w:hint="eastAsia" w:ascii="Arial" w:hAnsi="Arial" w:cs="Arial"/>
        </w:rPr>
        <w:t>（二）</w:t>
      </w:r>
      <w:r>
        <w:rPr>
          <w:rFonts w:ascii="Arial" w:hAnsi="Arial" w:cs="Arial"/>
        </w:rPr>
        <w:t>政府采购预算安排情况说明</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单位无政府采购。</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（三）</w:t>
      </w:r>
      <w:r>
        <w:rPr>
          <w:rFonts w:ascii="Arial" w:hAnsi="Arial" w:cs="Arial"/>
        </w:rPr>
        <w:t>国有资产占有使用情况说明</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截至202</w:t>
      </w:r>
      <w:r>
        <w:rPr>
          <w:rFonts w:hint="eastAsia" w:ascii="Arial" w:hAnsi="Arial" w:cs="Arial"/>
        </w:rPr>
        <w:t>2</w:t>
      </w:r>
      <w:r>
        <w:rPr>
          <w:rFonts w:ascii="Arial" w:hAnsi="Arial" w:cs="Arial"/>
        </w:rPr>
        <w:t>年12月31日，本部门资产总计</w:t>
      </w:r>
      <w:r>
        <w:rPr>
          <w:rFonts w:hint="eastAsia" w:ascii="Arial" w:hAnsi="Arial" w:cs="Arial"/>
        </w:rPr>
        <w:t>41.65</w:t>
      </w:r>
      <w:r>
        <w:rPr>
          <w:rFonts w:ascii="Arial" w:hAnsi="Arial" w:cs="Arial"/>
        </w:rPr>
        <w:t>万元，其中：流动资产</w:t>
      </w:r>
      <w:r>
        <w:rPr>
          <w:rFonts w:hint="eastAsia" w:ascii="Arial" w:hAnsi="Arial" w:cs="Arial"/>
        </w:rPr>
        <w:t>8.01</w:t>
      </w:r>
      <w:r>
        <w:rPr>
          <w:rFonts w:ascii="Arial" w:hAnsi="Arial" w:cs="Arial"/>
        </w:rPr>
        <w:t> 万元，固定资产</w:t>
      </w:r>
      <w:r>
        <w:rPr>
          <w:rFonts w:hint="eastAsia" w:ascii="Arial" w:hAnsi="Arial" w:cs="Arial"/>
        </w:rPr>
        <w:t>（净值）33.64</w:t>
      </w:r>
      <w:r>
        <w:rPr>
          <w:rFonts w:ascii="Arial" w:hAnsi="Arial" w:cs="Arial"/>
        </w:rPr>
        <w:t>万元，在建工程</w:t>
      </w:r>
      <w:r>
        <w:rPr>
          <w:rFonts w:hint="eastAsia" w:ascii="Arial" w:hAnsi="Arial" w:cs="Arial"/>
        </w:rPr>
        <w:t>0</w:t>
      </w:r>
      <w:r>
        <w:rPr>
          <w:rFonts w:ascii="Arial" w:hAnsi="Arial" w:cs="Arial"/>
        </w:rPr>
        <w:t>万元，无形资产 </w:t>
      </w:r>
      <w:r>
        <w:rPr>
          <w:rFonts w:hint="eastAsia" w:ascii="Arial" w:hAnsi="Arial" w:cs="Arial"/>
        </w:rPr>
        <w:t>0</w:t>
      </w:r>
      <w:r>
        <w:rPr>
          <w:rFonts w:ascii="Arial" w:hAnsi="Arial" w:cs="Arial"/>
        </w:rPr>
        <w:t> 万元。</w:t>
      </w:r>
    </w:p>
    <w:p>
      <w:pPr>
        <w:pStyle w:val="6"/>
        <w:widowControl/>
        <w:spacing w:before="150" w:beforeAutospacing="0" w:after="150" w:afterAutospacing="0" w:line="460" w:lineRule="exact"/>
        <w:ind w:firstLine="420"/>
        <w:rPr>
          <w:rFonts w:ascii="Arial" w:hAnsi="Arial" w:cs="Arial"/>
        </w:rPr>
      </w:pPr>
      <w:r>
        <w:rPr>
          <w:rFonts w:ascii="Arial" w:hAnsi="Arial" w:cs="Arial"/>
        </w:rPr>
        <w:t>本部门实际可调配使用车辆</w:t>
      </w:r>
      <w:r>
        <w:rPr>
          <w:rFonts w:hint="eastAsia" w:ascii="Arial" w:hAnsi="Arial" w:cs="Arial"/>
        </w:rPr>
        <w:t xml:space="preserve"> 4</w:t>
      </w:r>
      <w:r>
        <w:rPr>
          <w:rFonts w:ascii="Arial" w:hAnsi="Arial" w:cs="Arial"/>
        </w:rPr>
        <w:t xml:space="preserve"> 辆，其中：一般公务用车辆 </w:t>
      </w:r>
      <w:r>
        <w:rPr>
          <w:rFonts w:hint="eastAsia" w:ascii="Arial" w:hAnsi="Arial" w:cs="Arial"/>
        </w:rPr>
        <w:t>4</w:t>
      </w:r>
      <w:r>
        <w:rPr>
          <w:rFonts w:ascii="Arial" w:hAnsi="Arial" w:cs="Arial"/>
        </w:rPr>
        <w:t> 辆。</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（四）</w:t>
      </w:r>
      <w:r>
        <w:rPr>
          <w:rFonts w:ascii="Arial" w:hAnsi="Arial" w:cs="Arial"/>
        </w:rPr>
        <w:t>重点项目预算绩效目标等情况说明</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本部门2023年部门预算所有项目均已编制绩效目标列入绩效考核范围，其中：</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重点项目绩效目标1个；</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项目名称：政协会议经费；</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项目预算金额38.7万元；</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实施进度计划：预计2023年信息6月30日前完成；</w:t>
      </w:r>
    </w:p>
    <w:p>
      <w:pPr>
        <w:pStyle w:val="6"/>
        <w:widowControl/>
        <w:spacing w:before="150" w:beforeAutospacing="0" w:after="150" w:afterAutospacing="0" w:line="460" w:lineRule="exact"/>
        <w:ind w:firstLine="420"/>
        <w:rPr>
          <w:rFonts w:ascii="Arial" w:hAnsi="Arial" w:cs="Arial"/>
        </w:rPr>
      </w:pPr>
      <w:r>
        <w:rPr>
          <w:rFonts w:hint="eastAsia" w:ascii="Arial" w:hAnsi="Arial" w:cs="Arial"/>
        </w:rPr>
        <w:t>年度目标：根据《中国人民政治协商会议章程》，中国人民政治协商会议各级地方委员会的全体会议每年至少举行一次。项目经费主要用于会议材料的打印装订、会议用品的采购、参会委员的食宿安排、非行政、企、事业单位委员误工补助的发放等。</w:t>
      </w:r>
    </w:p>
    <w:p>
      <w:pPr>
        <w:pStyle w:val="6"/>
        <w:widowControl/>
        <w:spacing w:before="150" w:beforeAutospacing="0" w:after="150" w:afterAutospacing="0" w:line="460" w:lineRule="exact"/>
        <w:ind w:firstLine="420"/>
        <w:rPr>
          <w:rFonts w:ascii="Arial" w:hAnsi="Arial" w:cs="Arial"/>
        </w:rPr>
      </w:pPr>
    </w:p>
    <w:p>
      <w:pPr>
        <w:pStyle w:val="6"/>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一、财政拨款收入：指财政部门当年拨付的资金。</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二、事业收入：指事业单位开展专业业务活动及辅助活动所取得的收入。</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三、其他收入：指除上述“财政拨款收入”、“事业收入”、“经营收入”等以外的收入。</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四、基本支出：指为保障机构正常运转、完成日常工作任务而发生的人员支出和公用支出。</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五、项目支出：指在基本支出之外为完成特定行政任务和事业发展目标所发生的支出。</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六、一般公共服务支出：反映政府提供一般公共服务的支出。</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七、社会保障和就业支出：反映政府在社会保障与就业方面的支出。</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八、卫生健康支出：反映政府卫生健康方面的支出。</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九、住房保障支出：集中反映政府用于住房方面的支出。</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widowControl/>
        <w:spacing w:before="150" w:beforeAutospacing="0" w:after="150" w:afterAutospacing="0" w:line="460" w:lineRule="exact"/>
        <w:ind w:firstLine="540" w:firstLineChars="225"/>
        <w:rPr>
          <w:rFonts w:ascii="Arial" w:hAnsi="Arial" w:cs="Arial"/>
        </w:rPr>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十二、行政运行：反映行政单位（包括实行公务员管理的事业单位）的基本支出。</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十三、政协会议：反映各级政协召开政治协商会议等专门会议的支出。</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十四、其他政协事务支出：反映除上述项目以外的其他政协事务支出。</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十五、行政单位离退休：反映行政单位离退休干部生活补助支出。</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十六、机关事业单位基本养老保险缴费支出：反映机关事业单位实施养老保险制度由单位缴纳的基本养老保险费支出。</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十七、机关事业单位职业年金缴费支出：反映机关事业单位实施职业年金制度由单位缴纳的职业年金缴费支出。</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行政单位医疗支出：反映财政部门集中安排的机关事业单位基本医疗保险缴费经费。</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其他行政单位医疗支出：反映财政部门集中安排的机关事业单位基本医疗保险缴费经费。</w:t>
      </w:r>
    </w:p>
    <w:p>
      <w:pPr>
        <w:pStyle w:val="6"/>
        <w:widowControl/>
        <w:spacing w:before="150" w:beforeAutospacing="0" w:after="150" w:afterAutospacing="0" w:line="460" w:lineRule="exact"/>
        <w:ind w:firstLine="540" w:firstLineChars="225"/>
        <w:rPr>
          <w:rFonts w:ascii="Arial" w:hAnsi="Arial" w:cs="Arial"/>
        </w:rPr>
      </w:pPr>
      <w:r>
        <w:rPr>
          <w:rFonts w:hint="eastAsia" w:ascii="Arial" w:hAnsi="Arial" w:cs="Arial"/>
        </w:rPr>
        <w:t>二十、住房公积金支出：反映行政事业单位按人力资源和社会保障部、财政部规定的基本工资和津贴补贴以及规定比例为职工缴纳的住房公积金。</w:t>
      </w:r>
    </w:p>
    <w:p>
      <w:pPr>
        <w:pStyle w:val="6"/>
        <w:widowControl/>
        <w:spacing w:before="274" w:beforeAutospacing="0" w:after="274" w:afterAutospacing="0" w:line="360" w:lineRule="auto"/>
        <w:ind w:firstLine="475"/>
        <w:rPr>
          <w:rFonts w:ascii="Arial" w:hAnsi="Arial" w:cs="Arial"/>
        </w:rPr>
      </w:pPr>
    </w:p>
    <w:p>
      <w:pPr>
        <w:pStyle w:val="6"/>
        <w:widowControl/>
        <w:spacing w:before="274" w:beforeAutospacing="0" w:after="274" w:afterAutospacing="0" w:line="360" w:lineRule="auto"/>
        <w:ind w:firstLine="475"/>
        <w:rPr>
          <w:rFonts w:ascii="Arial" w:hAnsi="Arial" w:cs="Arial"/>
        </w:rPr>
      </w:pPr>
    </w:p>
    <w:p>
      <w:pPr>
        <w:pStyle w:val="6"/>
        <w:widowControl/>
        <w:spacing w:before="274" w:beforeAutospacing="0" w:after="274" w:afterAutospacing="0" w:line="360" w:lineRule="auto"/>
        <w:ind w:firstLine="475"/>
        <w:rPr>
          <w:rFonts w:ascii="Arial" w:hAnsi="Arial" w:cs="Arial"/>
        </w:rPr>
      </w:pPr>
      <w:r>
        <w:rPr>
          <w:rFonts w:ascii="Arial" w:hAnsi="Arial" w:cs="Arial"/>
        </w:rPr>
        <w:t> </w:t>
      </w:r>
    </w:p>
    <w:p>
      <w:pPr>
        <w:pStyle w:val="6"/>
        <w:widowControl/>
        <w:spacing w:before="274" w:beforeAutospacing="0" w:after="274" w:afterAutospacing="0" w:line="360" w:lineRule="auto"/>
        <w:ind w:firstLine="475"/>
        <w:rPr>
          <w:rFonts w:ascii="Arial" w:hAnsi="Arial" w:cs="Arial"/>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MyMWNmZDkzNmFmNDdkMjYzYTg0YjVhZmE1YjI1MTQifQ=="/>
  </w:docVars>
  <w:rsids>
    <w:rsidRoot w:val="00ED7C1D"/>
    <w:rsid w:val="000A38AD"/>
    <w:rsid w:val="000D7F5B"/>
    <w:rsid w:val="00163E6A"/>
    <w:rsid w:val="00164FFA"/>
    <w:rsid w:val="00184458"/>
    <w:rsid w:val="001962A8"/>
    <w:rsid w:val="001B53D2"/>
    <w:rsid w:val="001F5862"/>
    <w:rsid w:val="0020011C"/>
    <w:rsid w:val="0020353C"/>
    <w:rsid w:val="002565B5"/>
    <w:rsid w:val="00264885"/>
    <w:rsid w:val="002C1B85"/>
    <w:rsid w:val="002C7FC3"/>
    <w:rsid w:val="002D76D9"/>
    <w:rsid w:val="00312DBB"/>
    <w:rsid w:val="00336304"/>
    <w:rsid w:val="00355324"/>
    <w:rsid w:val="00373BE6"/>
    <w:rsid w:val="003845CC"/>
    <w:rsid w:val="00396601"/>
    <w:rsid w:val="0041581B"/>
    <w:rsid w:val="004653F5"/>
    <w:rsid w:val="00483F15"/>
    <w:rsid w:val="00511B83"/>
    <w:rsid w:val="0052517F"/>
    <w:rsid w:val="00526EAA"/>
    <w:rsid w:val="005701FB"/>
    <w:rsid w:val="005A3657"/>
    <w:rsid w:val="005D730E"/>
    <w:rsid w:val="00612455"/>
    <w:rsid w:val="00622308"/>
    <w:rsid w:val="00623605"/>
    <w:rsid w:val="00656FFA"/>
    <w:rsid w:val="00660FF8"/>
    <w:rsid w:val="006A36EF"/>
    <w:rsid w:val="006E7067"/>
    <w:rsid w:val="00740155"/>
    <w:rsid w:val="0075569D"/>
    <w:rsid w:val="0079149F"/>
    <w:rsid w:val="007A09A4"/>
    <w:rsid w:val="007B1E5A"/>
    <w:rsid w:val="007C2EE4"/>
    <w:rsid w:val="007E3B18"/>
    <w:rsid w:val="0086350A"/>
    <w:rsid w:val="008667B4"/>
    <w:rsid w:val="008A324A"/>
    <w:rsid w:val="009073B3"/>
    <w:rsid w:val="00915E7B"/>
    <w:rsid w:val="00921CFA"/>
    <w:rsid w:val="009414B7"/>
    <w:rsid w:val="009531F8"/>
    <w:rsid w:val="00994705"/>
    <w:rsid w:val="009A0362"/>
    <w:rsid w:val="009A1C75"/>
    <w:rsid w:val="009B2C02"/>
    <w:rsid w:val="009C5B21"/>
    <w:rsid w:val="00A94757"/>
    <w:rsid w:val="00AD1021"/>
    <w:rsid w:val="00AD5E27"/>
    <w:rsid w:val="00B00097"/>
    <w:rsid w:val="00B30004"/>
    <w:rsid w:val="00B32B20"/>
    <w:rsid w:val="00B75FCE"/>
    <w:rsid w:val="00BE4A9C"/>
    <w:rsid w:val="00BF001C"/>
    <w:rsid w:val="00C17630"/>
    <w:rsid w:val="00C20A50"/>
    <w:rsid w:val="00C47E6B"/>
    <w:rsid w:val="00C52456"/>
    <w:rsid w:val="00C7145B"/>
    <w:rsid w:val="00C74D04"/>
    <w:rsid w:val="00CA1B14"/>
    <w:rsid w:val="00CE3385"/>
    <w:rsid w:val="00D22B3F"/>
    <w:rsid w:val="00D37A92"/>
    <w:rsid w:val="00D42331"/>
    <w:rsid w:val="00D42D9D"/>
    <w:rsid w:val="00D77571"/>
    <w:rsid w:val="00D84F05"/>
    <w:rsid w:val="00DB7539"/>
    <w:rsid w:val="00DC2F32"/>
    <w:rsid w:val="00DF0C95"/>
    <w:rsid w:val="00E02258"/>
    <w:rsid w:val="00E10BC5"/>
    <w:rsid w:val="00E37D47"/>
    <w:rsid w:val="00E6470A"/>
    <w:rsid w:val="00E77CBD"/>
    <w:rsid w:val="00E84251"/>
    <w:rsid w:val="00ED7C1D"/>
    <w:rsid w:val="00F5786C"/>
    <w:rsid w:val="00F6314A"/>
    <w:rsid w:val="00F80C60"/>
    <w:rsid w:val="00F9504B"/>
    <w:rsid w:val="00FF5121"/>
    <w:rsid w:val="01AA7D1B"/>
    <w:rsid w:val="02AD7AC3"/>
    <w:rsid w:val="02BA21E0"/>
    <w:rsid w:val="02E64D83"/>
    <w:rsid w:val="05AB5E10"/>
    <w:rsid w:val="07832BA1"/>
    <w:rsid w:val="08AB6853"/>
    <w:rsid w:val="08CE42EF"/>
    <w:rsid w:val="09F03D6D"/>
    <w:rsid w:val="0AA64780"/>
    <w:rsid w:val="0C940AD7"/>
    <w:rsid w:val="10262C63"/>
    <w:rsid w:val="11140D0D"/>
    <w:rsid w:val="1272106C"/>
    <w:rsid w:val="129D4096"/>
    <w:rsid w:val="13417083"/>
    <w:rsid w:val="141672A3"/>
    <w:rsid w:val="143E3FE1"/>
    <w:rsid w:val="157E49DC"/>
    <w:rsid w:val="16866209"/>
    <w:rsid w:val="17C57205"/>
    <w:rsid w:val="181D167D"/>
    <w:rsid w:val="187F3B0D"/>
    <w:rsid w:val="18AA2A50"/>
    <w:rsid w:val="197C1B46"/>
    <w:rsid w:val="198F4120"/>
    <w:rsid w:val="19AF3CC9"/>
    <w:rsid w:val="19B46C47"/>
    <w:rsid w:val="19B66E06"/>
    <w:rsid w:val="19E27BFB"/>
    <w:rsid w:val="19FA5046"/>
    <w:rsid w:val="1A004525"/>
    <w:rsid w:val="1A2B333A"/>
    <w:rsid w:val="1AB377E9"/>
    <w:rsid w:val="1B721452"/>
    <w:rsid w:val="1C69015F"/>
    <w:rsid w:val="1C6E39C8"/>
    <w:rsid w:val="1C7F4481"/>
    <w:rsid w:val="1CF21296"/>
    <w:rsid w:val="1E1A0B97"/>
    <w:rsid w:val="1E6D7CAF"/>
    <w:rsid w:val="21614842"/>
    <w:rsid w:val="21897B42"/>
    <w:rsid w:val="23681488"/>
    <w:rsid w:val="23DE7685"/>
    <w:rsid w:val="245B0CD5"/>
    <w:rsid w:val="24885442"/>
    <w:rsid w:val="24BC4E7D"/>
    <w:rsid w:val="24C06D8A"/>
    <w:rsid w:val="24CC572F"/>
    <w:rsid w:val="26041710"/>
    <w:rsid w:val="2670221B"/>
    <w:rsid w:val="26D1527F"/>
    <w:rsid w:val="277B51EB"/>
    <w:rsid w:val="27E81FBE"/>
    <w:rsid w:val="28656043"/>
    <w:rsid w:val="2B2D2CA0"/>
    <w:rsid w:val="2C2F1ABE"/>
    <w:rsid w:val="2D9E1C33"/>
    <w:rsid w:val="2DAC505A"/>
    <w:rsid w:val="2E6E5A16"/>
    <w:rsid w:val="2EA76BC5"/>
    <w:rsid w:val="2EFC542A"/>
    <w:rsid w:val="2F1523C9"/>
    <w:rsid w:val="2FF344B8"/>
    <w:rsid w:val="305B04FC"/>
    <w:rsid w:val="30D9656E"/>
    <w:rsid w:val="31AD35D6"/>
    <w:rsid w:val="320D55D9"/>
    <w:rsid w:val="339C28B6"/>
    <w:rsid w:val="33D04B10"/>
    <w:rsid w:val="33DB01CC"/>
    <w:rsid w:val="354E3109"/>
    <w:rsid w:val="3623361D"/>
    <w:rsid w:val="364315C9"/>
    <w:rsid w:val="36D44917"/>
    <w:rsid w:val="36FB1EA4"/>
    <w:rsid w:val="377203B8"/>
    <w:rsid w:val="377D6D5D"/>
    <w:rsid w:val="37D7646D"/>
    <w:rsid w:val="37ED5C91"/>
    <w:rsid w:val="3842422E"/>
    <w:rsid w:val="39A36B9E"/>
    <w:rsid w:val="39E9692C"/>
    <w:rsid w:val="3A0B1CE0"/>
    <w:rsid w:val="3AB940D3"/>
    <w:rsid w:val="3D8250CD"/>
    <w:rsid w:val="3DC97549"/>
    <w:rsid w:val="3E521306"/>
    <w:rsid w:val="3EFD7EC7"/>
    <w:rsid w:val="40454C9B"/>
    <w:rsid w:val="40ED4F53"/>
    <w:rsid w:val="413606A8"/>
    <w:rsid w:val="415D3E87"/>
    <w:rsid w:val="4232468C"/>
    <w:rsid w:val="43A318F9"/>
    <w:rsid w:val="457127AF"/>
    <w:rsid w:val="463352C3"/>
    <w:rsid w:val="464B69A4"/>
    <w:rsid w:val="48EB55F8"/>
    <w:rsid w:val="494E0559"/>
    <w:rsid w:val="4C2D77E0"/>
    <w:rsid w:val="4EE71234"/>
    <w:rsid w:val="4F503950"/>
    <w:rsid w:val="4F523D1F"/>
    <w:rsid w:val="4FB56C3C"/>
    <w:rsid w:val="50096F88"/>
    <w:rsid w:val="52734B8D"/>
    <w:rsid w:val="5276140D"/>
    <w:rsid w:val="52CF61D4"/>
    <w:rsid w:val="541F321E"/>
    <w:rsid w:val="54532EC8"/>
    <w:rsid w:val="560501F2"/>
    <w:rsid w:val="5964311C"/>
    <w:rsid w:val="5AD24900"/>
    <w:rsid w:val="5BA65FD3"/>
    <w:rsid w:val="5D861C18"/>
    <w:rsid w:val="616D1CAD"/>
    <w:rsid w:val="627604AD"/>
    <w:rsid w:val="62BD60DC"/>
    <w:rsid w:val="62E1268E"/>
    <w:rsid w:val="63A4104A"/>
    <w:rsid w:val="63B37EA7"/>
    <w:rsid w:val="63B76FCF"/>
    <w:rsid w:val="64760C38"/>
    <w:rsid w:val="64B86306"/>
    <w:rsid w:val="669B2BD8"/>
    <w:rsid w:val="66CA526B"/>
    <w:rsid w:val="67CD5013"/>
    <w:rsid w:val="68A613C0"/>
    <w:rsid w:val="69194B62"/>
    <w:rsid w:val="69796AD5"/>
    <w:rsid w:val="6AE12B83"/>
    <w:rsid w:val="6B480E55"/>
    <w:rsid w:val="6DA2484C"/>
    <w:rsid w:val="6E4C2A0A"/>
    <w:rsid w:val="6EC407F2"/>
    <w:rsid w:val="6F394D3C"/>
    <w:rsid w:val="6FCD1928"/>
    <w:rsid w:val="7148570A"/>
    <w:rsid w:val="716B31A7"/>
    <w:rsid w:val="717A06E8"/>
    <w:rsid w:val="72B1108D"/>
    <w:rsid w:val="72C126FA"/>
    <w:rsid w:val="74057A2C"/>
    <w:rsid w:val="741057BA"/>
    <w:rsid w:val="74844CAB"/>
    <w:rsid w:val="7499002B"/>
    <w:rsid w:val="763224E5"/>
    <w:rsid w:val="76DB5574"/>
    <w:rsid w:val="78462278"/>
    <w:rsid w:val="78760DAF"/>
    <w:rsid w:val="7883171E"/>
    <w:rsid w:val="7AC20737"/>
    <w:rsid w:val="7B2A7C2F"/>
    <w:rsid w:val="7B9A19A5"/>
    <w:rsid w:val="7BEC1748"/>
    <w:rsid w:val="7C3E1BE4"/>
    <w:rsid w:val="7CEB4154"/>
    <w:rsid w:val="7D3D63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character" w:styleId="9">
    <w:name w:val="Strong"/>
    <w:basedOn w:val="8"/>
    <w:qFormat/>
    <w:uiPriority w:val="22"/>
    <w:rPr>
      <w:b/>
    </w:rPr>
  </w:style>
  <w:style w:type="character" w:styleId="10">
    <w:name w:val="page number"/>
    <w:basedOn w:val="8"/>
    <w:qFormat/>
    <w:uiPriority w:val="0"/>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2">
    <w:name w:val="页眉 Char"/>
    <w:basedOn w:val="8"/>
    <w:link w:val="5"/>
    <w:qFormat/>
    <w:uiPriority w:val="0"/>
    <w:rPr>
      <w:sz w:val="18"/>
      <w:szCs w:val="18"/>
    </w:rPr>
  </w:style>
  <w:style w:type="character" w:customStyle="1" w:styleId="13">
    <w:name w:val="页脚 Char"/>
    <w:basedOn w:val="8"/>
    <w:link w:val="4"/>
    <w:semiHidden/>
    <w:qFormat/>
    <w:uiPriority w:val="99"/>
    <w:rPr>
      <w:sz w:val="18"/>
      <w:szCs w:val="18"/>
    </w:rPr>
  </w:style>
  <w:style w:type="paragraph" w:customStyle="1" w:styleId="14">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10</Pages>
  <Words>5728</Words>
  <Characters>6297</Characters>
  <Lines>46</Lines>
  <Paragraphs>12</Paragraphs>
  <TotalTime>19</TotalTime>
  <ScaleCrop>false</ScaleCrop>
  <LinksUpToDate>false</LinksUpToDate>
  <CharactersWithSpaces>6366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2023-06-02T01:33:00Z</dcterms:created>
  <dc:creator>null,null,总收发</dc:creator>
  <cp:lastModifiedBy>lenovo</cp:lastModifiedBy>
  <cp:lastPrinted>2022-03-11T03:21:00Z</cp:lastPrinted>
  <dcterms:modified xsi:type="dcterms:W3CDTF">2023-06-27T01:43:41Z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7F82848E531D4AAEB1275AC86A74B60E</vt:lpwstr>
  </property>
</Properties>
</file>