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460" w:lineRule="exact"/>
      </w:pPr>
      <w:r>
        <w:t> </w:t>
      </w:r>
    </w:p>
    <w:p>
      <w:pPr>
        <w:pStyle w:val="4"/>
        <w:widowControl/>
        <w:spacing w:before="150" w:beforeAutospacing="0" w:after="150" w:afterAutospacing="0" w:line="460" w:lineRule="exact"/>
        <w:ind w:firstLine="420"/>
        <w:jc w:val="center"/>
        <w:rPr>
          <w:rFonts w:ascii="Arial" w:hAnsi="Arial" w:cs="Arial"/>
        </w:rPr>
      </w:pPr>
      <w:r>
        <w:rPr>
          <w:rFonts w:hint="eastAsia" w:ascii="Arial" w:hAnsi="Arial" w:cs="Arial"/>
          <w:lang w:val="en-US" w:eastAsia="zh-CN"/>
        </w:rPr>
        <w:t>中国共产党</w:t>
      </w:r>
      <w:r>
        <w:rPr>
          <w:rFonts w:ascii="Arial" w:hAnsi="Arial" w:cs="Arial"/>
        </w:rPr>
        <w:t>全州</w:t>
      </w:r>
      <w:r>
        <w:rPr>
          <w:rFonts w:hint="eastAsia" w:ascii="Arial" w:hAnsi="Arial" w:cs="Arial"/>
        </w:rPr>
        <w:t>县</w:t>
      </w:r>
      <w:r>
        <w:rPr>
          <w:rFonts w:hint="eastAsia" w:ascii="Arial" w:hAnsi="Arial" w:cs="Arial"/>
          <w:lang w:val="en-US" w:eastAsia="zh-CN"/>
        </w:rPr>
        <w:t>委员会</w:t>
      </w:r>
      <w:r>
        <w:rPr>
          <w:rFonts w:hint="eastAsia" w:ascii="Arial" w:hAnsi="Arial" w:cs="Arial"/>
        </w:rPr>
        <w:t>党校</w:t>
      </w:r>
      <w:r>
        <w:rPr>
          <w:rFonts w:ascii="Arial" w:hAnsi="Arial" w:cs="Arial"/>
        </w:rPr>
        <w:t>2023年部门预算</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目录</w:t>
      </w:r>
    </w:p>
    <w:p>
      <w:pPr>
        <w:pStyle w:val="4"/>
        <w:widowControl/>
        <w:spacing w:before="150" w:beforeAutospacing="0" w:after="150" w:afterAutospacing="0" w:line="460" w:lineRule="exact"/>
        <w:ind w:firstLine="420"/>
        <w:rPr>
          <w:rFonts w:ascii="Arial" w:hAnsi="Arial" w:cs="Arial"/>
        </w:rPr>
      </w:pPr>
      <w:r>
        <w:rPr>
          <w:rFonts w:ascii="Arial" w:hAnsi="Arial" w:cs="Arial"/>
        </w:rPr>
        <w:t>第一部分 部门概况</w:t>
      </w:r>
    </w:p>
    <w:p>
      <w:pPr>
        <w:pStyle w:val="4"/>
        <w:widowControl/>
        <w:spacing w:before="150" w:beforeAutospacing="0" w:after="150" w:afterAutospacing="0" w:line="460" w:lineRule="exact"/>
        <w:ind w:firstLine="420"/>
        <w:rPr>
          <w:rFonts w:ascii="Arial" w:hAnsi="Arial" w:cs="Arial"/>
        </w:rPr>
      </w:pPr>
      <w:r>
        <w:rPr>
          <w:rFonts w:ascii="Arial" w:hAnsi="Arial" w:cs="Arial"/>
        </w:rPr>
        <w:t>一、主要职能职责</w:t>
      </w:r>
    </w:p>
    <w:p>
      <w:pPr>
        <w:pStyle w:val="4"/>
        <w:widowControl/>
        <w:spacing w:before="150" w:beforeAutospacing="0" w:after="150" w:afterAutospacing="0" w:line="460" w:lineRule="exact"/>
        <w:ind w:firstLine="420"/>
        <w:rPr>
          <w:rFonts w:ascii="Arial" w:hAnsi="Arial" w:cs="Arial"/>
        </w:rPr>
      </w:pPr>
      <w:r>
        <w:rPr>
          <w:rFonts w:ascii="Arial" w:hAnsi="Arial" w:cs="Arial"/>
        </w:rPr>
        <w:t>二、机构设置(本级和二层单位构成)</w:t>
      </w:r>
    </w:p>
    <w:p>
      <w:pPr>
        <w:pStyle w:val="4"/>
        <w:widowControl/>
        <w:spacing w:before="150" w:beforeAutospacing="0" w:after="150" w:afterAutospacing="0" w:line="460" w:lineRule="exact"/>
        <w:ind w:firstLine="420"/>
        <w:rPr>
          <w:rFonts w:ascii="Arial" w:hAnsi="Arial" w:cs="Arial"/>
        </w:rPr>
      </w:pPr>
      <w:r>
        <w:rPr>
          <w:rFonts w:ascii="Arial" w:hAnsi="Arial" w:cs="Arial"/>
        </w:rPr>
        <w:t>三、编制现状及人员构成(本级和二层单位)</w:t>
      </w:r>
    </w:p>
    <w:p>
      <w:pPr>
        <w:pStyle w:val="4"/>
        <w:widowControl/>
        <w:spacing w:before="150" w:beforeAutospacing="0" w:after="150" w:afterAutospacing="0" w:line="460" w:lineRule="exact"/>
        <w:ind w:firstLine="420"/>
        <w:rPr>
          <w:rFonts w:ascii="Arial" w:hAnsi="Arial" w:cs="Arial"/>
        </w:rPr>
      </w:pPr>
      <w:r>
        <w:rPr>
          <w:rFonts w:ascii="Arial" w:hAnsi="Arial" w:cs="Arial"/>
        </w:rPr>
        <w:t>四、年度主要工作任务</w:t>
      </w:r>
    </w:p>
    <w:p>
      <w:pPr>
        <w:pStyle w:val="4"/>
        <w:widowControl/>
        <w:spacing w:before="150" w:beforeAutospacing="0" w:after="150" w:afterAutospacing="0" w:line="460" w:lineRule="exact"/>
        <w:ind w:firstLine="420"/>
        <w:rPr>
          <w:rFonts w:ascii="Arial" w:hAnsi="Arial" w:cs="Arial"/>
        </w:rPr>
      </w:pPr>
      <w:r>
        <w:rPr>
          <w:rFonts w:ascii="Arial" w:hAnsi="Arial" w:cs="Arial"/>
        </w:rPr>
        <w:t>第二部分 部门预算报表</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五、一般公共支出预算情况表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第三部分  2023年部门预算情况说明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第四部分 专业名词解释</w:t>
      </w:r>
    </w:p>
    <w:p>
      <w:pPr>
        <w:pStyle w:val="4"/>
        <w:widowControl/>
        <w:spacing w:before="150" w:beforeAutospacing="0" w:after="150" w:afterAutospacing="0" w:line="460" w:lineRule="exact"/>
        <w:ind w:firstLine="420"/>
        <w:jc w:val="center"/>
        <w:rPr>
          <w:rFonts w:ascii="Arial" w:hAnsi="Arial" w:cs="Arial"/>
        </w:rPr>
      </w:pPr>
    </w:p>
    <w:p>
      <w:pPr>
        <w:pStyle w:val="4"/>
        <w:widowControl/>
        <w:spacing w:before="150" w:beforeAutospacing="0" w:after="150" w:afterAutospacing="0" w:line="460" w:lineRule="exact"/>
        <w:ind w:firstLine="420"/>
        <w:jc w:val="center"/>
        <w:rPr>
          <w:rFonts w:ascii="Arial" w:hAnsi="Arial" w:cs="Arial"/>
        </w:rPr>
      </w:pP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第一部分 部门概况</w:t>
      </w:r>
    </w:p>
    <w:p>
      <w:pPr>
        <w:pStyle w:val="4"/>
        <w:widowControl/>
        <w:spacing w:before="150" w:beforeAutospacing="0" w:after="150" w:afterAutospacing="0" w:line="460" w:lineRule="exact"/>
        <w:ind w:firstLine="420"/>
        <w:rPr>
          <w:rFonts w:ascii="Arial" w:hAnsi="Arial" w:cs="Arial"/>
        </w:rPr>
      </w:pPr>
      <w:r>
        <w:rPr>
          <w:rFonts w:ascii="Arial" w:hAnsi="Arial" w:cs="Arial"/>
        </w:rPr>
        <w:t>一、主要职能职责</w:t>
      </w:r>
    </w:p>
    <w:p>
      <w:pPr>
        <w:pStyle w:val="4"/>
        <w:widowControl/>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1、培训轮训各级党员领导干部及后备干部，培养理论干部，开展党校系统师资培训；</w:t>
      </w:r>
    </w:p>
    <w:p>
      <w:pPr>
        <w:pStyle w:val="4"/>
        <w:widowControl/>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2、承办县委和政府举办的专题研讨会；</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、加强马克思主义基本理论研究；重点研究宣传习近平新时代中国特色社会主义思想。</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、完成党委与政府交办的其他任务。</w:t>
      </w:r>
    </w:p>
    <w:p>
      <w:pPr>
        <w:pStyle w:val="4"/>
        <w:widowControl/>
        <w:spacing w:before="150" w:beforeAutospacing="0" w:after="150" w:afterAutospacing="0" w:line="460" w:lineRule="exact"/>
        <w:ind w:firstLine="480" w:firstLineChars="200"/>
        <w:rPr>
          <w:rFonts w:ascii="Arial" w:hAnsi="Arial" w:cs="Arial"/>
        </w:rPr>
      </w:pPr>
      <w:r>
        <w:rPr>
          <w:rFonts w:ascii="Arial" w:hAnsi="Arial" w:cs="Arial"/>
        </w:rPr>
        <w:t>二、机构设置</w:t>
      </w:r>
    </w:p>
    <w:p>
      <w:pPr>
        <w:pStyle w:val="4"/>
        <w:widowControl/>
        <w:spacing w:before="150" w:beforeAutospacing="0" w:after="150" w:afterAutospacing="0" w:line="460" w:lineRule="exact"/>
        <w:ind w:firstLine="420"/>
        <w:rPr>
          <w:rFonts w:ascii="Arial" w:hAnsi="Arial" w:cs="Arial"/>
        </w:rPr>
      </w:pPr>
      <w:r>
        <w:rPr>
          <w:rFonts w:ascii="Arial" w:hAnsi="Arial" w:cs="Arial"/>
        </w:rPr>
        <w:t>2023年我部门预算编制单位共1个,具体如下:</w:t>
      </w:r>
    </w:p>
    <w:p>
      <w:pPr>
        <w:pStyle w:val="4"/>
        <w:widowControl/>
        <w:spacing w:before="150" w:beforeAutospacing="0" w:after="150" w:afterAutospacing="0" w:line="460" w:lineRule="exact"/>
        <w:ind w:firstLine="420"/>
        <w:rPr>
          <w:rFonts w:ascii="宋体" w:hAnsi="宋体" w:eastAsia="宋体" w:cs="宋体"/>
        </w:rPr>
      </w:pPr>
      <w:r>
        <w:rPr>
          <w:rFonts w:hint="eastAsia" w:ascii="Arial" w:hAnsi="Arial" w:cs="Arial"/>
        </w:rPr>
        <w:t>参公事业</w:t>
      </w:r>
      <w:r>
        <w:rPr>
          <w:rFonts w:ascii="Arial" w:hAnsi="Arial" w:cs="Arial"/>
        </w:rPr>
        <w:t>单位1个,即:</w:t>
      </w:r>
      <w:r>
        <w:rPr>
          <w:rFonts w:hint="eastAsia" w:ascii="Arial" w:hAnsi="Arial" w:cs="Arial"/>
        </w:rPr>
        <w:t>中国共产党全州县委员会党校</w:t>
      </w:r>
      <w:r>
        <w:rPr>
          <w:rFonts w:ascii="Arial" w:hAnsi="Arial" w:cs="Arial"/>
        </w:rPr>
        <w:t>。其中内设</w:t>
      </w:r>
      <w:r>
        <w:rPr>
          <w:rFonts w:hint="eastAsia" w:ascii="Arial" w:hAnsi="Arial" w:cs="Arial"/>
        </w:rPr>
        <w:t>5个</w:t>
      </w:r>
      <w:r>
        <w:rPr>
          <w:rFonts w:ascii="Arial" w:hAnsi="Arial" w:cs="Arial"/>
        </w:rPr>
        <w:t>股室:</w:t>
      </w:r>
      <w:r>
        <w:rPr>
          <w:rFonts w:hint="eastAsia" w:ascii="宋体" w:hAnsi="宋体" w:eastAsia="宋体" w:cs="宋体"/>
        </w:rPr>
        <w:t>办公室、教研室、财务室、总务室、社会培训中心。</w:t>
      </w:r>
    </w:p>
    <w:p>
      <w:pPr>
        <w:pStyle w:val="4"/>
        <w:widowControl/>
        <w:spacing w:before="150" w:beforeAutospacing="0" w:after="150" w:afterAutospacing="0" w:line="460" w:lineRule="exact"/>
        <w:ind w:firstLine="420"/>
        <w:rPr>
          <w:rFonts w:ascii="Arial" w:hAnsi="Arial" w:cs="Arial"/>
          <w:bCs/>
        </w:rPr>
      </w:pPr>
      <w:r>
        <w:rPr>
          <w:rFonts w:ascii="Arial" w:hAnsi="Arial" w:cs="Arial"/>
        </w:rPr>
        <w:t>三、</w:t>
      </w:r>
      <w:r>
        <w:rPr>
          <w:rFonts w:ascii="Arial" w:hAnsi="Arial" w:cs="Arial"/>
          <w:bCs/>
        </w:rPr>
        <w:t>编制现状及人员构成</w:t>
      </w:r>
    </w:p>
    <w:p>
      <w:pPr>
        <w:pStyle w:val="4"/>
        <w:widowControl/>
        <w:spacing w:before="150" w:beforeAutospacing="0" w:after="150" w:afterAutospacing="0" w:line="460" w:lineRule="exact"/>
        <w:ind w:firstLine="420"/>
        <w:rPr>
          <w:rFonts w:ascii="Arial" w:hAnsi="Arial" w:cs="Arial"/>
        </w:rPr>
      </w:pPr>
      <w:r>
        <w:rPr>
          <w:rFonts w:hint="eastAsia" w:ascii="Arial" w:hAnsi="Arial" w:cs="Arial"/>
        </w:rPr>
        <w:t>我</w:t>
      </w:r>
      <w:r>
        <w:rPr>
          <w:rFonts w:ascii="Arial" w:hAnsi="Arial" w:cs="Arial"/>
        </w:rPr>
        <w:t>部门编制人数为2</w:t>
      </w:r>
      <w:r>
        <w:rPr>
          <w:rFonts w:hint="eastAsia" w:ascii="Arial" w:hAnsi="Arial" w:cs="Arial"/>
          <w:lang w:val="en-US" w:eastAsia="zh-CN"/>
        </w:rPr>
        <w:t>6</w:t>
      </w:r>
      <w:r>
        <w:rPr>
          <w:rFonts w:ascii="Arial" w:hAnsi="Arial" w:cs="Arial"/>
        </w:rPr>
        <w:t>人,编内在职26人,其中:</w:t>
      </w:r>
      <w:r>
        <w:rPr>
          <w:rFonts w:hint="eastAsia" w:ascii="Arial" w:hAnsi="Arial" w:cs="Arial"/>
        </w:rPr>
        <w:t>参公</w:t>
      </w:r>
      <w:r>
        <w:rPr>
          <w:rFonts w:ascii="Arial" w:hAnsi="Arial" w:cs="Arial"/>
        </w:rPr>
        <w:t>在职8人,事业在职18人。退休人员25人。</w:t>
      </w:r>
    </w:p>
    <w:p>
      <w:pPr>
        <w:pStyle w:val="4"/>
        <w:widowControl/>
        <w:spacing w:before="150" w:beforeAutospacing="0" w:after="150" w:afterAutospacing="0" w:line="460" w:lineRule="exact"/>
        <w:ind w:firstLine="420"/>
        <w:rPr>
          <w:rFonts w:ascii="Arial" w:hAnsi="Arial" w:cs="Arial"/>
        </w:rPr>
      </w:pPr>
      <w:r>
        <w:rPr>
          <w:rFonts w:ascii="Arial" w:hAnsi="Arial" w:cs="Arial"/>
        </w:rPr>
        <w:t>四、年度主要工作任务</w:t>
      </w:r>
    </w:p>
    <w:p>
      <w:pPr>
        <w:pStyle w:val="4"/>
        <w:widowControl/>
        <w:spacing w:before="150" w:beforeAutospacing="0" w:after="150" w:afterAutospacing="0" w:line="460" w:lineRule="exact"/>
        <w:ind w:firstLine="420"/>
        <w:rPr>
          <w:rFonts w:ascii="宋体" w:hAnsi="宋体" w:eastAsia="宋体" w:cs="宋体"/>
          <w:color w:val="FF0000"/>
        </w:rPr>
      </w:pPr>
      <w:r>
        <w:rPr>
          <w:rFonts w:hint="eastAsia" w:ascii="Arial" w:hAnsi="Arial" w:cs="Arial"/>
        </w:rPr>
        <w:t>坚持以习近平新时代中国特色社会主义思想为指导，深入贯彻落实党的二十大精神，坚持党校姓党的根本原则，大力推进现场教学课程开发建设，增强培训实效；加强调研，促进科研数据收集、分类、存储与利用；加强队伍建设，培训轮训党校职工，提供人才保障。</w:t>
      </w:r>
    </w:p>
    <w:p>
      <w:pPr>
        <w:pStyle w:val="4"/>
        <w:widowControl/>
        <w:spacing w:before="150" w:beforeAutospacing="0" w:after="150" w:afterAutospacing="0" w:line="460" w:lineRule="exact"/>
        <w:ind w:firstLine="420"/>
        <w:rPr>
          <w:rFonts w:ascii="宋体" w:hAnsi="宋体" w:eastAsia="宋体" w:cs="宋体"/>
          <w:color w:val="FF0000"/>
        </w:rPr>
      </w:pP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第二部分 部门预算报表</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( 详见附表)</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五、一般公共预算支出情况表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八、政府性基金预算支出情况表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九、国有资本经营预算支出情况表</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第三部分  2023年部门预算情况说明</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一、部门收支总体情况说明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(一)收入预算说明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2023年收入总预算557.53万元,同比增加201.97万元,增长56.8 %,其中:一般公共预算拨款425.42万元,占收入总预算76.3%,同比增加69.86万元,增长19.6%;上年结转结余132.11万元,占收入总预算23.7%。</w:t>
      </w:r>
    </w:p>
    <w:p>
      <w:pPr>
        <w:pStyle w:val="4"/>
        <w:widowControl/>
        <w:spacing w:before="150" w:beforeAutospacing="0" w:after="150" w:afterAutospacing="0" w:line="460" w:lineRule="exact"/>
        <w:ind w:firstLine="420"/>
        <w:rPr>
          <w:rFonts w:ascii="Arial" w:hAnsi="Arial" w:cs="Arial"/>
        </w:rPr>
      </w:pPr>
      <w:r>
        <w:rPr>
          <w:rFonts w:ascii="Arial" w:hAnsi="Arial" w:cs="Arial"/>
        </w:rPr>
        <w:t>收入预算总体增加主要原因</w:t>
      </w:r>
      <w:r>
        <w:rPr>
          <w:rFonts w:hint="eastAsia" w:ascii="Arial" w:hAnsi="Arial" w:cs="Arial"/>
        </w:rPr>
        <w:t>包括新录用一批事业人员，上年结转结余资金增加，党校培训费项目支出预算增加</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(二)支出预算说明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2023年支出总预算557.53万元,同比增加201.97万元,增长56.8%。</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1、按支出功能分类科目划分,共分为4类,其中: </w:t>
      </w:r>
    </w:p>
    <w:p>
      <w:pPr>
        <w:pStyle w:val="4"/>
        <w:widowControl/>
        <w:spacing w:before="150" w:beforeAutospacing="0" w:after="150" w:afterAutospacing="0" w:line="460" w:lineRule="exact"/>
        <w:ind w:firstLine="420"/>
        <w:rPr>
          <w:rFonts w:ascii="Arial" w:hAnsi="Arial" w:cs="Arial"/>
        </w:rPr>
      </w:pPr>
      <w:r>
        <w:rPr>
          <w:rFonts w:ascii="Arial" w:hAnsi="Arial" w:cs="Arial"/>
        </w:rPr>
        <w:t>(1)</w:t>
      </w:r>
      <w:r>
        <w:rPr>
          <w:rFonts w:hint="eastAsia" w:ascii="Arial" w:hAnsi="Arial" w:cs="Arial"/>
        </w:rPr>
        <w:t>干部教育</w:t>
      </w:r>
      <w:r>
        <w:rPr>
          <w:rFonts w:ascii="Arial" w:hAnsi="Arial" w:cs="Arial"/>
        </w:rPr>
        <w:t>支出448.32万元,占支出总预算80.4%,同比增加58.07万元,增长72%;</w:t>
      </w:r>
    </w:p>
    <w:p>
      <w:pPr>
        <w:pStyle w:val="4"/>
        <w:widowControl/>
        <w:spacing w:before="150" w:beforeAutospacing="0" w:after="150" w:afterAutospacing="0" w:line="460" w:lineRule="exact"/>
        <w:ind w:firstLine="420"/>
        <w:rPr>
          <w:rFonts w:ascii="Arial" w:hAnsi="Arial" w:cs="Arial"/>
        </w:rPr>
      </w:pPr>
      <w:r>
        <w:rPr>
          <w:rFonts w:ascii="Arial" w:hAnsi="Arial" w:cs="Arial"/>
        </w:rPr>
        <w:t>(2)社会保障和就业58.43万元,占支出总预算10.5%,同比增加7.77万元,增长15.3%;</w:t>
      </w:r>
    </w:p>
    <w:p>
      <w:pPr>
        <w:pStyle w:val="4"/>
        <w:widowControl/>
        <w:spacing w:before="150" w:beforeAutospacing="0" w:after="150" w:afterAutospacing="0" w:line="460" w:lineRule="exact"/>
        <w:ind w:firstLine="420"/>
        <w:rPr>
          <w:rFonts w:ascii="Arial" w:hAnsi="Arial" w:cs="Arial"/>
        </w:rPr>
      </w:pPr>
      <w:r>
        <w:rPr>
          <w:rFonts w:ascii="Arial" w:hAnsi="Arial" w:cs="Arial"/>
        </w:rPr>
        <w:t>(3)医疗卫生22.67万元,占支出总预算4.1%,同比增加3.49万元,增长18%;</w:t>
      </w:r>
    </w:p>
    <w:p>
      <w:pPr>
        <w:pStyle w:val="4"/>
        <w:widowControl/>
        <w:spacing w:before="150" w:beforeAutospacing="0" w:after="150" w:afterAutospacing="0" w:line="460" w:lineRule="exact"/>
        <w:ind w:firstLine="420"/>
        <w:rPr>
          <w:rFonts w:ascii="Arial" w:hAnsi="Arial" w:cs="Arial"/>
        </w:rPr>
      </w:pPr>
      <w:r>
        <w:rPr>
          <w:rFonts w:ascii="Arial" w:hAnsi="Arial" w:cs="Arial"/>
        </w:rPr>
        <w:t>(4)住房保障支出28.1万元,占支出总预算5%,同比增加3.09万元,增长12.4%。</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二、部门收入总体情况说明</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2023年总收入预算557.53万元,同比增加201.97万元,增长56.8%。其中:本年收入425.42万元,上年结转结余132.11万元。一般公共预算425.42万元,占收入总预算76.3%,增加69.86万元,增长16.4%,增</w:t>
      </w:r>
      <w:r>
        <w:rPr>
          <w:rFonts w:ascii="Arial" w:hAnsi="Arial" w:cs="Arial"/>
          <w:color w:val="000000" w:themeColor="text1"/>
        </w:rPr>
        <w:t>加的原因</w:t>
      </w:r>
      <w:r>
        <w:rPr>
          <w:rFonts w:hint="eastAsia" w:ascii="Arial" w:hAnsi="Arial" w:cs="Arial"/>
        </w:rPr>
        <w:t>人员经费、项目经费以及上年结转结余增加。</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三、部门支出总体情况说明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2023年总支出预算557.53万元,同比增加201.97万元,增长56.8%。其中:基本支出393.99万元,占总支出预算70.7%,同比增加38.43万元,增长10.8%,增加的原因:</w:t>
      </w:r>
      <w:r>
        <w:rPr>
          <w:rFonts w:hint="eastAsia" w:ascii="Arial" w:hAnsi="Arial" w:cs="Arial"/>
        </w:rPr>
        <w:t>人员增加、上年结余结转增加</w:t>
      </w:r>
      <w:r>
        <w:rPr>
          <w:rFonts w:ascii="Arial" w:hAnsi="Arial" w:cs="Arial"/>
        </w:rPr>
        <w:t>;项目支出163.54万元,占总支出预算29.3%,同比增加144.54万元,增长760%,增加的原因:</w:t>
      </w:r>
      <w:r>
        <w:rPr>
          <w:rFonts w:hint="eastAsia" w:ascii="Arial" w:hAnsi="Arial" w:cs="Arial"/>
        </w:rPr>
        <w:t>承接党员干部培训班，各项开支大幅增长。</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四、财政拨款收支总体情况说明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2023年财政拨款收入预算557.53万元,</w:t>
      </w:r>
      <w:r>
        <w:rPr>
          <w:rFonts w:hint="eastAsia" w:ascii="Arial" w:hAnsi="Arial" w:cs="Arial"/>
        </w:rPr>
        <w:t>同比增加</w:t>
      </w:r>
      <w:r>
        <w:rPr>
          <w:rFonts w:ascii="Arial" w:hAnsi="Arial" w:cs="Arial"/>
        </w:rPr>
        <w:t xml:space="preserve"> 201.97万元,增长56.8%。,其中:一般公共预算拨款425.42万元,占收入总预算76.3%,同比69.86万元,增长19.6%,增加原因</w:t>
      </w:r>
      <w:r>
        <w:rPr>
          <w:rFonts w:hint="eastAsia" w:ascii="Arial" w:hAnsi="Arial" w:cs="Arial"/>
        </w:rPr>
        <w:t>包括招考录用人员增加，相应人员经费增加，因开设培训班，校园运转经费增加</w:t>
      </w:r>
      <w:r>
        <w:rPr>
          <w:rFonts w:ascii="Arial" w:hAnsi="Arial" w:cs="Arial"/>
        </w:rPr>
        <w:t>;上年结转结余132.11万元。</w:t>
      </w:r>
    </w:p>
    <w:p>
      <w:pPr>
        <w:pStyle w:val="4"/>
        <w:widowControl/>
        <w:spacing w:before="150" w:beforeAutospacing="0" w:after="150" w:afterAutospacing="0" w:line="460" w:lineRule="exact"/>
        <w:ind w:firstLine="420"/>
        <w:rPr>
          <w:rFonts w:ascii="Arial" w:hAnsi="Arial" w:cs="Arial"/>
        </w:rPr>
      </w:pPr>
      <w:r>
        <w:rPr>
          <w:rFonts w:ascii="Arial" w:hAnsi="Arial" w:cs="Arial"/>
        </w:rPr>
        <w:t>2023年财政拨款支出557.53万元,同比增加201.97万元,增长56.8%,增加的原因.</w:t>
      </w:r>
      <w:r>
        <w:rPr>
          <w:rFonts w:hint="eastAsia" w:ascii="Arial" w:hAnsi="Arial" w:cs="Arial"/>
        </w:rPr>
        <w:t>包括招考录用人员增加，相应人员经费增加，因开设培训班，校园运转经费增加</w:t>
      </w:r>
      <w:r>
        <w:rPr>
          <w:rFonts w:ascii="Arial" w:hAnsi="Arial" w:cs="Arial"/>
        </w:rPr>
        <w:t>。</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五、一般公共预算支出情况说明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2023年一般公共预算支出425.42万元,同比增加69.86万元,增长19.6%。</w:t>
      </w:r>
    </w:p>
    <w:p>
      <w:pPr>
        <w:pStyle w:val="4"/>
        <w:widowControl/>
        <w:spacing w:before="150" w:beforeAutospacing="0" w:after="150" w:afterAutospacing="0" w:line="460" w:lineRule="exact"/>
        <w:ind w:firstLine="420"/>
        <w:rPr>
          <w:rFonts w:ascii="Arial" w:hAnsi="Arial" w:cs="Arial"/>
        </w:rPr>
      </w:pPr>
      <w:r>
        <w:rPr>
          <w:rFonts w:ascii="Arial" w:hAnsi="Arial" w:cs="Arial"/>
        </w:rPr>
        <w:t>按支出功能分类科目划分,共分为4类,其中:</w:t>
      </w:r>
    </w:p>
    <w:p>
      <w:pPr>
        <w:pStyle w:val="4"/>
        <w:widowControl/>
        <w:numPr>
          <w:ilvl w:val="0"/>
          <w:numId w:val="1"/>
        </w:numPr>
        <w:spacing w:before="150" w:beforeAutospacing="0" w:after="150" w:afterAutospacing="0" w:line="460" w:lineRule="exact"/>
        <w:ind w:firstLine="420"/>
        <w:rPr>
          <w:rFonts w:ascii="Arial" w:hAnsi="Arial" w:cs="Arial"/>
        </w:rPr>
      </w:pPr>
      <w:r>
        <w:rPr>
          <w:rFonts w:hint="eastAsia" w:ascii="Arial" w:hAnsi="Arial" w:cs="Arial"/>
        </w:rPr>
        <w:t>教育支出</w:t>
      </w:r>
      <w:r>
        <w:rPr>
          <w:rFonts w:ascii="Arial" w:hAnsi="Arial" w:cs="Arial"/>
        </w:rPr>
        <w:t>类科目318.77万元,占一般公共预算支出预算74.9%,同比增加58.07万元,增长22.3%。</w:t>
      </w:r>
      <w:r>
        <w:rPr>
          <w:rFonts w:hint="eastAsia" w:ascii="Arial" w:hAnsi="Arial" w:cs="Arial"/>
        </w:rPr>
        <w:t>具体如下：</w:t>
      </w:r>
    </w:p>
    <w:p>
      <w:pPr>
        <w:pStyle w:val="4"/>
        <w:widowControl/>
        <w:spacing w:before="150" w:beforeAutospacing="0" w:after="150" w:afterAutospacing="0" w:line="460" w:lineRule="exact"/>
        <w:rPr>
          <w:rFonts w:ascii="Arial" w:hAnsi="Arial" w:cs="Arial"/>
        </w:rPr>
      </w:pPr>
      <w:r>
        <w:rPr>
          <w:rFonts w:hint="eastAsia" w:ascii="Arial" w:hAnsi="Arial" w:cs="Arial"/>
        </w:rPr>
        <w:t>基本支出268.77万元，包括人员经费249.93万元，主要用于根据国家规定的基本工资和津贴补贴标准等安排的人员经费支出；公用经费18.84万元，主要用于按照县级公用经费定额标准安排的办公费、印刷费、邮电费、水电费、差旅费等日常公用经费支出。</w:t>
      </w:r>
    </w:p>
    <w:p>
      <w:pPr>
        <w:pStyle w:val="4"/>
        <w:widowControl/>
        <w:spacing w:before="150" w:beforeAutospacing="0" w:after="150" w:afterAutospacing="0" w:line="460" w:lineRule="exact"/>
        <w:ind w:firstLine="420"/>
        <w:rPr>
          <w:rFonts w:ascii="Arial" w:hAnsi="Arial" w:cs="Arial"/>
        </w:rPr>
      </w:pPr>
      <w:r>
        <w:rPr>
          <w:rFonts w:ascii="Arial" w:hAnsi="Arial" w:cs="Arial"/>
        </w:rPr>
        <w:t>(2)社会保障和就业支出56.99万元,占一般公共预算支出预算13.4%,同比增加6.33万元,增长12.5%。具体如下: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机关事业单位基本养老保险缴费支出37.47万元,同比增加4.12万元,增长12.4 %,</w:t>
      </w:r>
      <w:r>
        <w:rPr>
          <w:rFonts w:hint="eastAsia" w:ascii="Arial" w:hAnsi="Arial" w:cs="Arial"/>
        </w:rPr>
        <w:t>其他社会保障和就业支出0</w:t>
      </w:r>
      <w:r>
        <w:rPr>
          <w:rFonts w:ascii="Arial" w:hAnsi="Arial" w:cs="Arial"/>
        </w:rPr>
        <w:t>.78</w:t>
      </w:r>
      <w:r>
        <w:rPr>
          <w:rFonts w:hint="eastAsia" w:ascii="Arial" w:hAnsi="Arial" w:cs="Arial"/>
        </w:rPr>
        <w:t>万元，</w:t>
      </w:r>
      <w:r>
        <w:rPr>
          <w:rFonts w:ascii="Arial" w:hAnsi="Arial" w:cs="Arial"/>
        </w:rPr>
        <w:t>全部是基本支出预算</w:t>
      </w:r>
      <w:r>
        <w:rPr>
          <w:rFonts w:hint="eastAsia" w:ascii="Arial" w:hAnsi="Arial" w:cs="Arial"/>
        </w:rPr>
        <w:t>，</w:t>
      </w:r>
      <w:r>
        <w:rPr>
          <w:rFonts w:ascii="Arial" w:hAnsi="Arial" w:cs="Arial"/>
        </w:rPr>
        <w:t>主要用于单位在职职工养老保险缴费</w:t>
      </w:r>
      <w:r>
        <w:rPr>
          <w:rFonts w:hint="eastAsia"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(3)卫生健康支出21.55万元,占一般公共预算支出预算5.1%,同比增加2.37万元,增长(下</w:t>
      </w:r>
      <w:r>
        <w:rPr>
          <w:rFonts w:hint="eastAsia" w:ascii="Arial" w:hAnsi="Arial" w:cs="Arial"/>
        </w:rPr>
        <w:t>1</w:t>
      </w:r>
      <w:r>
        <w:rPr>
          <w:rFonts w:ascii="Arial" w:hAnsi="Arial" w:cs="Arial"/>
        </w:rPr>
        <w:t>2.3%。具体如下: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事业单位医疗21.08万元,同比增加2.32万元,增长12.4%,</w:t>
      </w:r>
      <w:r>
        <w:rPr>
          <w:rFonts w:hint="eastAsia" w:ascii="Arial" w:hAnsi="Arial" w:cs="Arial"/>
        </w:rPr>
        <w:t>其他行政事业单位医疗0</w:t>
      </w:r>
      <w:r>
        <w:rPr>
          <w:rFonts w:ascii="Arial" w:hAnsi="Arial" w:cs="Arial"/>
        </w:rPr>
        <w:t>.47</w:t>
      </w:r>
      <w:r>
        <w:rPr>
          <w:rFonts w:hint="eastAsia" w:ascii="Arial" w:hAnsi="Arial" w:cs="Arial"/>
        </w:rPr>
        <w:t>万元，同比增加0</w:t>
      </w:r>
      <w:r>
        <w:rPr>
          <w:rFonts w:ascii="Arial" w:hAnsi="Arial" w:cs="Arial"/>
        </w:rPr>
        <w:t>.05</w:t>
      </w:r>
      <w:r>
        <w:rPr>
          <w:rFonts w:hint="eastAsia" w:ascii="Arial" w:hAnsi="Arial" w:cs="Arial"/>
        </w:rPr>
        <w:t>万元，增长1</w:t>
      </w:r>
      <w:r>
        <w:rPr>
          <w:rFonts w:ascii="Arial" w:hAnsi="Arial" w:cs="Arial"/>
        </w:rPr>
        <w:t>1.9%</w:t>
      </w:r>
      <w:r>
        <w:rPr>
          <w:rFonts w:hint="eastAsia" w:ascii="Arial" w:hAnsi="Arial" w:cs="Arial"/>
        </w:rPr>
        <w:t>，</w:t>
      </w:r>
      <w:r>
        <w:rPr>
          <w:rFonts w:ascii="Arial" w:hAnsi="Arial" w:cs="Arial"/>
        </w:rPr>
        <w:t>全部是基本支出预算。是根据统一规定,按事业单位在职职工工资总额的一定比例缴纳的基本医疗保险支出。</w:t>
      </w:r>
    </w:p>
    <w:p>
      <w:pPr>
        <w:pStyle w:val="4"/>
        <w:widowControl/>
        <w:spacing w:before="150" w:beforeAutospacing="0" w:after="150" w:afterAutospacing="0" w:line="460" w:lineRule="exact"/>
        <w:ind w:firstLine="420"/>
        <w:rPr>
          <w:rFonts w:ascii="Arial" w:hAnsi="Arial" w:cs="Arial"/>
        </w:rPr>
      </w:pPr>
      <w:r>
        <w:rPr>
          <w:rFonts w:ascii="Arial" w:hAnsi="Arial" w:cs="Arial"/>
        </w:rPr>
        <w:t>(4)住房保障支出28.1万元,占一般公共预算支出预算6.6%,同比增加3.09万元,增长12.4%。具体如下: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住房公积金28.1万元, 同比增加3.09万元,增长12.4%,全部是基本支出预算。是按照统一规定,为局机关和局属参公单位(事业单位)职工缴纳的住房公积金支出。</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2023年一般公共预算基本支出375.42万元,增加38.86万元,增长11.5%,增长主要原因是</w:t>
      </w:r>
      <w:r>
        <w:rPr>
          <w:rFonts w:hint="eastAsia" w:ascii="Arial" w:hAnsi="Arial" w:cs="Arial"/>
        </w:rPr>
        <w:t>新招录人员，人员经费与运转经费随之增加</w:t>
      </w:r>
      <w:r>
        <w:rPr>
          <w:rFonts w:ascii="Arial" w:hAnsi="Arial" w:cs="Arial"/>
        </w:rPr>
        <w:t>。其中:工资福利支出340.84万元,增加</w:t>
      </w:r>
      <w:r>
        <w:rPr>
          <w:rFonts w:hint="eastAsia" w:ascii="Arial" w:hAnsi="Arial" w:cs="Arial"/>
        </w:rPr>
        <w:t>3</w:t>
      </w:r>
      <w:r>
        <w:rPr>
          <w:rFonts w:ascii="Arial" w:hAnsi="Arial" w:cs="Arial"/>
        </w:rPr>
        <w:t>7.54万元,增长12.4 %,增长的主要原因是</w:t>
      </w:r>
      <w:r>
        <w:rPr>
          <w:rFonts w:hint="eastAsia" w:ascii="Arial" w:hAnsi="Arial" w:cs="Arial"/>
        </w:rPr>
        <w:t>新招录人员</w:t>
      </w:r>
      <w:r>
        <w:rPr>
          <w:rFonts w:ascii="Arial" w:hAnsi="Arial" w:cs="Arial"/>
        </w:rPr>
        <w:t>。商品和服务支出18.84万元,增加1.32万元,增长7.5%。增长的主要原因是</w:t>
      </w:r>
      <w:r>
        <w:rPr>
          <w:rFonts w:hint="eastAsia" w:ascii="Arial" w:hAnsi="Arial" w:cs="Arial"/>
        </w:rPr>
        <w:t>人员增加对应公用经费增加</w:t>
      </w:r>
      <w:r>
        <w:rPr>
          <w:rFonts w:ascii="Arial" w:hAnsi="Arial" w:cs="Arial"/>
        </w:rPr>
        <w:t>。对个人和家庭的补助15.75万元,增加0万元</w:t>
      </w:r>
      <w:r>
        <w:rPr>
          <w:rFonts w:hint="eastAsia" w:ascii="Arial" w:hAnsi="Arial" w:cs="Arial"/>
        </w:rPr>
        <w:t>。</w:t>
      </w:r>
    </w:p>
    <w:p>
      <w:pPr>
        <w:pStyle w:val="4"/>
        <w:widowControl/>
        <w:spacing w:before="150" w:beforeAutospacing="0" w:after="150" w:afterAutospacing="0" w:line="460" w:lineRule="exact"/>
        <w:ind w:firstLine="420"/>
        <w:rPr>
          <w:rFonts w:hint="eastAsia" w:ascii="Arial" w:hAnsi="Arial" w:cs="Arial"/>
        </w:rPr>
      </w:pPr>
      <w:r>
        <w:rPr>
          <w:rFonts w:ascii="Arial" w:hAnsi="Arial" w:cs="Arial"/>
        </w:rPr>
        <w:t>七、财政拨款三公两费支出情况说明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2023年一般公共预算安排的“三公”经费共4.04万元</w:t>
      </w:r>
      <w:r>
        <w:rPr>
          <w:rFonts w:hint="eastAsia" w:ascii="Arial" w:hAnsi="Arial" w:cs="Arial"/>
        </w:rPr>
        <w:t>，其中</w:t>
      </w:r>
      <w:r>
        <w:rPr>
          <w:rFonts w:ascii="Arial" w:hAnsi="Arial" w:cs="Arial"/>
        </w:rPr>
        <w:t>公务接待费预算4.04万元</w:t>
      </w:r>
      <w:r>
        <w:rPr>
          <w:rFonts w:hint="eastAsia"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1、因公出国(境)经费无预算安排,同比无变化。</w:t>
      </w:r>
    </w:p>
    <w:p>
      <w:pPr>
        <w:pStyle w:val="4"/>
        <w:widowControl/>
        <w:spacing w:before="150" w:beforeAutospacing="0" w:after="150" w:afterAutospacing="0" w:line="460" w:lineRule="exact"/>
        <w:ind w:firstLine="420"/>
        <w:rPr>
          <w:rFonts w:ascii="Arial" w:hAnsi="Arial" w:cs="Arial"/>
        </w:rPr>
      </w:pPr>
      <w:r>
        <w:rPr>
          <w:rFonts w:ascii="Arial" w:hAnsi="Arial" w:cs="Arial"/>
        </w:rPr>
        <w:t>2、公务用车购置和运行维护费预算0万元,增加0万元,增</w:t>
      </w:r>
      <w:r>
        <w:rPr>
          <w:rFonts w:hint="eastAsia" w:ascii="Arial" w:hAnsi="Arial" w:cs="Arial"/>
        </w:rPr>
        <w:t>0</w:t>
      </w:r>
      <w:r>
        <w:rPr>
          <w:rFonts w:ascii="Arial" w:hAnsi="Arial" w:cs="Arial"/>
        </w:rPr>
        <w:t xml:space="preserve"> %。</w:t>
      </w:r>
    </w:p>
    <w:p>
      <w:pPr>
        <w:pStyle w:val="4"/>
        <w:widowControl/>
        <w:spacing w:before="150" w:beforeAutospacing="0" w:after="150" w:afterAutospacing="0" w:line="460" w:lineRule="exact"/>
        <w:ind w:firstLine="420"/>
        <w:rPr>
          <w:rFonts w:ascii="Arial" w:hAnsi="Arial" w:cs="Arial"/>
        </w:rPr>
      </w:pPr>
      <w:r>
        <w:rPr>
          <w:rFonts w:ascii="Arial" w:hAnsi="Arial" w:cs="Arial"/>
        </w:rPr>
        <w:t>3、会议费预算0.52万元,培训费预算48.26万元,同比无变化</w:t>
      </w:r>
      <w:bookmarkStart w:id="0" w:name="_GoBack"/>
      <w:bookmarkEnd w:id="0"/>
      <w:r>
        <w:rPr>
          <w:rFonts w:hint="eastAsia"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八、政府性基金预算支出情况说明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我部门2023年部门预算无政府性基金预算。</w:t>
      </w:r>
    </w:p>
    <w:p>
      <w:pPr>
        <w:pStyle w:val="4"/>
        <w:widowControl/>
        <w:spacing w:before="150" w:beforeAutospacing="0" w:after="150" w:afterAutospacing="0" w:line="460" w:lineRule="exact"/>
        <w:ind w:firstLine="420"/>
        <w:rPr>
          <w:rFonts w:ascii="Arial" w:hAnsi="Arial" w:cs="Arial"/>
        </w:rPr>
      </w:pPr>
      <w:r>
        <w:rPr>
          <w:rFonts w:ascii="Arial" w:hAnsi="Arial" w:cs="Arial"/>
        </w:rPr>
        <w:t>九、国有资本经营预算支出情况说明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我单位2023年部门预算无国有资本经营预算</w:t>
      </w:r>
    </w:p>
    <w:p>
      <w:pPr>
        <w:pStyle w:val="4"/>
        <w:widowControl/>
        <w:spacing w:before="150" w:beforeAutospacing="0" w:after="150" w:afterAutospacing="0" w:line="460" w:lineRule="exact"/>
        <w:ind w:firstLine="480" w:firstLineChars="200"/>
        <w:rPr>
          <w:rFonts w:ascii="Arial" w:hAnsi="Arial" w:cs="Arial"/>
        </w:rPr>
      </w:pPr>
      <w:r>
        <w:rPr>
          <w:rFonts w:ascii="Arial" w:hAnsi="Arial" w:cs="Arial"/>
        </w:rPr>
        <w:t>十、其他重要事项情况说明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(一)机关运行经费安排情况说明</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2023年机关运行经费18.84万元,增加1.32万元,增长7.5%。增长的主要原因是</w:t>
      </w:r>
      <w:r>
        <w:rPr>
          <w:rFonts w:hint="eastAsia" w:ascii="Arial" w:hAnsi="Arial" w:cs="Arial"/>
        </w:rPr>
        <w:t>人员增加对应运行经费增加</w:t>
      </w:r>
      <w:r>
        <w:rPr>
          <w:rFonts w:ascii="Arial" w:hAnsi="Arial" w:cs="Arial"/>
        </w:rPr>
        <w:t>。具体包括办公费1.72万元、印刷费0.55万元、水费0.47万元、电费1.2万元、邮电费0.62万元、差旅费4.68万元、维修(护)费0.31万元、会议费0.52万元、培训费0.26万元、公务接待费1.04万元、其他交通费用7.14万元和其他商品和服务支出0.34万元。</w:t>
      </w:r>
    </w:p>
    <w:p>
      <w:pPr>
        <w:pStyle w:val="4"/>
        <w:widowControl/>
        <w:spacing w:before="150" w:beforeAutospacing="0" w:after="150" w:afterAutospacing="0" w:line="460" w:lineRule="exact"/>
        <w:ind w:firstLine="420"/>
        <w:rPr>
          <w:rFonts w:ascii="Arial" w:hAnsi="Arial" w:cs="Arial"/>
        </w:rPr>
      </w:pPr>
      <w:r>
        <w:rPr>
          <w:rFonts w:ascii="Arial" w:hAnsi="Arial" w:cs="Arial"/>
        </w:rPr>
        <w:t>(二)政府采购预算安排情况说明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 我部门2023年部门预算无政府采购预算</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(三)国有资产占有使用情况说明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截至2022年12月31日,本部门资产总计81.55万元,其中:流动资产8.42万元,固定资产</w:t>
      </w:r>
      <w:r>
        <w:rPr>
          <w:rFonts w:hint="eastAsia" w:ascii="Arial" w:hAnsi="Arial" w:cs="Arial"/>
        </w:rPr>
        <w:t>7</w:t>
      </w:r>
      <w:r>
        <w:rPr>
          <w:rFonts w:ascii="Arial" w:hAnsi="Arial" w:cs="Arial"/>
        </w:rPr>
        <w:t>3.13万元。</w:t>
      </w:r>
    </w:p>
    <w:p>
      <w:pPr>
        <w:pStyle w:val="4"/>
        <w:widowControl/>
        <w:spacing w:before="150" w:beforeAutospacing="0" w:after="150" w:afterAutospacing="0" w:line="460" w:lineRule="exact"/>
        <w:ind w:firstLine="420"/>
        <w:rPr>
          <w:rFonts w:ascii="Arial" w:hAnsi="Arial" w:cs="Arial"/>
        </w:rPr>
      </w:pPr>
      <w:r>
        <w:rPr>
          <w:rFonts w:ascii="Arial" w:hAnsi="Arial" w:cs="Arial"/>
        </w:rPr>
        <w:t>本部门实际可调配使用车辆0辆,其中:一般公务用车辆0辆。</w:t>
      </w:r>
    </w:p>
    <w:p>
      <w:pPr>
        <w:pStyle w:val="4"/>
        <w:widowControl/>
        <w:spacing w:before="150" w:beforeAutospacing="0" w:after="150" w:afterAutospacing="0" w:line="460" w:lineRule="exact"/>
        <w:ind w:firstLine="420"/>
        <w:rPr>
          <w:rFonts w:ascii="Arial" w:hAnsi="Arial" w:cs="Arial"/>
        </w:rPr>
      </w:pPr>
      <w:r>
        <w:rPr>
          <w:rFonts w:ascii="Arial" w:hAnsi="Arial" w:cs="Arial"/>
        </w:rPr>
        <w:t>(四)重点项目预算绩效目标等情况说明</w:t>
      </w:r>
    </w:p>
    <w:p>
      <w:pPr>
        <w:pStyle w:val="4"/>
        <w:widowControl/>
        <w:spacing w:before="150" w:after="150" w:line="460" w:lineRule="exact"/>
        <w:ind w:firstLine="420"/>
        <w:rPr>
          <w:rFonts w:ascii="Arial" w:hAnsi="Arial" w:cs="Arial"/>
        </w:rPr>
      </w:pPr>
      <w:r>
        <w:rPr>
          <w:rFonts w:hint="eastAsia" w:ascii="Arial" w:hAnsi="Arial" w:cs="Arial"/>
        </w:rPr>
        <w:t>1.部门整体绩效目标</w:t>
      </w:r>
    </w:p>
    <w:p>
      <w:pPr>
        <w:pStyle w:val="4"/>
        <w:widowControl/>
        <w:spacing w:before="150" w:after="150" w:line="460" w:lineRule="exact"/>
        <w:ind w:firstLine="420"/>
        <w:rPr>
          <w:rFonts w:ascii="Arial" w:hAnsi="Arial" w:cs="Arial"/>
        </w:rPr>
      </w:pPr>
      <w:r>
        <w:rPr>
          <w:rFonts w:hint="eastAsia" w:ascii="Arial" w:hAnsi="Arial" w:cs="Arial"/>
        </w:rPr>
        <w:t>坚持以习近平新时代中国特色社会主义思想为指导，深入贯彻落实《中国共产党党校（行政学院）工作条例》，坚持“党校姓党”的根本原则。通过瞄准目标定位，深化各项工作改革创新，全面提升干部教育培训质量，推动党校工作不断取得新成效。</w:t>
      </w:r>
    </w:p>
    <w:p>
      <w:pPr>
        <w:pStyle w:val="4"/>
        <w:widowControl/>
        <w:spacing w:before="150" w:beforeAutospacing="0" w:after="150" w:afterAutospacing="0" w:line="460" w:lineRule="exact"/>
        <w:ind w:firstLine="420"/>
        <w:rPr>
          <w:rFonts w:ascii="Arial" w:hAnsi="Arial" w:cs="Arial"/>
        </w:rPr>
      </w:pPr>
      <w:r>
        <w:rPr>
          <w:rFonts w:hint="eastAsia" w:ascii="Arial" w:hAnsi="Arial" w:cs="Arial"/>
        </w:rPr>
        <w:t>2、重点项目绩效目标、预算数额、立项情况、实施进度计划和年度目标等情况</w:t>
      </w:r>
    </w:p>
    <w:p>
      <w:pPr>
        <w:pStyle w:val="4"/>
        <w:widowControl/>
        <w:spacing w:before="150" w:after="150" w:line="460" w:lineRule="exact"/>
        <w:ind w:firstLine="420"/>
        <w:rPr>
          <w:rFonts w:ascii="Arial" w:hAnsi="Arial" w:cs="Arial"/>
        </w:rPr>
      </w:pPr>
      <w:r>
        <w:rPr>
          <w:rFonts w:hint="eastAsia" w:ascii="Arial" w:hAnsi="Arial" w:cs="Arial"/>
        </w:rPr>
        <w:t>教学科研干部培训经费：预算5</w:t>
      </w:r>
      <w:r>
        <w:rPr>
          <w:rFonts w:ascii="Arial" w:hAnsi="Arial" w:cs="Arial"/>
        </w:rPr>
        <w:t>0</w:t>
      </w:r>
      <w:r>
        <w:rPr>
          <w:rFonts w:hint="eastAsia" w:ascii="Arial" w:hAnsi="Arial" w:cs="Arial"/>
        </w:rPr>
        <w:t>万元，资金来源为一般公共预算拨款收入。</w:t>
      </w:r>
    </w:p>
    <w:p>
      <w:pPr>
        <w:pStyle w:val="4"/>
        <w:widowControl/>
        <w:spacing w:before="150" w:after="150" w:line="460" w:lineRule="exact"/>
        <w:ind w:firstLine="420"/>
        <w:rPr>
          <w:rFonts w:ascii="Arial" w:hAnsi="Arial" w:cs="Arial"/>
        </w:rPr>
      </w:pPr>
      <w:r>
        <w:rPr>
          <w:rFonts w:hint="eastAsia" w:ascii="Arial" w:hAnsi="Arial" w:cs="Arial"/>
        </w:rPr>
        <w:t>（1）项目立项情况</w:t>
      </w:r>
    </w:p>
    <w:p>
      <w:pPr>
        <w:pStyle w:val="4"/>
        <w:widowControl/>
        <w:spacing w:before="150" w:after="150" w:line="460" w:lineRule="exact"/>
        <w:ind w:firstLine="420"/>
        <w:rPr>
          <w:rFonts w:ascii="Arial" w:hAnsi="Arial" w:cs="Arial"/>
        </w:rPr>
      </w:pPr>
      <w:r>
        <w:rPr>
          <w:rFonts w:hint="eastAsia" w:ascii="Arial" w:hAnsi="Arial" w:cs="Arial"/>
        </w:rPr>
        <w:t>立项依据：《中国共产党党校（行政学院）工作条例》第二十一条“根据形势和任务的要求，不断充实和创新教学内容，优化党校（行政学院）教学布局”、第二十四条“党校（行政学院）应当努力创新教学方式，大力推行研究式教学，综合运用讲授式和案例式、模拟式、体验式等互动式教学方法”、第二十九条“科研工作是党校（行政学院）发展的基础支撑。科研工作应当为提高党校（行政学院）教学质量服务，为推进党的理论创新服务，为党委和政府决策服务”。</w:t>
      </w:r>
    </w:p>
    <w:p>
      <w:pPr>
        <w:pStyle w:val="4"/>
        <w:widowControl/>
        <w:spacing w:before="150" w:after="150" w:line="460" w:lineRule="exact"/>
        <w:ind w:firstLine="420"/>
        <w:rPr>
          <w:rFonts w:ascii="Arial" w:hAnsi="Arial" w:cs="Arial"/>
        </w:rPr>
      </w:pPr>
      <w:r>
        <w:rPr>
          <w:rFonts w:hint="eastAsia" w:ascii="Arial" w:hAnsi="Arial" w:cs="Arial"/>
        </w:rPr>
        <w:t>（2）项目实施进度计划</w:t>
      </w:r>
    </w:p>
    <w:p>
      <w:pPr>
        <w:pStyle w:val="4"/>
        <w:widowControl/>
        <w:spacing w:before="150" w:after="150" w:line="460" w:lineRule="exact"/>
        <w:ind w:firstLine="420"/>
        <w:rPr>
          <w:rFonts w:ascii="Arial" w:hAnsi="Arial" w:cs="Arial"/>
        </w:rPr>
      </w:pPr>
      <w:r>
        <w:rPr>
          <w:rFonts w:hint="eastAsia" w:ascii="Arial" w:hAnsi="Arial" w:cs="Arial"/>
        </w:rPr>
        <w:t>实施时间：2023.1.1-2023.12.31</w:t>
      </w:r>
    </w:p>
    <w:p>
      <w:pPr>
        <w:pStyle w:val="4"/>
        <w:widowControl/>
        <w:spacing w:before="150" w:after="150" w:line="460" w:lineRule="exact"/>
        <w:ind w:firstLine="420"/>
        <w:rPr>
          <w:rFonts w:ascii="Arial" w:hAnsi="Arial" w:cs="Arial"/>
        </w:rPr>
      </w:pPr>
      <w:r>
        <w:rPr>
          <w:rFonts w:hint="eastAsia" w:ascii="Arial" w:hAnsi="Arial" w:cs="Arial"/>
        </w:rPr>
        <w:t>（3）项目年度绩效目标</w:t>
      </w:r>
    </w:p>
    <w:p>
      <w:pPr>
        <w:pStyle w:val="4"/>
        <w:widowControl/>
        <w:spacing w:before="150" w:beforeAutospacing="0" w:after="150" w:afterAutospacing="0" w:line="460" w:lineRule="exact"/>
        <w:ind w:firstLine="420"/>
        <w:rPr>
          <w:rFonts w:ascii="Arial" w:hAnsi="Arial" w:cs="Arial"/>
        </w:rPr>
      </w:pPr>
      <w:r>
        <w:rPr>
          <w:rFonts w:hint="eastAsia" w:ascii="Arial" w:hAnsi="Arial" w:cs="Arial"/>
        </w:rPr>
        <w:t>分为质量指标、成本指标、效益指标、服务对象满意度指标等。</w:t>
      </w:r>
    </w:p>
    <w:p>
      <w:pPr>
        <w:pStyle w:val="4"/>
        <w:widowControl/>
        <w:spacing w:before="150" w:beforeAutospacing="0" w:after="150" w:afterAutospacing="0" w:line="460" w:lineRule="exact"/>
        <w:ind w:firstLine="420"/>
        <w:rPr>
          <w:rFonts w:ascii="Arial" w:hAnsi="Arial" w:cs="Arial"/>
        </w:rPr>
      </w:pP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专业名词解释</w:t>
      </w:r>
    </w:p>
    <w:p>
      <w:pPr>
        <w:pStyle w:val="4"/>
        <w:widowControl/>
        <w:spacing w:before="150" w:beforeAutospacing="0" w:after="150" w:afterAutospacing="0" w:line="460" w:lineRule="exact"/>
        <w:ind w:firstLine="420"/>
        <w:rPr>
          <w:rFonts w:ascii="Arial" w:hAnsi="Arial" w:cs="Arial"/>
        </w:rPr>
      </w:pPr>
      <w:r>
        <w:rPr>
          <w:rFonts w:ascii="Arial" w:hAnsi="Arial" w:cs="Arial"/>
        </w:rPr>
        <w:t>一、财政拨款收入:指财政部门当年拨付的资金。</w:t>
      </w:r>
    </w:p>
    <w:p>
      <w:pPr>
        <w:pStyle w:val="4"/>
        <w:widowControl/>
        <w:spacing w:before="150" w:beforeAutospacing="0" w:after="150" w:afterAutospacing="0" w:line="460" w:lineRule="exact"/>
        <w:ind w:firstLine="420"/>
        <w:rPr>
          <w:rFonts w:ascii="Arial" w:hAnsi="Arial" w:cs="Arial"/>
        </w:rPr>
      </w:pPr>
      <w:r>
        <w:rPr>
          <w:rFonts w:ascii="Arial" w:hAnsi="Arial" w:cs="Arial"/>
        </w:rPr>
        <w:t>二、事业收入:指事业单位开展专业业务活动及辅助活动所取得的收入。</w:t>
      </w:r>
    </w:p>
    <w:p>
      <w:pPr>
        <w:pStyle w:val="4"/>
        <w:widowControl/>
        <w:spacing w:before="150" w:beforeAutospacing="0" w:after="150" w:afterAutospacing="0" w:line="460" w:lineRule="exact"/>
        <w:ind w:firstLine="420"/>
        <w:rPr>
          <w:rFonts w:ascii="Arial" w:hAnsi="Arial" w:cs="Arial"/>
        </w:rPr>
      </w:pPr>
      <w:r>
        <w:rPr>
          <w:rFonts w:ascii="Arial" w:hAnsi="Arial" w:cs="Arial"/>
        </w:rPr>
        <w:t>三、其他收入:指除上述“财政拨款收入”、“事业收入”、“经营收入”等以外的收入。</w:t>
      </w:r>
    </w:p>
    <w:p>
      <w:pPr>
        <w:pStyle w:val="4"/>
        <w:widowControl/>
        <w:spacing w:before="150" w:beforeAutospacing="0" w:after="150" w:afterAutospacing="0" w:line="460" w:lineRule="exact"/>
        <w:ind w:firstLine="420"/>
        <w:rPr>
          <w:rFonts w:ascii="Arial" w:hAnsi="Arial" w:cs="Arial"/>
        </w:rPr>
      </w:pPr>
      <w:r>
        <w:rPr>
          <w:rFonts w:ascii="Arial" w:hAnsi="Arial" w:cs="Arial"/>
        </w:rPr>
        <w:t>四、基本支出:指为保障机构正常运转、完成日常工作任务而发生的人员支出和公用支出。</w:t>
      </w:r>
    </w:p>
    <w:p>
      <w:pPr>
        <w:pStyle w:val="4"/>
        <w:widowControl/>
        <w:spacing w:before="150" w:beforeAutospacing="0" w:after="150" w:afterAutospacing="0" w:line="460" w:lineRule="exact"/>
        <w:ind w:firstLine="420"/>
        <w:rPr>
          <w:rFonts w:ascii="Arial" w:hAnsi="Arial" w:cs="Arial"/>
        </w:rPr>
      </w:pPr>
      <w:r>
        <w:rPr>
          <w:rFonts w:ascii="Arial" w:hAnsi="Arial" w:cs="Arial"/>
        </w:rPr>
        <w:t>五、项目支出:指在基本支出之外为完成特定行政任务和事业发展目标所发生的支出。</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六、一般公共服务支出:反映政府提供一般公共服务的支出。</w:t>
      </w:r>
    </w:p>
    <w:p>
      <w:pPr>
        <w:pStyle w:val="4"/>
        <w:widowControl/>
        <w:spacing w:before="150" w:beforeAutospacing="0" w:after="150" w:afterAutospacing="0" w:line="460" w:lineRule="exact"/>
        <w:ind w:firstLine="420"/>
        <w:rPr>
          <w:rFonts w:ascii="Arial" w:hAnsi="Arial" w:cs="Arial"/>
        </w:rPr>
      </w:pPr>
      <w:r>
        <w:rPr>
          <w:rFonts w:ascii="Arial" w:hAnsi="Arial" w:cs="Arial"/>
        </w:rPr>
        <w:t>七、社会保障和就业支出:反映政府在社会保障与就业方面的支出。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八、卫生健康支出:反映政府卫生健康方面的支出。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九、住房保障支出:集中反映政府用于住房方面的支出。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4"/>
        <w:widowControl/>
        <w:spacing w:before="150" w:beforeAutospacing="0" w:after="150" w:afterAutospacing="0" w:line="460" w:lineRule="exact"/>
        <w:ind w:firstLine="420"/>
        <w:rPr>
          <w:rFonts w:ascii="Arial" w:hAnsi="Arial" w:cs="Arial"/>
        </w:rPr>
      </w:pPr>
      <w:r>
        <w:rPr>
          <w:rFonts w:ascii="Arial" w:hAnsi="Arial" w:cs="Arial"/>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4"/>
        <w:widowControl/>
        <w:wordWrap w:val="0"/>
        <w:spacing w:beforeAutospacing="0" w:afterAutospacing="0" w:line="360" w:lineRule="auto"/>
        <w:ind w:firstLine="480" w:firstLineChars="200"/>
        <w:rPr>
          <w:rFonts w:ascii="宋体" w:hAnsi="宋体" w:eastAsia="宋体" w:cs="宋体"/>
        </w:rPr>
      </w:pPr>
      <w:r>
        <w:rPr>
          <w:rFonts w:ascii="Arial" w:hAnsi="Arial" w:cs="Arial"/>
        </w:rPr>
        <w:t>十二、</w:t>
      </w:r>
      <w:r>
        <w:rPr>
          <w:rFonts w:hint="eastAsia" w:ascii="宋体" w:hAnsi="宋体" w:eastAsia="宋体" w:cs="宋体"/>
        </w:rPr>
        <w:t>行政运行（教育管理事务）：反映行政单位（包括公务员管理的事业单位）的基本支出</w:t>
      </w:r>
    </w:p>
    <w:p>
      <w:pPr>
        <w:pStyle w:val="4"/>
        <w:widowControl/>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十三、干部教育:反映各级党校、行政学院、社会主义学院、国家会计学院的支出。包括机构运转、招聘师资、举办各类培训班的支出等。</w:t>
      </w:r>
    </w:p>
    <w:p>
      <w:pPr>
        <w:pStyle w:val="4"/>
        <w:widowControl/>
        <w:wordWrap w:val="0"/>
        <w:spacing w:beforeAutospacing="0" w:afterAutospacing="0" w:line="360" w:lineRule="auto"/>
        <w:ind w:firstLine="480" w:firstLineChars="200"/>
        <w:rPr>
          <w:rFonts w:ascii="宋体" w:hAnsi="宋体" w:eastAsia="宋体" w:cs="宋体"/>
        </w:rPr>
      </w:pPr>
    </w:p>
    <w:p>
      <w:pPr>
        <w:pStyle w:val="4"/>
        <w:widowControl/>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十四、事业单位医疗:反映财政部门集中安排的事业单位基本医疗保险缴费经费，未参加医疗保险的事业单位的公费医疗经费，按国家规定享受离休人员待遇的医疗经费。</w:t>
      </w:r>
    </w:p>
    <w:p>
      <w:pPr>
        <w:pStyle w:val="4"/>
        <w:widowControl/>
        <w:wordWrap w:val="0"/>
        <w:spacing w:beforeAutospacing="0" w:afterAutospacing="0" w:line="360" w:lineRule="auto"/>
        <w:ind w:firstLine="480" w:firstLineChars="200"/>
        <w:rPr>
          <w:rFonts w:ascii="宋体" w:hAnsi="宋体" w:eastAsia="宋体" w:cs="宋体"/>
        </w:rPr>
      </w:pPr>
    </w:p>
    <w:p>
      <w:pPr>
        <w:pStyle w:val="4"/>
        <w:widowControl/>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十五、住房公积金:反映行政事业单位按人力资源和社会保障部、财政部规定的基本工资和津贴补贴以及规定比例为职工缴纳的住房公积金。</w:t>
      </w:r>
    </w:p>
    <w:p>
      <w:pPr>
        <w:pStyle w:val="4"/>
        <w:widowControl/>
        <w:wordWrap w:val="0"/>
        <w:spacing w:beforeAutospacing="0" w:afterAutospacing="0" w:line="360" w:lineRule="auto"/>
        <w:ind w:firstLine="480" w:firstLineChars="200"/>
        <w:rPr>
          <w:rFonts w:ascii="宋体" w:hAnsi="宋体" w:eastAsia="宋体" w:cs="宋体"/>
        </w:rPr>
      </w:pPr>
    </w:p>
    <w:p>
      <w:pPr>
        <w:pStyle w:val="4"/>
        <w:widowControl/>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十六、机关事业单位基本养老保险缴费支出:反映机关事业单位实施养老保险制度由单位缴纳的基本养老保险费支出。</w:t>
      </w:r>
    </w:p>
    <w:p>
      <w:pPr>
        <w:pStyle w:val="4"/>
        <w:widowControl/>
        <w:wordWrap w:val="0"/>
        <w:spacing w:beforeAutospacing="0" w:afterAutospacing="0" w:line="360" w:lineRule="auto"/>
        <w:ind w:firstLine="480" w:firstLineChars="200"/>
        <w:rPr>
          <w:rFonts w:ascii="宋体" w:hAnsi="宋体" w:eastAsia="宋体" w:cs="宋体"/>
        </w:rPr>
      </w:pPr>
    </w:p>
    <w:p>
      <w:pPr>
        <w:pStyle w:val="4"/>
        <w:widowControl/>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十七、对机关事业单位基本养老保险基金的补助：反映各级财政部门对机关事业单位基本保险基金收支缺口的补助。</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C5C96"/>
    <w:multiLevelType w:val="singleLevel"/>
    <w:tmpl w:val="5BFC5C9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MyMWNmZDkzNmFmNDdkMjYzYTg0YjVhZmE1YjI1MTQifQ=="/>
  </w:docVars>
  <w:rsids>
    <w:rsidRoot w:val="255B155F"/>
    <w:rsid w:val="000254A1"/>
    <w:rsid w:val="00044BD5"/>
    <w:rsid w:val="000906A7"/>
    <w:rsid w:val="000D2411"/>
    <w:rsid w:val="000F330E"/>
    <w:rsid w:val="000F3DA8"/>
    <w:rsid w:val="001158FF"/>
    <w:rsid w:val="0013706E"/>
    <w:rsid w:val="00155A4F"/>
    <w:rsid w:val="001736C6"/>
    <w:rsid w:val="00174922"/>
    <w:rsid w:val="001F32F9"/>
    <w:rsid w:val="0021223F"/>
    <w:rsid w:val="0025254E"/>
    <w:rsid w:val="00263478"/>
    <w:rsid w:val="00290AD5"/>
    <w:rsid w:val="002B31B3"/>
    <w:rsid w:val="002E552D"/>
    <w:rsid w:val="002E5E23"/>
    <w:rsid w:val="002F4591"/>
    <w:rsid w:val="00300FF1"/>
    <w:rsid w:val="003237FB"/>
    <w:rsid w:val="00395DA4"/>
    <w:rsid w:val="003B1DC5"/>
    <w:rsid w:val="003C3DDE"/>
    <w:rsid w:val="003D0CC9"/>
    <w:rsid w:val="003D2516"/>
    <w:rsid w:val="003F76C9"/>
    <w:rsid w:val="00402349"/>
    <w:rsid w:val="00441F4D"/>
    <w:rsid w:val="004601F1"/>
    <w:rsid w:val="00464FB3"/>
    <w:rsid w:val="004C5F0F"/>
    <w:rsid w:val="0050772A"/>
    <w:rsid w:val="0054483C"/>
    <w:rsid w:val="005A3CAD"/>
    <w:rsid w:val="00642AF6"/>
    <w:rsid w:val="0065163D"/>
    <w:rsid w:val="0065652B"/>
    <w:rsid w:val="00666930"/>
    <w:rsid w:val="00685A97"/>
    <w:rsid w:val="006959CD"/>
    <w:rsid w:val="006B5069"/>
    <w:rsid w:val="006F474F"/>
    <w:rsid w:val="00706DE2"/>
    <w:rsid w:val="00711D5F"/>
    <w:rsid w:val="00735276"/>
    <w:rsid w:val="00752F94"/>
    <w:rsid w:val="00780C46"/>
    <w:rsid w:val="00785F89"/>
    <w:rsid w:val="007E0EE5"/>
    <w:rsid w:val="007E335A"/>
    <w:rsid w:val="007F5AFB"/>
    <w:rsid w:val="00862708"/>
    <w:rsid w:val="0087634F"/>
    <w:rsid w:val="00917B22"/>
    <w:rsid w:val="009A1E6F"/>
    <w:rsid w:val="009A5425"/>
    <w:rsid w:val="00A13F2F"/>
    <w:rsid w:val="00A165B7"/>
    <w:rsid w:val="00A2020E"/>
    <w:rsid w:val="00A67CCF"/>
    <w:rsid w:val="00A923DD"/>
    <w:rsid w:val="00AB40C3"/>
    <w:rsid w:val="00AB7692"/>
    <w:rsid w:val="00AC695E"/>
    <w:rsid w:val="00AD060E"/>
    <w:rsid w:val="00AD7244"/>
    <w:rsid w:val="00AE66E1"/>
    <w:rsid w:val="00B03334"/>
    <w:rsid w:val="00B07955"/>
    <w:rsid w:val="00B311B7"/>
    <w:rsid w:val="00B40125"/>
    <w:rsid w:val="00B5055A"/>
    <w:rsid w:val="00B53A56"/>
    <w:rsid w:val="00B740E3"/>
    <w:rsid w:val="00BA297A"/>
    <w:rsid w:val="00BA2E81"/>
    <w:rsid w:val="00BF5979"/>
    <w:rsid w:val="00C20DC0"/>
    <w:rsid w:val="00C34EE0"/>
    <w:rsid w:val="00C5262C"/>
    <w:rsid w:val="00C60D37"/>
    <w:rsid w:val="00C679EE"/>
    <w:rsid w:val="00C83506"/>
    <w:rsid w:val="00CB2C36"/>
    <w:rsid w:val="00CC3B4B"/>
    <w:rsid w:val="00CF45B5"/>
    <w:rsid w:val="00CF738B"/>
    <w:rsid w:val="00D02425"/>
    <w:rsid w:val="00D03E1C"/>
    <w:rsid w:val="00D92CBB"/>
    <w:rsid w:val="00E71F3A"/>
    <w:rsid w:val="00E93481"/>
    <w:rsid w:val="00EE6C5E"/>
    <w:rsid w:val="00EF0C79"/>
    <w:rsid w:val="00EF246F"/>
    <w:rsid w:val="00EF48FC"/>
    <w:rsid w:val="00EF54EF"/>
    <w:rsid w:val="00F112C9"/>
    <w:rsid w:val="00F23009"/>
    <w:rsid w:val="00F43B95"/>
    <w:rsid w:val="00F44DD1"/>
    <w:rsid w:val="00F71DB0"/>
    <w:rsid w:val="00F74E00"/>
    <w:rsid w:val="00FC12A3"/>
    <w:rsid w:val="022C2E9B"/>
    <w:rsid w:val="04C75BAA"/>
    <w:rsid w:val="068707C4"/>
    <w:rsid w:val="0E2F75DE"/>
    <w:rsid w:val="117758BA"/>
    <w:rsid w:val="14BD6FE9"/>
    <w:rsid w:val="255B155F"/>
    <w:rsid w:val="258F5248"/>
    <w:rsid w:val="2EA4771D"/>
    <w:rsid w:val="31C11B09"/>
    <w:rsid w:val="3C6900E4"/>
    <w:rsid w:val="45344EFF"/>
    <w:rsid w:val="45E561F9"/>
    <w:rsid w:val="539E33BB"/>
    <w:rsid w:val="57882E88"/>
    <w:rsid w:val="599F37FD"/>
    <w:rsid w:val="5A7E4E87"/>
    <w:rsid w:val="61243C22"/>
    <w:rsid w:val="62BA7B54"/>
    <w:rsid w:val="646B148A"/>
    <w:rsid w:val="68FA68F9"/>
    <w:rsid w:val="72ED672C"/>
    <w:rsid w:val="7A5A4353"/>
    <w:rsid w:val="7BA93249"/>
    <w:rsid w:val="7BF00E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styleId="7">
    <w:name w:val="Strong"/>
    <w:basedOn w:val="6"/>
    <w:qFormat/>
    <w:uiPriority w:val="22"/>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TIMIZHUO</Company>
  <Pages>8</Pages>
  <Words>4192</Words>
  <Characters>4802</Characters>
  <Lines>35</Lines>
  <Paragraphs>9</Paragraphs>
  <TotalTime>1</TotalTime>
  <ScaleCrop>false</ScaleCrop>
  <LinksUpToDate>false</LinksUpToDate>
  <CharactersWithSpaces>4813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2023-03-16T02:24:00Z</dcterms:created>
  <dc:creator>天熙</dc:creator>
  <cp:lastModifiedBy>lenovo</cp:lastModifiedBy>
  <dcterms:modified xsi:type="dcterms:W3CDTF">2023-06-27T02:01:41Z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735C88C555744AA596C61A472DAD8BE6</vt:lpwstr>
  </property>
</Properties>
</file>