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60" w:lineRule="exact"/>
      </w:pPr>
      <w:r>
        <w:t> </w:t>
      </w:r>
    </w:p>
    <w:p>
      <w:pPr>
        <w:pStyle w:val="4"/>
        <w:widowControl/>
        <w:spacing w:before="150" w:beforeAutospacing="0" w:after="150" w:afterAutospacing="0" w:line="460" w:lineRule="exact"/>
        <w:jc w:val="center"/>
        <w:rPr>
          <w:rFonts w:ascii="Arial" w:hAnsi="Arial" w:cs="Arial"/>
        </w:rPr>
      </w:pPr>
      <w:r>
        <w:rPr>
          <w:rFonts w:hint="eastAsia" w:ascii="宋体" w:hAnsi="宋体" w:eastAsia="宋体" w:cs="宋体"/>
        </w:rPr>
        <w:t>全州红军长征湘江战役文化保护传承中心</w:t>
      </w:r>
      <w:r>
        <w:rPr>
          <w:rFonts w:ascii="Arial" w:hAnsi="Arial" w:cs="Arial"/>
        </w:rPr>
        <w:t>2023年部门预算</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numPr>
          <w:ilvl w:val="0"/>
          <w:numId w:val="1"/>
        </w:numPr>
        <w:wordWrap w:val="0"/>
        <w:spacing w:beforeAutospacing="0" w:afterAutospacing="0" w:line="360" w:lineRule="auto"/>
        <w:ind w:firstLine="480" w:firstLineChars="200"/>
        <w:rPr>
          <w:rFonts w:ascii="Arial" w:hAnsi="Arial" w:cs="Arial"/>
        </w:rPr>
      </w:pPr>
      <w:r>
        <w:rPr>
          <w:rFonts w:ascii="Arial" w:hAnsi="Arial" w:cs="Arial"/>
        </w:rPr>
        <w:t>主要职能职责</w:t>
      </w:r>
    </w:p>
    <w:p>
      <w:pPr>
        <w:pStyle w:val="4"/>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1、传承和弘扬红军长征精神，贯彻执行国家，自治区及桂林市红色文化资源的政策，标准，规划，结合全县实际，研究制定全县红军长征湘江战役文化（桂北游击队等红色文化资源，下同）资源发展方针，政策和规划，并组织实施。</w:t>
      </w:r>
    </w:p>
    <w:p>
      <w:pPr>
        <w:pStyle w:val="4"/>
        <w:widowControl/>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2、指导全县红军长征湘江战役文化资源点的各项工作。负责全县红军长征湘江战役文化资源的收集，挖掘、整理、研究、保护和开发利用等业务工作；维护红军长征湘江战役文化资源的自然风貌，生态环境和人文景观；纠正各类破坏红军长征湘江战役文化资源的行为；负责维护全县红军长征湘江战役文化资源的基础设施和纪念设施。</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3、开展湘江战役等红军长征相关文化宣传教育和学习研究；组织全县红军长征湘江战役文化传承的相关活动；编辑出版相关图书刊物，推动制作有关影视作品。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4、打造爱国主义教育基地，开展爱国主义教育和国防教育。</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5、负责红军长征湘江战役纪念园设施的日常管理和运行维护等业务工作。指导有关乡镇红军长征文化资源日常管理工作。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6、规范和指导全县红色文化讲解员队伍建设。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7、规范红军长征湘江战役文化产业人员的经营和服务行为，保障参观者和经营者的合法权益，负责受理全县红军长征湘江战役文化产业投诉工作。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8、指导全县红军长征湘江战役文化产业基础设施建设，引导红军长征湘江战役文化产业的社会投资。</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9、组织开展全县红军长征湘江战役文化资源普查工作。负责全县红军长征湘江战役文化资源统计及行业信息发布。</w:t>
      </w:r>
    </w:p>
    <w:p>
      <w:pPr>
        <w:pStyle w:val="4"/>
        <w:widowControl/>
        <w:spacing w:before="274" w:beforeAutospacing="0" w:after="274" w:afterAutospacing="0" w:line="360" w:lineRule="auto"/>
        <w:ind w:firstLine="475"/>
        <w:rPr>
          <w:rFonts w:ascii="Arial" w:hAnsi="Arial" w:cs="Arial"/>
        </w:rPr>
      </w:pPr>
      <w:r>
        <w:rPr>
          <w:rFonts w:hint="eastAsia" w:ascii="宋体" w:hAnsi="宋体" w:eastAsia="宋体" w:cs="宋体"/>
        </w:rPr>
        <w:t>10、完成县委、县政府交办的</w:t>
      </w:r>
      <w:r>
        <w:rPr>
          <w:rFonts w:ascii="Arial" w:hAnsi="Arial" w:cs="Arial"/>
        </w:rPr>
        <w:t> </w:t>
      </w:r>
      <w:r>
        <w:rPr>
          <w:rFonts w:hint="eastAsia" w:ascii="宋体" w:hAnsi="宋体" w:eastAsia="宋体" w:cs="宋体"/>
        </w:rPr>
        <w:t>其他任务。</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2023年我</w:t>
      </w:r>
      <w:r>
        <w:rPr>
          <w:rFonts w:hint="eastAsia" w:ascii="Arial" w:hAnsi="Arial" w:cs="Arial"/>
        </w:rPr>
        <w:t>中心</w:t>
      </w:r>
      <w:r>
        <w:rPr>
          <w:rFonts w:ascii="Arial" w:hAnsi="Arial" w:cs="Arial"/>
        </w:rPr>
        <w:t xml:space="preserve">部门预算编制单位共 </w:t>
      </w:r>
      <w:r>
        <w:rPr>
          <w:rFonts w:hint="eastAsia" w:ascii="Arial" w:hAnsi="Arial" w:cs="Arial"/>
        </w:rPr>
        <w:t>1</w:t>
      </w:r>
      <w:r>
        <w:rPr>
          <w:rFonts w:ascii="Arial" w:hAnsi="Arial" w:cs="Arial"/>
        </w:rPr>
        <w:t>个,具体如下:</w:t>
      </w:r>
    </w:p>
    <w:p>
      <w:pPr>
        <w:pStyle w:val="4"/>
        <w:widowControl/>
        <w:numPr>
          <w:numId w:val="0"/>
        </w:numPr>
        <w:spacing w:before="150" w:beforeAutospacing="0" w:after="150" w:afterAutospacing="0" w:line="460" w:lineRule="exact"/>
        <w:ind w:left="420" w:leftChars="0"/>
        <w:rPr>
          <w:rFonts w:ascii="宋体" w:hAnsi="宋体" w:eastAsia="宋体" w:cs="宋体"/>
        </w:rPr>
      </w:pPr>
      <w:r>
        <w:rPr>
          <w:rFonts w:ascii="Arial" w:hAnsi="Arial" w:cs="Arial"/>
        </w:rPr>
        <w:t xml:space="preserve">全额拨款事业单位 </w:t>
      </w:r>
      <w:r>
        <w:rPr>
          <w:rFonts w:hint="eastAsia" w:ascii="Arial" w:hAnsi="Arial" w:cs="Arial"/>
        </w:rPr>
        <w:t>1</w:t>
      </w:r>
      <w:r>
        <w:rPr>
          <w:rFonts w:ascii="Arial" w:hAnsi="Arial" w:cs="Arial"/>
        </w:rPr>
        <w:t>个,即:</w:t>
      </w:r>
      <w:r>
        <w:rPr>
          <w:rFonts w:hint="eastAsia" w:ascii="宋体" w:hAnsi="宋体" w:eastAsia="宋体" w:cs="宋体"/>
        </w:rPr>
        <w:t>全州红军长征湘江战役文化保护传承中心</w:t>
      </w:r>
    </w:p>
    <w:p>
      <w:pPr>
        <w:pStyle w:val="4"/>
        <w:widowControl/>
        <w:spacing w:before="150" w:beforeAutospacing="0" w:after="150" w:afterAutospacing="0" w:line="460" w:lineRule="exact"/>
        <w:ind w:left="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hint="eastAsia" w:ascii="宋体" w:hAnsi="宋体" w:eastAsia="宋体" w:cs="宋体"/>
        </w:rPr>
        <w:t>全州红军长征湘江战役文化保护传承中心</w:t>
      </w:r>
      <w:r>
        <w:rPr>
          <w:rFonts w:ascii="Arial" w:hAnsi="Arial" w:cs="Arial"/>
        </w:rPr>
        <w:t xml:space="preserve">编制人数为 </w:t>
      </w:r>
      <w:r>
        <w:rPr>
          <w:rFonts w:hint="eastAsia" w:ascii="Arial" w:hAnsi="Arial" w:cs="Arial"/>
        </w:rPr>
        <w:t>20</w:t>
      </w:r>
      <w:r>
        <w:rPr>
          <w:rFonts w:ascii="Arial" w:hAnsi="Arial" w:cs="Arial"/>
        </w:rPr>
        <w:t xml:space="preserve">  人,其中:全额事业 </w:t>
      </w:r>
      <w:r>
        <w:rPr>
          <w:rFonts w:hint="eastAsia" w:ascii="Arial" w:hAnsi="Arial" w:cs="Arial"/>
        </w:rPr>
        <w:t>18</w:t>
      </w:r>
      <w:r>
        <w:rPr>
          <w:rFonts w:ascii="Arial" w:hAnsi="Arial" w:cs="Arial"/>
        </w:rPr>
        <w:t>人,工勤编制</w:t>
      </w:r>
      <w:r>
        <w:rPr>
          <w:rFonts w:hint="eastAsia" w:ascii="Arial" w:hAnsi="Arial" w:cs="Arial"/>
        </w:rPr>
        <w:t>2</w:t>
      </w:r>
      <w:r>
        <w:rPr>
          <w:rFonts w:ascii="Arial" w:hAnsi="Arial" w:cs="Arial"/>
        </w:rPr>
        <w:t>人。</w:t>
      </w:r>
    </w:p>
    <w:p>
      <w:pPr>
        <w:pStyle w:val="4"/>
        <w:widowControl/>
        <w:numPr>
          <w:ilvl w:val="0"/>
          <w:numId w:val="2"/>
        </w:numPr>
        <w:wordWrap w:val="0"/>
        <w:spacing w:beforeAutospacing="0" w:afterAutospacing="0" w:line="360" w:lineRule="auto"/>
        <w:ind w:firstLine="480"/>
        <w:rPr>
          <w:rFonts w:hint="eastAsia" w:ascii="Arial" w:hAnsi="Arial" w:cs="Arial"/>
        </w:rPr>
      </w:pPr>
      <w:r>
        <w:rPr>
          <w:rFonts w:ascii="Arial" w:hAnsi="Arial" w:cs="Arial"/>
        </w:rPr>
        <w:t>年度主要工作任务</w:t>
      </w:r>
    </w:p>
    <w:p>
      <w:pPr>
        <w:pStyle w:val="4"/>
        <w:widowControl/>
        <w:wordWrap w:val="0"/>
        <w:spacing w:beforeAutospacing="0" w:afterAutospacing="0" w:line="360" w:lineRule="auto"/>
        <w:ind w:left="147" w:firstLine="480" w:firstLineChars="200"/>
        <w:rPr>
          <w:rFonts w:ascii="Arial" w:hAnsi="Arial" w:cs="Arial"/>
        </w:rPr>
      </w:pPr>
      <w:r>
        <w:rPr>
          <w:rFonts w:hint="eastAsia" w:ascii="宋体" w:hAnsi="宋体" w:eastAsia="宋体" w:cs="宋体"/>
        </w:rPr>
        <w:t>1、统筹协调全县红色文化讲解工作，编撰相关陈列展览解说词和宣传教育资料。组织全县红色文化从业人员队伍建设、开展全县红军湘江战役文化宣传及红色纪念活动。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对全县红色文化资源维修保护；组织协调对红军长征湘江战役遗址。遗存、遗迹等进行调查研究及有关材料收集；纠正各类破坏红军长征湘江战役文化资源的行为；指导各乡镇纪念设施的日常管理和运行维护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3、会同有关部门开展红色文化研究。</w:t>
      </w:r>
    </w:p>
    <w:p>
      <w:pPr>
        <w:spacing w:line="360" w:lineRule="auto"/>
        <w:ind w:firstLine="480" w:firstLineChars="200"/>
        <w:rPr>
          <w:rFonts w:ascii="宋体" w:hAnsi="宋体" w:eastAsia="宋体" w:cs="宋体"/>
          <w:color w:val="FF0000"/>
          <w:sz w:val="24"/>
          <w:szCs w:val="24"/>
        </w:rPr>
      </w:pPr>
      <w:r>
        <w:rPr>
          <w:rFonts w:hint="eastAsia" w:ascii="宋体" w:hAnsi="宋体" w:eastAsia="宋体" w:cs="宋体"/>
          <w:sz w:val="24"/>
          <w:szCs w:val="24"/>
        </w:rPr>
        <w:t>4、配合有关部门指导全县红色文化资源的等级申报，纪念设施日常维护管理，修缮，协调开展烈士公祭活动和爱国主义教育、国防教育。</w:t>
      </w:r>
    </w:p>
    <w:p>
      <w:pPr>
        <w:pStyle w:val="4"/>
        <w:widowControl/>
        <w:spacing w:before="150" w:beforeAutospacing="0" w:after="150" w:afterAutospacing="0" w:line="460" w:lineRule="exact"/>
        <w:ind w:firstLine="420"/>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552.28</w:t>
      </w:r>
      <w:r>
        <w:rPr>
          <w:rFonts w:ascii="Arial" w:hAnsi="Arial" w:cs="Arial"/>
        </w:rPr>
        <w:t>万元,同比增加</w:t>
      </w:r>
      <w:r>
        <w:rPr>
          <w:rFonts w:hint="eastAsia" w:ascii="Arial" w:hAnsi="Arial" w:cs="Arial"/>
        </w:rPr>
        <w:t>341.27</w:t>
      </w:r>
      <w:r>
        <w:rPr>
          <w:rFonts w:ascii="Arial" w:hAnsi="Arial" w:cs="Arial"/>
        </w:rPr>
        <w:t xml:space="preserve"> 万元,增长</w:t>
      </w:r>
      <w:r>
        <w:rPr>
          <w:rFonts w:hint="eastAsia" w:ascii="Arial" w:hAnsi="Arial" w:cs="Arial"/>
        </w:rPr>
        <w:t>161.73</w:t>
      </w:r>
      <w:r>
        <w:rPr>
          <w:rFonts w:ascii="Arial" w:hAnsi="Arial" w:cs="Arial"/>
        </w:rPr>
        <w:t>  %,其中:一般公共预算拨款 </w:t>
      </w:r>
      <w:r>
        <w:rPr>
          <w:rFonts w:hint="eastAsia" w:ascii="Arial" w:hAnsi="Arial" w:cs="Arial"/>
        </w:rPr>
        <w:t>431.64</w:t>
      </w:r>
      <w:r>
        <w:rPr>
          <w:rFonts w:ascii="Arial" w:hAnsi="Arial" w:cs="Arial"/>
        </w:rPr>
        <w:t xml:space="preserve"> 万元,占收入总预算 </w:t>
      </w:r>
      <w:r>
        <w:rPr>
          <w:rFonts w:hint="eastAsia" w:ascii="Arial" w:hAnsi="Arial" w:cs="Arial"/>
        </w:rPr>
        <w:t>78.16</w:t>
      </w:r>
      <w:r>
        <w:rPr>
          <w:rFonts w:ascii="Arial" w:hAnsi="Arial" w:cs="Arial"/>
        </w:rPr>
        <w:t> %,同比增加</w:t>
      </w:r>
      <w:r>
        <w:rPr>
          <w:rFonts w:hint="eastAsia" w:ascii="Arial" w:hAnsi="Arial" w:cs="Arial"/>
        </w:rPr>
        <w:t>220.63</w:t>
      </w:r>
      <w:r>
        <w:rPr>
          <w:rFonts w:ascii="Arial" w:hAnsi="Arial" w:cs="Arial"/>
        </w:rPr>
        <w:t> 万元,增长</w:t>
      </w:r>
      <w:r>
        <w:rPr>
          <w:rFonts w:hint="eastAsia" w:ascii="Arial" w:hAnsi="Arial" w:cs="Arial"/>
        </w:rPr>
        <w:t>99.83</w:t>
      </w:r>
      <w:r>
        <w:rPr>
          <w:rFonts w:ascii="Arial" w:hAnsi="Arial" w:cs="Arial"/>
        </w:rPr>
        <w:t xml:space="preserve"> %;政府性基金拨款 </w:t>
      </w:r>
      <w:r>
        <w:rPr>
          <w:rFonts w:hint="eastAsia" w:ascii="Arial" w:hAnsi="Arial" w:cs="Arial"/>
        </w:rPr>
        <w:t>0</w:t>
      </w:r>
      <w:r>
        <w:rPr>
          <w:rFonts w:ascii="Arial" w:hAnsi="Arial" w:cs="Arial"/>
        </w:rPr>
        <w:t>万元,占收入总预算 </w:t>
      </w:r>
      <w:r>
        <w:rPr>
          <w:rFonts w:hint="eastAsia" w:ascii="Arial" w:hAnsi="Arial" w:cs="Arial"/>
        </w:rPr>
        <w:t>0</w:t>
      </w:r>
      <w:r>
        <w:rPr>
          <w:rFonts w:ascii="Arial" w:hAnsi="Arial" w:cs="Arial"/>
        </w:rPr>
        <w:t xml:space="preserve">%,同比增加(减少) </w:t>
      </w:r>
      <w:r>
        <w:rPr>
          <w:rFonts w:hint="eastAsia" w:ascii="Arial" w:hAnsi="Arial" w:cs="Arial"/>
        </w:rPr>
        <w:t>0</w:t>
      </w:r>
      <w:r>
        <w:rPr>
          <w:rFonts w:ascii="Arial" w:hAnsi="Arial" w:cs="Arial"/>
        </w:rPr>
        <w:t>万元,增长(下降)</w:t>
      </w:r>
      <w:r>
        <w:rPr>
          <w:rFonts w:hint="eastAsia" w:ascii="Arial" w:hAnsi="Arial" w:cs="Arial"/>
        </w:rPr>
        <w:t>0</w:t>
      </w:r>
      <w:r>
        <w:rPr>
          <w:rFonts w:ascii="Arial" w:hAnsi="Arial" w:cs="Arial"/>
        </w:rPr>
        <w:t xml:space="preserve"> %;上年结转结余</w:t>
      </w:r>
      <w:r>
        <w:rPr>
          <w:rFonts w:hint="eastAsia" w:ascii="Arial" w:hAnsi="Arial" w:cs="Arial"/>
        </w:rPr>
        <w:t>120.64</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hint="eastAsia" w:ascii="Arial" w:hAnsi="Arial" w:cs="Arial"/>
        </w:rPr>
        <w:t>：纪念园及纪念馆运转及维护费增加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552.28</w:t>
      </w:r>
      <w:r>
        <w:rPr>
          <w:rFonts w:ascii="Arial" w:hAnsi="Arial" w:cs="Arial"/>
        </w:rPr>
        <w:t>万元,同比增加</w:t>
      </w:r>
      <w:r>
        <w:rPr>
          <w:rFonts w:hint="eastAsia" w:ascii="Arial" w:hAnsi="Arial" w:cs="Arial"/>
        </w:rPr>
        <w:t>341.27</w:t>
      </w:r>
      <w:r>
        <w:rPr>
          <w:rFonts w:ascii="Arial" w:hAnsi="Arial" w:cs="Arial"/>
        </w:rPr>
        <w:t> 万元,增长</w:t>
      </w:r>
      <w:r>
        <w:rPr>
          <w:rFonts w:hint="eastAsia" w:ascii="Arial" w:hAnsi="Arial" w:cs="Arial"/>
        </w:rPr>
        <w:t>161.73</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w:t>
      </w:r>
      <w:r>
        <w:rPr>
          <w:rFonts w:hint="eastAsia" w:ascii="Arial" w:hAnsi="Arial" w:cs="Arial"/>
        </w:rPr>
        <w:t>4</w:t>
      </w:r>
      <w:r>
        <w:rPr>
          <w:rFonts w:ascii="Arial" w:hAnsi="Arial" w:cs="Arial"/>
        </w:rPr>
        <w:t xml:space="preserve">类,其中: </w:t>
      </w:r>
    </w:p>
    <w:p>
      <w:pPr>
        <w:pStyle w:val="4"/>
        <w:widowControl/>
        <w:spacing w:before="150" w:beforeAutospacing="0" w:after="150" w:afterAutospacing="0" w:line="460" w:lineRule="exact"/>
        <w:ind w:firstLine="420"/>
        <w:rPr>
          <w:rFonts w:ascii="Arial" w:hAnsi="Arial" w:cs="Arial"/>
        </w:rPr>
      </w:pPr>
      <w:r>
        <w:rPr>
          <w:rFonts w:ascii="Arial" w:hAnsi="Arial" w:cs="Arial"/>
        </w:rPr>
        <w:t>(1)</w:t>
      </w:r>
      <w:r>
        <w:rPr>
          <w:rFonts w:hint="eastAsia" w:ascii="Arial" w:hAnsi="Arial" w:cs="Arial"/>
        </w:rPr>
        <w:t>文化旅游体育与传媒</w:t>
      </w:r>
      <w:r>
        <w:rPr>
          <w:rFonts w:ascii="Arial" w:hAnsi="Arial" w:cs="Arial"/>
        </w:rPr>
        <w:t>支出</w:t>
      </w:r>
      <w:r>
        <w:rPr>
          <w:rFonts w:hint="eastAsia" w:ascii="Arial" w:hAnsi="Arial" w:cs="Arial"/>
        </w:rPr>
        <w:t>478.71</w:t>
      </w:r>
      <w:r>
        <w:rPr>
          <w:rFonts w:ascii="Arial" w:hAnsi="Arial" w:cs="Arial"/>
        </w:rPr>
        <w:t>万元,占支出总预算 </w:t>
      </w:r>
      <w:r>
        <w:rPr>
          <w:rFonts w:hint="eastAsia" w:ascii="Arial" w:hAnsi="Arial" w:cs="Arial"/>
        </w:rPr>
        <w:t>86.68</w:t>
      </w:r>
      <w:r>
        <w:rPr>
          <w:rFonts w:ascii="Arial" w:hAnsi="Arial" w:cs="Arial"/>
        </w:rPr>
        <w:t xml:space="preserve"> %,同比增加</w:t>
      </w:r>
      <w:r>
        <w:rPr>
          <w:rFonts w:hint="eastAsia" w:ascii="Arial" w:hAnsi="Arial" w:cs="Arial"/>
        </w:rPr>
        <w:t>331.2</w:t>
      </w:r>
      <w:r>
        <w:rPr>
          <w:rFonts w:ascii="Arial" w:hAnsi="Arial" w:cs="Arial"/>
        </w:rPr>
        <w:t xml:space="preserve"> 万元,增长</w:t>
      </w:r>
      <w:r>
        <w:rPr>
          <w:rFonts w:hint="eastAsia" w:ascii="Arial" w:hAnsi="Arial" w:cs="Arial"/>
        </w:rPr>
        <w:t>224.52</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39.72</w:t>
      </w:r>
      <w:r>
        <w:rPr>
          <w:rFonts w:ascii="Arial" w:hAnsi="Arial" w:cs="Arial"/>
        </w:rPr>
        <w:t>万元,占支出总预算</w:t>
      </w:r>
      <w:r>
        <w:rPr>
          <w:rFonts w:hint="eastAsia" w:ascii="Arial" w:hAnsi="Arial" w:cs="Arial"/>
        </w:rPr>
        <w:t>7.19</w:t>
      </w:r>
      <w:r>
        <w:rPr>
          <w:rFonts w:ascii="Arial" w:hAnsi="Arial" w:cs="Arial"/>
        </w:rPr>
        <w:t>%,同比增加</w:t>
      </w:r>
      <w:r>
        <w:rPr>
          <w:rFonts w:hint="eastAsia" w:ascii="Arial" w:hAnsi="Arial" w:cs="Arial"/>
        </w:rPr>
        <w:t>5.68</w:t>
      </w:r>
      <w:r>
        <w:rPr>
          <w:rFonts w:ascii="Arial" w:hAnsi="Arial" w:cs="Arial"/>
        </w:rPr>
        <w:t>万元,增长</w:t>
      </w:r>
      <w:r>
        <w:rPr>
          <w:rFonts w:hint="eastAsia" w:ascii="Arial" w:hAnsi="Arial" w:cs="Arial"/>
        </w:rPr>
        <w:t>16.69</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14.69</w:t>
      </w:r>
      <w:r>
        <w:rPr>
          <w:rFonts w:ascii="Arial" w:hAnsi="Arial" w:cs="Arial"/>
        </w:rPr>
        <w:t>万元,占支出总预算</w:t>
      </w:r>
      <w:r>
        <w:rPr>
          <w:rFonts w:hint="eastAsia" w:ascii="Arial" w:hAnsi="Arial" w:cs="Arial"/>
        </w:rPr>
        <w:t>2.66</w:t>
      </w:r>
      <w:r>
        <w:rPr>
          <w:rFonts w:ascii="Arial" w:hAnsi="Arial" w:cs="Arial"/>
        </w:rPr>
        <w:t>%,同比增加</w:t>
      </w:r>
      <w:r>
        <w:rPr>
          <w:rFonts w:hint="eastAsia" w:ascii="Arial" w:hAnsi="Arial" w:cs="Arial"/>
        </w:rPr>
        <w:t>1.91</w:t>
      </w:r>
      <w:r>
        <w:rPr>
          <w:rFonts w:ascii="Arial" w:hAnsi="Arial" w:cs="Arial"/>
        </w:rPr>
        <w:t>万元,增长</w:t>
      </w:r>
      <w:r>
        <w:rPr>
          <w:rFonts w:hint="eastAsia" w:ascii="Arial" w:hAnsi="Arial" w:cs="Arial"/>
        </w:rPr>
        <w:t>14.95</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w:t>
      </w:r>
      <w:r>
        <w:rPr>
          <w:rFonts w:hint="eastAsia" w:ascii="Arial" w:hAnsi="Arial" w:cs="Arial"/>
        </w:rPr>
        <w:t>4</w:t>
      </w:r>
      <w:r>
        <w:rPr>
          <w:rFonts w:ascii="Arial" w:hAnsi="Arial" w:cs="Arial"/>
        </w:rPr>
        <w:t>)住房保障支出</w:t>
      </w:r>
      <w:r>
        <w:rPr>
          <w:rFonts w:hint="eastAsia" w:ascii="Arial" w:hAnsi="Arial" w:cs="Arial"/>
        </w:rPr>
        <w:t>19.16</w:t>
      </w:r>
      <w:r>
        <w:rPr>
          <w:rFonts w:ascii="Arial" w:hAnsi="Arial" w:cs="Arial"/>
        </w:rPr>
        <w:t>万元,占支出总预算</w:t>
      </w:r>
      <w:r>
        <w:rPr>
          <w:rFonts w:hint="eastAsia" w:ascii="Arial" w:hAnsi="Arial" w:cs="Arial"/>
        </w:rPr>
        <w:t>3.47</w:t>
      </w:r>
      <w:r>
        <w:rPr>
          <w:rFonts w:ascii="Arial" w:hAnsi="Arial" w:cs="Arial"/>
        </w:rPr>
        <w:t xml:space="preserve"> %,同比增加</w:t>
      </w:r>
      <w:r>
        <w:rPr>
          <w:rFonts w:hint="eastAsia" w:ascii="Arial" w:hAnsi="Arial" w:cs="Arial"/>
        </w:rPr>
        <w:t>2.49</w:t>
      </w:r>
      <w:r>
        <w:rPr>
          <w:rFonts w:ascii="Arial" w:hAnsi="Arial" w:cs="Arial"/>
        </w:rPr>
        <w:t>万元,增长</w:t>
      </w:r>
      <w:r>
        <w:rPr>
          <w:rFonts w:hint="eastAsia" w:ascii="Arial" w:hAnsi="Arial" w:cs="Arial"/>
        </w:rPr>
        <w:t>14.94</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2023年总收入预算</w:t>
      </w:r>
      <w:r>
        <w:rPr>
          <w:rFonts w:hint="eastAsia" w:ascii="Arial" w:hAnsi="Arial" w:cs="Arial"/>
        </w:rPr>
        <w:t>552.28</w:t>
      </w:r>
      <w:r>
        <w:rPr>
          <w:rFonts w:ascii="Arial" w:hAnsi="Arial" w:cs="Arial"/>
        </w:rPr>
        <w:t>万元,同比增加</w:t>
      </w:r>
      <w:r>
        <w:rPr>
          <w:rFonts w:hint="eastAsia" w:ascii="Arial" w:hAnsi="Arial" w:cs="Arial"/>
        </w:rPr>
        <w:t>341.27</w:t>
      </w:r>
      <w:r>
        <w:rPr>
          <w:rFonts w:ascii="Arial" w:hAnsi="Arial" w:cs="Arial"/>
        </w:rPr>
        <w:t>万元,增长</w:t>
      </w:r>
      <w:r>
        <w:rPr>
          <w:rFonts w:hint="eastAsia" w:ascii="Arial" w:hAnsi="Arial" w:cs="Arial"/>
        </w:rPr>
        <w:t>161.73</w:t>
      </w:r>
      <w:r>
        <w:rPr>
          <w:rFonts w:ascii="Arial" w:hAnsi="Arial" w:cs="Arial"/>
        </w:rPr>
        <w:t>%。其中:本年收入</w:t>
      </w:r>
      <w:r>
        <w:rPr>
          <w:rFonts w:hint="eastAsia" w:ascii="Arial" w:hAnsi="Arial" w:cs="Arial"/>
        </w:rPr>
        <w:t>431.64</w:t>
      </w:r>
      <w:r>
        <w:rPr>
          <w:rFonts w:ascii="Arial" w:hAnsi="Arial" w:cs="Arial"/>
        </w:rPr>
        <w:t>万元,上年结转结余</w:t>
      </w:r>
      <w:r>
        <w:rPr>
          <w:rFonts w:hint="eastAsia" w:ascii="Arial" w:hAnsi="Arial" w:cs="Arial"/>
        </w:rPr>
        <w:t>120.64</w:t>
      </w:r>
      <w:r>
        <w:rPr>
          <w:rFonts w:ascii="Arial" w:hAnsi="Arial" w:cs="Arial"/>
        </w:rPr>
        <w:t>万元。一般公共预算</w:t>
      </w:r>
      <w:r>
        <w:rPr>
          <w:rFonts w:hint="eastAsia" w:ascii="Arial" w:hAnsi="Arial" w:cs="Arial"/>
        </w:rPr>
        <w:t>431.64</w:t>
      </w:r>
      <w:r>
        <w:rPr>
          <w:rFonts w:ascii="Arial" w:hAnsi="Arial" w:cs="Arial"/>
        </w:rPr>
        <w:t>万元,占收入总预算</w:t>
      </w:r>
      <w:r>
        <w:rPr>
          <w:rFonts w:hint="eastAsia" w:ascii="Arial" w:hAnsi="Arial" w:cs="Arial"/>
        </w:rPr>
        <w:t xml:space="preserve">78.16 </w:t>
      </w:r>
      <w:r>
        <w:rPr>
          <w:rFonts w:ascii="Arial" w:hAnsi="Arial" w:cs="Arial"/>
        </w:rPr>
        <w:t>%,同比增加</w:t>
      </w:r>
      <w:r>
        <w:rPr>
          <w:rFonts w:hint="eastAsia" w:ascii="Arial" w:hAnsi="Arial" w:cs="Arial"/>
        </w:rPr>
        <w:t>220.63</w:t>
      </w:r>
      <w:r>
        <w:rPr>
          <w:rFonts w:ascii="Arial" w:hAnsi="Arial" w:cs="Arial"/>
        </w:rPr>
        <w:t>万元,增长</w:t>
      </w:r>
      <w:r>
        <w:rPr>
          <w:rFonts w:hint="eastAsia" w:ascii="Arial" w:hAnsi="Arial" w:cs="Arial"/>
        </w:rPr>
        <w:t xml:space="preserve">99.83 </w:t>
      </w:r>
      <w:r>
        <w:rPr>
          <w:rFonts w:ascii="Arial" w:hAnsi="Arial" w:cs="Arial"/>
        </w:rPr>
        <w:t>%,增加(减少)的原因</w:t>
      </w:r>
      <w:r>
        <w:rPr>
          <w:rFonts w:hint="eastAsia" w:ascii="Arial" w:hAnsi="Arial" w:cs="Arial"/>
        </w:rPr>
        <w:t>纪念园及纪念馆运转及维护费去年没有纳入预算</w:t>
      </w:r>
      <w:r>
        <w:rPr>
          <w:rFonts w:ascii="Arial" w:hAnsi="Arial" w:cs="Arial"/>
        </w:rPr>
        <w:t>。政府性基金预算</w:t>
      </w:r>
      <w:r>
        <w:rPr>
          <w:rFonts w:hint="eastAsia" w:ascii="Arial" w:hAnsi="Arial" w:cs="Arial"/>
        </w:rPr>
        <w:t>0</w:t>
      </w:r>
      <w:r>
        <w:rPr>
          <w:rFonts w:ascii="Arial" w:hAnsi="Arial" w:cs="Arial"/>
        </w:rPr>
        <w:t>万元,同比</w:t>
      </w:r>
      <w:r>
        <w:rPr>
          <w:rFonts w:hint="eastAsia" w:ascii="Arial" w:hAnsi="Arial" w:cs="Arial"/>
          <w:lang w:val="en-US" w:eastAsia="zh-CN"/>
        </w:rPr>
        <w:t>无变化</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三、部门支出总体情况说明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552.28</w:t>
      </w:r>
      <w:r>
        <w:rPr>
          <w:rFonts w:ascii="Arial" w:hAnsi="Arial" w:cs="Arial"/>
        </w:rPr>
        <w:t>万元,同比增加</w:t>
      </w:r>
      <w:r>
        <w:rPr>
          <w:rFonts w:hint="eastAsia" w:ascii="Arial" w:hAnsi="Arial" w:cs="Arial"/>
        </w:rPr>
        <w:t xml:space="preserve">341.27 </w:t>
      </w:r>
      <w:r>
        <w:rPr>
          <w:rFonts w:ascii="Arial" w:hAnsi="Arial" w:cs="Arial"/>
        </w:rPr>
        <w:t>万元,增长</w:t>
      </w:r>
      <w:r>
        <w:rPr>
          <w:rFonts w:hint="eastAsia" w:ascii="Arial" w:hAnsi="Arial" w:cs="Arial"/>
        </w:rPr>
        <w:t>161.73</w:t>
      </w:r>
      <w:r>
        <w:rPr>
          <w:rFonts w:ascii="Arial" w:hAnsi="Arial" w:cs="Arial"/>
        </w:rPr>
        <w:t>%。其中:基本支出</w:t>
      </w:r>
      <w:r>
        <w:rPr>
          <w:rFonts w:hint="eastAsia" w:ascii="Arial" w:hAnsi="Arial" w:cs="Arial"/>
        </w:rPr>
        <w:t xml:space="preserve">  244.29</w:t>
      </w:r>
      <w:r>
        <w:rPr>
          <w:rFonts w:ascii="Arial" w:hAnsi="Arial" w:cs="Arial"/>
        </w:rPr>
        <w:t>万元,占总支出预算</w:t>
      </w:r>
      <w:r>
        <w:rPr>
          <w:rFonts w:hint="eastAsia" w:ascii="Arial" w:hAnsi="Arial" w:cs="Arial"/>
        </w:rPr>
        <w:t>44.23</w:t>
      </w:r>
      <w:r>
        <w:rPr>
          <w:rFonts w:ascii="Arial" w:hAnsi="Arial" w:cs="Arial"/>
        </w:rPr>
        <w:t>%,同比增加</w:t>
      </w:r>
      <w:r>
        <w:rPr>
          <w:rFonts w:hint="eastAsia" w:ascii="Arial" w:hAnsi="Arial" w:cs="Arial"/>
        </w:rPr>
        <w:t>33.28</w:t>
      </w:r>
      <w:r>
        <w:rPr>
          <w:rFonts w:ascii="Arial" w:hAnsi="Arial" w:cs="Arial"/>
        </w:rPr>
        <w:t>万元,增长</w:t>
      </w:r>
      <w:r>
        <w:rPr>
          <w:rFonts w:hint="eastAsia" w:ascii="Arial" w:hAnsi="Arial" w:cs="Arial"/>
        </w:rPr>
        <w:t>15.77</w:t>
      </w:r>
      <w:r>
        <w:rPr>
          <w:rFonts w:ascii="Arial" w:hAnsi="Arial" w:cs="Arial"/>
        </w:rPr>
        <w:t>%,增加的原因:</w:t>
      </w:r>
      <w:r>
        <w:rPr>
          <w:rFonts w:hint="eastAsia" w:ascii="Arial" w:hAnsi="Arial" w:cs="Arial"/>
        </w:rPr>
        <w:t>人员增加及工资增长</w:t>
      </w:r>
      <w:r>
        <w:rPr>
          <w:rFonts w:ascii="Arial" w:hAnsi="Arial" w:cs="Arial"/>
        </w:rPr>
        <w:t>;项目支出</w:t>
      </w:r>
      <w:r>
        <w:rPr>
          <w:rFonts w:hint="eastAsia" w:ascii="Arial" w:hAnsi="Arial" w:cs="Arial"/>
        </w:rPr>
        <w:t>307.99</w:t>
      </w:r>
      <w:r>
        <w:rPr>
          <w:rFonts w:ascii="Arial" w:hAnsi="Arial" w:cs="Arial"/>
        </w:rPr>
        <w:t>万元,占总支出预算</w:t>
      </w:r>
      <w:r>
        <w:rPr>
          <w:rFonts w:hint="eastAsia" w:ascii="Arial" w:hAnsi="Arial" w:cs="Arial"/>
        </w:rPr>
        <w:t>55.77</w:t>
      </w:r>
      <w:r>
        <w:rPr>
          <w:rFonts w:ascii="Arial" w:hAnsi="Arial" w:cs="Arial"/>
        </w:rPr>
        <w:t>%,同比增加</w:t>
      </w:r>
      <w:r>
        <w:rPr>
          <w:rFonts w:hint="eastAsia" w:ascii="Arial" w:hAnsi="Arial" w:cs="Arial"/>
        </w:rPr>
        <w:t>307.99</w:t>
      </w:r>
      <w:r>
        <w:rPr>
          <w:rFonts w:ascii="Arial" w:hAnsi="Arial" w:cs="Arial"/>
        </w:rPr>
        <w:t>万元,增长</w:t>
      </w:r>
      <w:r>
        <w:rPr>
          <w:rFonts w:hint="eastAsia" w:ascii="Arial" w:hAnsi="Arial" w:cs="Arial"/>
        </w:rPr>
        <w:t xml:space="preserve">100 </w:t>
      </w:r>
      <w:r>
        <w:rPr>
          <w:rFonts w:ascii="Arial" w:hAnsi="Arial" w:cs="Arial"/>
        </w:rPr>
        <w:t>%,增加的原因:</w:t>
      </w:r>
      <w:r>
        <w:rPr>
          <w:rFonts w:hint="eastAsia" w:ascii="Arial" w:hAnsi="Arial" w:cs="Arial"/>
        </w:rPr>
        <w:t>纪念园及纪念馆运转及维护费增加</w:t>
      </w:r>
      <w:r>
        <w:rPr>
          <w:rFonts w:ascii="Arial" w:hAnsi="Arial" w:cs="Arial"/>
        </w:rPr>
        <w:t>。</w:t>
      </w:r>
    </w:p>
    <w:p>
      <w:pPr>
        <w:pStyle w:val="4"/>
        <w:widowControl/>
        <w:spacing w:before="150" w:beforeAutospacing="0" w:after="150" w:afterAutospacing="0" w:line="460" w:lineRule="exact"/>
        <w:ind w:firstLine="420"/>
        <w:rPr>
          <w:rFonts w:cs="Arial" w:asciiTheme="minorEastAsia" w:hAnsiTheme="minorEastAsia"/>
        </w:rPr>
      </w:pPr>
      <w:r>
        <w:rPr>
          <w:rFonts w:cs="Arial" w:asciiTheme="minorEastAsia" w:hAnsiTheme="minorEastAsia"/>
        </w:rPr>
        <w:t>四、财政拨款收支总体情况说明</w:t>
      </w:r>
    </w:p>
    <w:p>
      <w:pPr>
        <w:pStyle w:val="4"/>
        <w:widowControl/>
        <w:spacing w:before="150" w:beforeAutospacing="0" w:after="150" w:afterAutospacing="0" w:line="460" w:lineRule="exact"/>
        <w:ind w:firstLine="420"/>
        <w:rPr>
          <w:rFonts w:cs="Arial" w:asciiTheme="minorEastAsia" w:hAnsiTheme="minorEastAsia"/>
        </w:rPr>
      </w:pPr>
      <w:r>
        <w:rPr>
          <w:rFonts w:cs="Arial" w:asciiTheme="minorEastAsia" w:hAnsiTheme="minorEastAsia"/>
        </w:rPr>
        <w:t>2023年财政拨款收入预算</w:t>
      </w:r>
      <w:r>
        <w:rPr>
          <w:rFonts w:hint="eastAsia" w:cs="Arial" w:asciiTheme="minorEastAsia" w:hAnsiTheme="minorEastAsia"/>
        </w:rPr>
        <w:t>552.28</w:t>
      </w:r>
      <w:r>
        <w:rPr>
          <w:rFonts w:cs="Arial" w:asciiTheme="minorEastAsia" w:hAnsiTheme="minorEastAsia"/>
        </w:rPr>
        <w:t>万元,同比增加</w:t>
      </w:r>
      <w:r>
        <w:rPr>
          <w:rFonts w:hint="eastAsia" w:cs="Arial" w:asciiTheme="minorEastAsia" w:hAnsiTheme="minorEastAsia"/>
        </w:rPr>
        <w:t>341.27</w:t>
      </w:r>
      <w:r>
        <w:rPr>
          <w:rFonts w:cs="Arial" w:asciiTheme="minorEastAsia" w:hAnsiTheme="minorEastAsia"/>
        </w:rPr>
        <w:t>万元,增长</w:t>
      </w:r>
      <w:r>
        <w:rPr>
          <w:rFonts w:hint="eastAsia" w:cs="Arial" w:asciiTheme="minorEastAsia" w:hAnsiTheme="minorEastAsia"/>
        </w:rPr>
        <w:t>161.73</w:t>
      </w:r>
      <w:r>
        <w:rPr>
          <w:rFonts w:cs="Arial" w:asciiTheme="minorEastAsia" w:hAnsiTheme="minorEastAsia"/>
        </w:rPr>
        <w:t xml:space="preserve"> %,其中:一般公共预算拨款</w:t>
      </w:r>
      <w:r>
        <w:rPr>
          <w:rFonts w:hAnsi="Arial" w:cs="Arial" w:asciiTheme="minorEastAsia"/>
        </w:rPr>
        <w:t> </w:t>
      </w:r>
      <w:r>
        <w:rPr>
          <w:rFonts w:hint="eastAsia" w:cs="Arial" w:asciiTheme="minorEastAsia" w:hAnsiTheme="minorEastAsia"/>
        </w:rPr>
        <w:t>431.64</w:t>
      </w:r>
      <w:r>
        <w:rPr>
          <w:rFonts w:cs="Arial" w:asciiTheme="minorEastAsia" w:hAnsiTheme="minorEastAsia"/>
        </w:rPr>
        <w:t xml:space="preserve">万元,占收入总预算 </w:t>
      </w:r>
      <w:r>
        <w:rPr>
          <w:rFonts w:hint="eastAsia" w:cs="Arial" w:asciiTheme="minorEastAsia" w:hAnsiTheme="minorEastAsia"/>
        </w:rPr>
        <w:t>78.16</w:t>
      </w:r>
      <w:r>
        <w:rPr>
          <w:rFonts w:cs="Arial" w:asciiTheme="minorEastAsia" w:hAnsiTheme="minorEastAsia"/>
        </w:rPr>
        <w:t>%,同比增加</w:t>
      </w:r>
      <w:r>
        <w:rPr>
          <w:rFonts w:hint="eastAsia" w:cs="Arial" w:asciiTheme="minorEastAsia" w:hAnsiTheme="minorEastAsia"/>
        </w:rPr>
        <w:t>220.63</w:t>
      </w:r>
      <w:r>
        <w:rPr>
          <w:rFonts w:hAnsi="Arial" w:cs="Arial" w:asciiTheme="minorEastAsia"/>
        </w:rPr>
        <w:t> </w:t>
      </w:r>
      <w:r>
        <w:rPr>
          <w:rFonts w:cs="Arial" w:asciiTheme="minorEastAsia" w:hAnsiTheme="minorEastAsia"/>
        </w:rPr>
        <w:t>万元,增长</w:t>
      </w:r>
      <w:r>
        <w:rPr>
          <w:rFonts w:hint="eastAsia" w:cs="Arial" w:asciiTheme="minorEastAsia" w:hAnsiTheme="minorEastAsia"/>
        </w:rPr>
        <w:t>104.56</w:t>
      </w:r>
      <w:r>
        <w:rPr>
          <w:rFonts w:cs="Arial" w:asciiTheme="minorEastAsia" w:hAnsiTheme="minorEastAsia"/>
        </w:rPr>
        <w:t>%,增加的原因</w:t>
      </w:r>
      <w:r>
        <w:rPr>
          <w:rFonts w:hint="eastAsia" w:ascii="Arial" w:hAnsi="Arial" w:cs="Arial"/>
        </w:rPr>
        <w:t>纪念园及纪念馆运转及维护费增加</w:t>
      </w:r>
      <w:r>
        <w:rPr>
          <w:rFonts w:cs="Arial" w:asciiTheme="minorEastAsia" w:hAnsiTheme="minorEastAsia"/>
        </w:rPr>
        <w:t>政府性基金拨款</w:t>
      </w:r>
      <w:r>
        <w:rPr>
          <w:rFonts w:hint="eastAsia" w:cs="Arial" w:asciiTheme="minorEastAsia" w:hAnsiTheme="minorEastAsia"/>
        </w:rPr>
        <w:t>0</w:t>
      </w:r>
      <w:r>
        <w:rPr>
          <w:rFonts w:cs="Arial" w:asciiTheme="minorEastAsia" w:hAnsiTheme="minorEastAsia"/>
        </w:rPr>
        <w:t>万元,同比</w:t>
      </w:r>
      <w:r>
        <w:rPr>
          <w:rFonts w:hint="eastAsia" w:cs="Arial" w:asciiTheme="minorEastAsia" w:hAnsiTheme="minorEastAsia"/>
          <w:lang w:val="en-US" w:eastAsia="zh-CN"/>
        </w:rPr>
        <w:t>无变化</w:t>
      </w:r>
      <w:r>
        <w:rPr>
          <w:rFonts w:cs="Arial" w:asciiTheme="minorEastAsia" w:hAnsiTheme="minorEastAsia"/>
        </w:rPr>
        <w:t>。</w:t>
      </w:r>
    </w:p>
    <w:p>
      <w:pPr>
        <w:pStyle w:val="4"/>
        <w:widowControl/>
        <w:spacing w:before="150" w:beforeAutospacing="0" w:after="150" w:afterAutospacing="0" w:line="460" w:lineRule="exact"/>
        <w:ind w:firstLine="420"/>
        <w:rPr>
          <w:rFonts w:cs="Arial" w:asciiTheme="minorEastAsia" w:hAnsiTheme="minorEastAsia"/>
        </w:rPr>
      </w:pPr>
      <w:r>
        <w:rPr>
          <w:rFonts w:cs="Arial" w:asciiTheme="minorEastAsia" w:hAnsiTheme="minorEastAsia"/>
        </w:rPr>
        <w:t xml:space="preserve">2023年财政拨款支出 </w:t>
      </w:r>
      <w:r>
        <w:rPr>
          <w:rFonts w:hint="eastAsia" w:cs="Arial" w:asciiTheme="minorEastAsia" w:hAnsiTheme="minorEastAsia"/>
        </w:rPr>
        <w:t>552.28</w:t>
      </w:r>
      <w:r>
        <w:rPr>
          <w:rFonts w:cs="Arial" w:asciiTheme="minorEastAsia" w:hAnsiTheme="minorEastAsia"/>
        </w:rPr>
        <w:t>万元,同比增加</w:t>
      </w:r>
      <w:r>
        <w:rPr>
          <w:rFonts w:hint="eastAsia" w:cs="Arial" w:asciiTheme="minorEastAsia" w:hAnsiTheme="minorEastAsia"/>
        </w:rPr>
        <w:t>341.27</w:t>
      </w:r>
      <w:r>
        <w:rPr>
          <w:rFonts w:cs="Arial" w:asciiTheme="minorEastAsia" w:hAnsiTheme="minorEastAsia"/>
        </w:rPr>
        <w:t>万元,增长</w:t>
      </w:r>
      <w:r>
        <w:rPr>
          <w:rFonts w:hint="eastAsia" w:cs="Arial" w:asciiTheme="minorEastAsia" w:hAnsiTheme="minorEastAsia"/>
        </w:rPr>
        <w:t>161.73</w:t>
      </w:r>
      <w:r>
        <w:rPr>
          <w:rFonts w:cs="Arial" w:asciiTheme="minorEastAsia" w:hAnsiTheme="minorEastAsia"/>
        </w:rPr>
        <w:t>%,增加的原因</w:t>
      </w:r>
      <w:r>
        <w:rPr>
          <w:rFonts w:hint="eastAsia" w:cs="Arial" w:asciiTheme="minorEastAsia" w:hAnsiTheme="minorEastAsia"/>
        </w:rPr>
        <w:t>上年</w:t>
      </w:r>
      <w:r>
        <w:rPr>
          <w:rFonts w:hint="eastAsia" w:ascii="Arial" w:hAnsi="Arial" w:cs="Arial"/>
        </w:rPr>
        <w:t>纪念园及纪念馆运转及维护费增加</w:t>
      </w:r>
      <w:r>
        <w:rPr>
          <w:rFonts w:hint="eastAsia" w:cs="Arial" w:asciiTheme="minorEastAsia" w:hAnsiTheme="minorEastAsia"/>
        </w:rPr>
        <w:t>和人员经费的增加</w:t>
      </w:r>
      <w:r>
        <w:rPr>
          <w:rFonts w:cs="Arial" w:asciiTheme="minorEastAsia" w:hAnsiTheme="minorEastAsia"/>
        </w:rPr>
        <w:t>。</w:t>
      </w:r>
    </w:p>
    <w:p>
      <w:pPr>
        <w:pStyle w:val="4"/>
        <w:widowControl/>
        <w:numPr>
          <w:ilvl w:val="0"/>
          <w:numId w:val="2"/>
        </w:numPr>
        <w:spacing w:before="150" w:beforeAutospacing="0" w:after="150" w:afterAutospacing="0" w:line="460" w:lineRule="exact"/>
        <w:ind w:firstLine="480"/>
        <w:rPr>
          <w:rFonts w:ascii="Arial" w:hAnsi="Arial" w:cs="Arial"/>
        </w:rPr>
      </w:pPr>
      <w:r>
        <w:rPr>
          <w:rFonts w:ascii="Arial" w:hAnsi="Arial" w:cs="Arial"/>
        </w:rPr>
        <w:t>财政拨款收支总体情况说明</w:t>
      </w:r>
    </w:p>
    <w:p>
      <w:pPr>
        <w:pStyle w:val="4"/>
        <w:widowControl/>
        <w:spacing w:before="150" w:beforeAutospacing="0" w:after="150" w:afterAutospacing="0" w:line="460" w:lineRule="exact"/>
        <w:ind w:left="630"/>
        <w:rPr>
          <w:rFonts w:ascii="Arial" w:hAnsi="Arial" w:cs="Arial"/>
        </w:rPr>
      </w:pPr>
      <w:r>
        <w:rPr>
          <w:rFonts w:ascii="Arial" w:hAnsi="Arial" w:cs="Arial"/>
        </w:rPr>
        <w:t>2023年一般公共预算支出</w:t>
      </w:r>
      <w:r>
        <w:rPr>
          <w:rFonts w:hint="eastAsia" w:ascii="Arial" w:hAnsi="Arial" w:cs="Arial"/>
        </w:rPr>
        <w:t>431.64</w:t>
      </w:r>
      <w:r>
        <w:rPr>
          <w:rFonts w:ascii="Arial" w:hAnsi="Arial" w:cs="Arial"/>
        </w:rPr>
        <w:t>万元,,同比增加</w:t>
      </w:r>
      <w:r>
        <w:rPr>
          <w:rFonts w:hint="eastAsia" w:ascii="Arial" w:hAnsi="Arial" w:cs="Arial"/>
        </w:rPr>
        <w:t>220.63</w:t>
      </w:r>
      <w:r>
        <w:rPr>
          <w:rFonts w:ascii="Arial" w:hAnsi="Arial" w:cs="Arial"/>
        </w:rPr>
        <w:t>万元,增长</w:t>
      </w:r>
      <w:r>
        <w:rPr>
          <w:rFonts w:hint="eastAsia" w:ascii="Arial" w:hAnsi="Arial" w:cs="Arial"/>
        </w:rPr>
        <w:t>99.83</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w:t>
      </w:r>
      <w:r>
        <w:rPr>
          <w:rFonts w:hint="eastAsia" w:ascii="Arial" w:hAnsi="Arial" w:cs="Arial"/>
        </w:rPr>
        <w:t>6</w:t>
      </w:r>
      <w:r>
        <w:rPr>
          <w:rFonts w:ascii="Arial" w:hAnsi="Arial" w:cs="Arial"/>
        </w:rPr>
        <w:t>类,其中:</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(1)一般公共服务类科目</w:t>
      </w:r>
      <w:r>
        <w:rPr>
          <w:rFonts w:hint="eastAsia" w:ascii="Arial" w:hAnsi="Arial" w:cs="Arial"/>
        </w:rPr>
        <w:t>241.64</w:t>
      </w:r>
      <w:r>
        <w:rPr>
          <w:rFonts w:ascii="Arial" w:hAnsi="Arial" w:cs="Arial"/>
        </w:rPr>
        <w:t>万元,占一般公共预算支出预算</w:t>
      </w:r>
      <w:r>
        <w:rPr>
          <w:rFonts w:hint="eastAsia" w:ascii="Arial" w:hAnsi="Arial" w:cs="Arial"/>
        </w:rPr>
        <w:t>55.98</w:t>
      </w:r>
      <w:r>
        <w:rPr>
          <w:rFonts w:ascii="Arial" w:hAnsi="Arial" w:cs="Arial"/>
        </w:rPr>
        <w:t> %,同比增加</w:t>
      </w:r>
      <w:r>
        <w:rPr>
          <w:rFonts w:hint="eastAsia" w:ascii="Arial" w:hAnsi="Arial" w:cs="Arial"/>
        </w:rPr>
        <w:t>30.63</w:t>
      </w:r>
      <w:r>
        <w:rPr>
          <w:rFonts w:ascii="Arial" w:hAnsi="Arial" w:cs="Arial"/>
        </w:rPr>
        <w:t>万元,增长</w:t>
      </w:r>
      <w:r>
        <w:rPr>
          <w:rFonts w:hint="eastAsia" w:ascii="Arial" w:hAnsi="Arial" w:cs="Arial"/>
        </w:rPr>
        <w:t>14.52</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事业运行</w:t>
      </w:r>
      <w:r>
        <w:rPr>
          <w:rFonts w:hint="eastAsia" w:ascii="Arial" w:hAnsi="Arial" w:cs="Arial"/>
        </w:rPr>
        <w:t>232.64</w:t>
      </w:r>
      <w:r>
        <w:rPr>
          <w:rFonts w:ascii="Arial" w:hAnsi="Arial" w:cs="Arial"/>
        </w:rPr>
        <w:t>万元,同比增加</w:t>
      </w:r>
      <w:r>
        <w:rPr>
          <w:rFonts w:hint="eastAsia" w:ascii="Arial" w:hAnsi="Arial" w:cs="Arial"/>
        </w:rPr>
        <w:t>30.18</w:t>
      </w:r>
      <w:r>
        <w:rPr>
          <w:rFonts w:ascii="Arial" w:hAnsi="Arial" w:cs="Arial"/>
        </w:rPr>
        <w:t>万元,增长</w:t>
      </w:r>
      <w:r>
        <w:rPr>
          <w:rFonts w:hint="eastAsia" w:ascii="Arial" w:hAnsi="Arial" w:cs="Arial"/>
        </w:rPr>
        <w:t>14.91</w:t>
      </w:r>
      <w:r>
        <w:rPr>
          <w:rFonts w:ascii="Arial" w:hAnsi="Arial" w:cs="Arial"/>
        </w:rPr>
        <w:t xml:space="preserve"> %,全部是基本支出预算。主要用于,根据国家规定的基本工资和津补贴标准等安排的人员经费支出,</w:t>
      </w:r>
      <w:r>
        <w:rPr>
          <w:rFonts w:hint="eastAsia" w:ascii="Arial" w:hAnsi="Arial" w:cs="Arial"/>
        </w:rPr>
        <w:t>公用经费支出9万元。</w:t>
      </w:r>
      <w:r>
        <w:rPr>
          <w:rFonts w:ascii="Arial" w:hAnsi="Arial" w:cs="Arial"/>
        </w:rPr>
        <w:t>同比增加</w:t>
      </w:r>
      <w:r>
        <w:rPr>
          <w:rFonts w:hint="eastAsia" w:ascii="Arial" w:hAnsi="Arial" w:cs="Arial"/>
        </w:rPr>
        <w:t>0.45</w:t>
      </w:r>
      <w:r>
        <w:rPr>
          <w:rFonts w:ascii="Arial" w:hAnsi="Arial" w:cs="Arial"/>
        </w:rPr>
        <w:t>万元,增长</w:t>
      </w:r>
      <w:r>
        <w:rPr>
          <w:rFonts w:hint="eastAsia" w:ascii="Arial" w:hAnsi="Arial" w:cs="Arial"/>
        </w:rPr>
        <w:t>5.26</w:t>
      </w:r>
      <w:r>
        <w:rPr>
          <w:rFonts w:ascii="Arial" w:hAnsi="Arial" w:cs="Arial"/>
        </w:rPr>
        <w:t>%,全部是基本支出预算</w:t>
      </w:r>
      <w:r>
        <w:rPr>
          <w:rFonts w:hint="eastAsia" w:ascii="Arial" w:hAnsi="Arial" w:cs="Arial"/>
        </w:rPr>
        <w:t>，</w:t>
      </w:r>
      <w:r>
        <w:rPr>
          <w:rFonts w:ascii="Arial" w:hAnsi="Arial" w:cs="Arial"/>
        </w:rPr>
        <w:t>按县级公用经费定额标准安排的办公费、印刷费、邮电费、水电费、差旅费等日常公用经费支出。</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(2)社会保障和就业支出</w:t>
      </w:r>
      <w:r>
        <w:rPr>
          <w:rFonts w:hint="eastAsia" w:ascii="Arial" w:hAnsi="Arial" w:cs="Arial"/>
        </w:rPr>
        <w:t>39.12</w:t>
      </w:r>
      <w:r>
        <w:rPr>
          <w:rFonts w:ascii="Arial" w:hAnsi="Arial" w:cs="Arial"/>
        </w:rPr>
        <w:t>万元,占一般公共预算支出预算</w:t>
      </w:r>
      <w:r>
        <w:rPr>
          <w:rFonts w:hint="eastAsia" w:ascii="Arial" w:hAnsi="Arial" w:cs="Arial"/>
        </w:rPr>
        <w:t>9.06</w:t>
      </w:r>
      <w:r>
        <w:rPr>
          <w:rFonts w:ascii="Arial" w:hAnsi="Arial" w:cs="Arial"/>
        </w:rPr>
        <w:t>%,同比增加</w:t>
      </w:r>
      <w:r>
        <w:rPr>
          <w:rFonts w:hint="eastAsia" w:ascii="Arial" w:hAnsi="Arial" w:cs="Arial"/>
        </w:rPr>
        <w:t>5.08</w:t>
      </w:r>
      <w:r>
        <w:rPr>
          <w:rFonts w:ascii="Arial" w:hAnsi="Arial" w:cs="Arial"/>
        </w:rPr>
        <w:t>万元,增长</w:t>
      </w:r>
      <w:r>
        <w:rPr>
          <w:rFonts w:hint="eastAsia" w:ascii="Arial" w:hAnsi="Arial" w:cs="Arial"/>
        </w:rPr>
        <w:t>14.92</w:t>
      </w:r>
      <w:r>
        <w:rPr>
          <w:rFonts w:ascii="Arial" w:hAnsi="Arial" w:cs="Arial"/>
        </w:rPr>
        <w:t>%。具体如下:</w:t>
      </w:r>
    </w:p>
    <w:p>
      <w:pPr>
        <w:pStyle w:val="4"/>
        <w:widowControl/>
        <w:spacing w:before="274" w:beforeAutospacing="0" w:after="274" w:afterAutospacing="0" w:line="360" w:lineRule="auto"/>
        <w:ind w:firstLine="475"/>
        <w:rPr>
          <w:rFonts w:ascii="Arial" w:hAnsi="Arial" w:cs="Arial"/>
        </w:rPr>
      </w:pPr>
      <w:r>
        <w:rPr>
          <w:rFonts w:ascii="Arial" w:hAnsi="Arial" w:cs="Arial"/>
        </w:rPr>
        <w:t>机关事业单位基本养老保险缴费支出</w:t>
      </w:r>
      <w:r>
        <w:rPr>
          <w:rFonts w:hint="eastAsia" w:ascii="Arial" w:hAnsi="Arial" w:cs="Arial"/>
        </w:rPr>
        <w:t>25.55</w:t>
      </w:r>
      <w:r>
        <w:rPr>
          <w:rFonts w:ascii="Arial" w:hAnsi="Arial" w:cs="Arial"/>
        </w:rPr>
        <w:t>万元,同比增加</w:t>
      </w:r>
      <w:r>
        <w:rPr>
          <w:rFonts w:hint="eastAsia" w:ascii="Arial" w:hAnsi="Arial" w:cs="Arial"/>
        </w:rPr>
        <w:t>3.32</w:t>
      </w:r>
      <w:r>
        <w:rPr>
          <w:rFonts w:ascii="Arial" w:hAnsi="Arial" w:cs="Arial"/>
        </w:rPr>
        <w:t xml:space="preserve"> 万元,增长</w:t>
      </w:r>
      <w:r>
        <w:rPr>
          <w:rFonts w:hint="eastAsia" w:ascii="Arial" w:hAnsi="Arial" w:cs="Arial"/>
        </w:rPr>
        <w:t>14.93</w:t>
      </w:r>
      <w:r>
        <w:rPr>
          <w:rFonts w:ascii="Arial" w:hAnsi="Arial" w:cs="Arial"/>
        </w:rPr>
        <w:t>%,全部是基本支出预算。主要用于单位在职职工养老保险缴费。</w:t>
      </w:r>
    </w:p>
    <w:p>
      <w:pPr>
        <w:pStyle w:val="4"/>
        <w:widowControl/>
        <w:spacing w:before="274" w:beforeAutospacing="0" w:after="274" w:afterAutospacing="0" w:line="360" w:lineRule="auto"/>
        <w:ind w:firstLine="475"/>
        <w:rPr>
          <w:rFonts w:ascii="Arial" w:hAnsi="Arial" w:cs="Arial"/>
        </w:rPr>
      </w:pPr>
      <w:r>
        <w:rPr>
          <w:rFonts w:hint="eastAsia" w:ascii="Arial" w:hAnsi="Arial" w:cs="Arial"/>
        </w:rPr>
        <w:t>机关事业单位职业年金缴费支出12.77</w:t>
      </w:r>
      <w:r>
        <w:rPr>
          <w:rFonts w:ascii="Arial" w:hAnsi="Arial" w:cs="Arial"/>
        </w:rPr>
        <w:t>万元，全部是基本支出预算。主要用于单位在职职工</w:t>
      </w:r>
      <w:r>
        <w:rPr>
          <w:rFonts w:hint="eastAsia" w:ascii="Arial" w:hAnsi="Arial" w:cs="Arial"/>
        </w:rPr>
        <w:t>职业年金</w:t>
      </w:r>
      <w:r>
        <w:rPr>
          <w:rFonts w:ascii="Arial" w:hAnsi="Arial" w:cs="Arial"/>
        </w:rPr>
        <w:t>缴费。</w:t>
      </w:r>
    </w:p>
    <w:p>
      <w:pPr>
        <w:pStyle w:val="4"/>
        <w:widowControl/>
        <w:spacing w:before="274" w:beforeAutospacing="0" w:after="274" w:afterAutospacing="0" w:line="360" w:lineRule="auto"/>
        <w:ind w:firstLine="475"/>
        <w:rPr>
          <w:rFonts w:ascii="Arial" w:hAnsi="Arial" w:cs="Arial"/>
        </w:rPr>
      </w:pPr>
      <w:r>
        <w:rPr>
          <w:rFonts w:hint="eastAsia" w:ascii="宋体" w:hAnsi="宋体" w:eastAsia="宋体" w:cs="Arial"/>
          <w:color w:val="000000"/>
        </w:rPr>
        <w:t>其他社会保障和就业支出0.8</w:t>
      </w:r>
      <w:r>
        <w:rPr>
          <w:rFonts w:ascii="Arial" w:hAnsi="Arial" w:cs="Arial"/>
        </w:rPr>
        <w:t>万元，全部是基本支出预算。主要用于单位在职职工</w:t>
      </w:r>
      <w:r>
        <w:rPr>
          <w:rFonts w:hint="eastAsia" w:ascii="Arial" w:hAnsi="Arial" w:cs="Arial"/>
        </w:rPr>
        <w:t>失业保险</w:t>
      </w:r>
      <w:r>
        <w:rPr>
          <w:rFonts w:ascii="Arial" w:hAnsi="Arial" w:cs="Arial"/>
        </w:rPr>
        <w:t>缴费。</w:t>
      </w:r>
    </w:p>
    <w:p>
      <w:pPr>
        <w:pStyle w:val="4"/>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14.69</w:t>
      </w:r>
      <w:r>
        <w:rPr>
          <w:rFonts w:ascii="Arial" w:hAnsi="Arial" w:cs="Arial"/>
        </w:rPr>
        <w:t>万元,占一般公共预算支出预算</w:t>
      </w:r>
      <w:r>
        <w:rPr>
          <w:rFonts w:hint="eastAsia" w:ascii="Arial" w:hAnsi="Arial" w:cs="Arial"/>
        </w:rPr>
        <w:t>3.4</w:t>
      </w:r>
      <w:r>
        <w:rPr>
          <w:rFonts w:ascii="Arial" w:hAnsi="Arial" w:cs="Arial"/>
        </w:rPr>
        <w:t>%,同比增加</w:t>
      </w:r>
      <w:r>
        <w:rPr>
          <w:rFonts w:hint="eastAsia" w:ascii="Arial" w:hAnsi="Arial" w:cs="Arial"/>
        </w:rPr>
        <w:t>1.91</w:t>
      </w:r>
      <w:r>
        <w:rPr>
          <w:rFonts w:ascii="Arial" w:hAnsi="Arial" w:cs="Arial"/>
        </w:rPr>
        <w:t xml:space="preserve"> 万元,增长</w:t>
      </w:r>
      <w:r>
        <w:rPr>
          <w:rFonts w:hint="eastAsia" w:ascii="Arial" w:hAnsi="Arial" w:cs="Arial"/>
        </w:rPr>
        <w:t>14.95</w:t>
      </w:r>
      <w:r>
        <w:rPr>
          <w:rFonts w:ascii="Arial" w:hAnsi="Arial" w:cs="Arial"/>
        </w:rPr>
        <w:t> %。具体如下:</w:t>
      </w:r>
    </w:p>
    <w:p>
      <w:pPr>
        <w:pStyle w:val="4"/>
        <w:widowControl/>
        <w:spacing w:before="274" w:beforeAutospacing="0" w:after="274" w:afterAutospacing="0" w:line="360" w:lineRule="auto"/>
        <w:ind w:firstLine="475"/>
        <w:rPr>
          <w:rFonts w:ascii="Arial" w:hAnsi="Arial" w:cs="Arial"/>
        </w:rPr>
      </w:pPr>
      <w:r>
        <w:rPr>
          <w:rFonts w:ascii="Arial" w:hAnsi="Arial" w:cs="Arial"/>
        </w:rPr>
        <w:t>事业单位医疗</w:t>
      </w:r>
      <w:r>
        <w:rPr>
          <w:rFonts w:hint="eastAsia" w:ascii="Arial" w:hAnsi="Arial" w:cs="Arial"/>
        </w:rPr>
        <w:t>14.37</w:t>
      </w:r>
      <w:r>
        <w:rPr>
          <w:rFonts w:ascii="Arial" w:hAnsi="Arial" w:cs="Arial"/>
        </w:rPr>
        <w:t>万元,同比增加</w:t>
      </w:r>
      <w:r>
        <w:rPr>
          <w:rFonts w:hint="eastAsia" w:ascii="Arial" w:hAnsi="Arial" w:cs="Arial"/>
        </w:rPr>
        <w:t>1.68</w:t>
      </w:r>
      <w:r>
        <w:rPr>
          <w:rFonts w:ascii="Arial" w:hAnsi="Arial" w:cs="Arial"/>
        </w:rPr>
        <w:t>万元,增长</w:t>
      </w:r>
      <w:r>
        <w:rPr>
          <w:rFonts w:hint="eastAsia" w:ascii="Arial" w:hAnsi="Arial" w:cs="Arial"/>
        </w:rPr>
        <w:t>14.87</w:t>
      </w:r>
      <w:r>
        <w:rPr>
          <w:rFonts w:ascii="Arial" w:hAnsi="Arial" w:cs="Arial"/>
        </w:rPr>
        <w:t>%,全部是基本支出预算。是根据统一规定,按事业单位在职职工工资总额的一定比例缴纳的基本医疗保险支出。</w:t>
      </w:r>
    </w:p>
    <w:p>
      <w:pPr>
        <w:pStyle w:val="4"/>
        <w:widowControl/>
        <w:spacing w:before="274" w:beforeAutospacing="0" w:after="274" w:afterAutospacing="0" w:line="360" w:lineRule="auto"/>
        <w:ind w:firstLine="475"/>
        <w:rPr>
          <w:rFonts w:ascii="Arial" w:hAnsi="Arial" w:cs="Arial"/>
        </w:rPr>
      </w:pPr>
      <w:r>
        <w:rPr>
          <w:rFonts w:hint="eastAsia" w:ascii="宋体" w:hAnsi="宋体" w:eastAsia="宋体" w:cs="Arial"/>
          <w:color w:val="000000"/>
        </w:rPr>
        <w:t>其他行政事业单位医疗支出</w:t>
      </w:r>
      <w:r>
        <w:rPr>
          <w:rFonts w:hint="eastAsia" w:ascii="宋体" w:hAnsi="宋体" w:eastAsia="宋体" w:cs="Arial"/>
          <w:color w:val="000000"/>
          <w:lang w:val="en-US" w:eastAsia="zh-CN"/>
        </w:rPr>
        <w:t>0.32</w:t>
      </w:r>
      <w:r>
        <w:rPr>
          <w:rFonts w:ascii="Arial" w:hAnsi="Arial" w:cs="Arial"/>
        </w:rPr>
        <w:t>万元</w:t>
      </w:r>
      <w:r>
        <w:rPr>
          <w:rFonts w:hint="eastAsia" w:ascii="Arial" w:hAnsi="Arial" w:cs="Arial"/>
        </w:rPr>
        <w:t>，</w:t>
      </w:r>
      <w:r>
        <w:rPr>
          <w:rFonts w:ascii="Arial" w:hAnsi="Arial" w:cs="Arial"/>
        </w:rPr>
        <w:t>全部是基本支出预算。是根据统一规定，按事业单位在职职工工资总额的一定比例缴纳的基本医疗保险支出。</w:t>
      </w:r>
    </w:p>
    <w:p>
      <w:pPr>
        <w:pStyle w:val="4"/>
        <w:widowControl/>
        <w:spacing w:before="150" w:beforeAutospacing="0" w:after="150" w:afterAutospacing="0" w:line="460" w:lineRule="exact"/>
        <w:ind w:firstLine="420" w:firstLineChars="0"/>
        <w:rPr>
          <w:rFonts w:ascii="Arial" w:hAnsi="Arial" w:cs="Arial"/>
        </w:rPr>
      </w:pPr>
      <w:r>
        <w:rPr>
          <w:rFonts w:ascii="Arial" w:hAnsi="Arial" w:cs="Arial"/>
        </w:rPr>
        <w:t>(4)住房保障支出</w:t>
      </w:r>
      <w:r>
        <w:rPr>
          <w:rFonts w:hint="eastAsia" w:ascii="Arial" w:hAnsi="Arial" w:cs="Arial"/>
        </w:rPr>
        <w:t>19.16</w:t>
      </w:r>
      <w:r>
        <w:rPr>
          <w:rFonts w:ascii="Arial" w:hAnsi="Arial" w:cs="Arial"/>
        </w:rPr>
        <w:t>万元,占一般公共预算支出预算</w:t>
      </w:r>
      <w:r>
        <w:rPr>
          <w:rFonts w:hint="eastAsia" w:ascii="Arial" w:hAnsi="Arial" w:cs="Arial"/>
        </w:rPr>
        <w:t>4.44</w:t>
      </w:r>
      <w:r>
        <w:rPr>
          <w:rFonts w:ascii="Arial" w:hAnsi="Arial" w:cs="Arial"/>
        </w:rPr>
        <w:t>%,同比增加</w:t>
      </w:r>
      <w:r>
        <w:rPr>
          <w:rFonts w:hint="eastAsia" w:ascii="Arial" w:hAnsi="Arial" w:cs="Arial"/>
        </w:rPr>
        <w:t>2.49</w:t>
      </w:r>
      <w:r>
        <w:rPr>
          <w:rFonts w:ascii="Arial" w:hAnsi="Arial" w:cs="Arial"/>
        </w:rPr>
        <w:t xml:space="preserve"> 万元,增长</w:t>
      </w:r>
      <w:r>
        <w:rPr>
          <w:rFonts w:hint="eastAsia" w:ascii="Arial" w:hAnsi="Arial" w:cs="Arial"/>
        </w:rPr>
        <w:t>14.94</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住房公积金</w:t>
      </w:r>
      <w:r>
        <w:rPr>
          <w:rFonts w:hint="eastAsia" w:ascii="Arial" w:hAnsi="Arial" w:cs="Arial"/>
        </w:rPr>
        <w:t>19.16</w:t>
      </w:r>
      <w:r>
        <w:rPr>
          <w:rFonts w:ascii="Arial" w:hAnsi="Arial" w:cs="Arial"/>
        </w:rPr>
        <w:t> 万元,同比增加</w:t>
      </w:r>
      <w:r>
        <w:rPr>
          <w:rFonts w:hint="eastAsia" w:ascii="Arial" w:hAnsi="Arial" w:cs="Arial"/>
        </w:rPr>
        <w:t xml:space="preserve">2.49 </w:t>
      </w:r>
      <w:r>
        <w:rPr>
          <w:rFonts w:ascii="Arial" w:hAnsi="Arial" w:cs="Arial"/>
        </w:rPr>
        <w:t>万元,增长</w:t>
      </w:r>
      <w:r>
        <w:rPr>
          <w:rFonts w:hint="eastAsia" w:ascii="Arial" w:hAnsi="Arial" w:cs="Arial"/>
        </w:rPr>
        <w:t xml:space="preserve">14.94 </w:t>
      </w:r>
      <w:r>
        <w:rPr>
          <w:rFonts w:ascii="Arial" w:hAnsi="Arial" w:cs="Arial"/>
        </w:rPr>
        <w:t>%,全部是基本支出预算。是按照统一规定,为局机关和局属参公单位(事业单位)职工缴纳的住房公积金支出。</w:t>
      </w:r>
    </w:p>
    <w:p>
      <w:pPr>
        <w:pStyle w:val="4"/>
        <w:widowControl/>
        <w:numPr>
          <w:ilvl w:val="0"/>
          <w:numId w:val="3"/>
        </w:numPr>
        <w:spacing w:before="150" w:beforeAutospacing="0" w:after="150" w:afterAutospacing="0" w:line="460" w:lineRule="exact"/>
        <w:ind w:firstLine="420"/>
        <w:rPr>
          <w:rFonts w:ascii="Arial" w:hAnsi="Arial" w:cs="Arial"/>
        </w:rPr>
      </w:pPr>
      <w:r>
        <w:rPr>
          <w:rFonts w:hint="eastAsia" w:ascii="Arial" w:hAnsi="Arial" w:cs="Arial"/>
        </w:rPr>
        <w:t>其他文化和旅游支出10万元。是项目支出用于纪念园</w:t>
      </w:r>
      <w:r>
        <w:rPr>
          <w:rFonts w:ascii="Arial" w:hAnsi="Arial" w:cs="Arial"/>
        </w:rPr>
        <w:t>办公费、印刷费、邮电费、水电费、差旅费等</w:t>
      </w:r>
    </w:p>
    <w:p>
      <w:pPr>
        <w:pStyle w:val="4"/>
        <w:widowControl/>
        <w:spacing w:before="150" w:beforeAutospacing="0" w:after="150" w:afterAutospacing="0" w:line="460" w:lineRule="exact"/>
        <w:ind w:left="420"/>
        <w:rPr>
          <w:rFonts w:ascii="Arial" w:hAnsi="Arial" w:cs="Arial"/>
        </w:rPr>
      </w:pPr>
      <w:r>
        <w:rPr>
          <w:rFonts w:hint="eastAsia" w:ascii="Arial" w:hAnsi="Arial" w:cs="Arial"/>
        </w:rPr>
        <w:t>（6）博物馆支出180万元。是项目支出用于纪念园及纪念馆物业费，电费、水费、讲解员工资等。</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2023年一般公共预算基本支出</w:t>
      </w:r>
      <w:r>
        <w:rPr>
          <w:rFonts w:hint="eastAsia" w:ascii="Arial" w:hAnsi="Arial" w:cs="Arial"/>
        </w:rPr>
        <w:t>241.64</w:t>
      </w:r>
      <w:r>
        <w:rPr>
          <w:rFonts w:ascii="Arial" w:hAnsi="Arial" w:cs="Arial"/>
        </w:rPr>
        <w:t>万元,增加</w:t>
      </w:r>
      <w:r>
        <w:rPr>
          <w:rFonts w:hint="eastAsia" w:ascii="Arial" w:hAnsi="Arial" w:cs="Arial"/>
        </w:rPr>
        <w:t>30.63</w:t>
      </w:r>
      <w:r>
        <w:rPr>
          <w:rFonts w:ascii="Arial" w:hAnsi="Arial" w:cs="Arial"/>
        </w:rPr>
        <w:t>万元,增长</w:t>
      </w:r>
      <w:r>
        <w:rPr>
          <w:rFonts w:hint="eastAsia" w:ascii="Arial" w:hAnsi="Arial" w:cs="Arial"/>
        </w:rPr>
        <w:t>14.52</w:t>
      </w:r>
      <w:r>
        <w:rPr>
          <w:rFonts w:ascii="Arial" w:hAnsi="Arial" w:cs="Arial"/>
        </w:rPr>
        <w:t xml:space="preserve"> %,增长的主要原因是:</w:t>
      </w:r>
      <w:r>
        <w:rPr>
          <w:rFonts w:hint="eastAsia" w:ascii="Arial" w:hAnsi="Arial" w:cs="Arial"/>
        </w:rPr>
        <w:t>人员增加及工资增长</w:t>
      </w:r>
      <w:r>
        <w:rPr>
          <w:rFonts w:ascii="Arial" w:hAnsi="Arial" w:cs="Arial"/>
        </w:rPr>
        <w:t>。其中:工资福利支出</w:t>
      </w:r>
      <w:r>
        <w:rPr>
          <w:rFonts w:hint="eastAsia" w:ascii="Arial" w:hAnsi="Arial" w:cs="Arial"/>
        </w:rPr>
        <w:t>232.64</w:t>
      </w:r>
      <w:r>
        <w:rPr>
          <w:rFonts w:ascii="Arial" w:hAnsi="Arial" w:cs="Arial"/>
        </w:rPr>
        <w:t>万元,增加</w:t>
      </w:r>
      <w:r>
        <w:rPr>
          <w:rFonts w:hint="eastAsia" w:ascii="Arial" w:hAnsi="Arial" w:cs="Arial"/>
        </w:rPr>
        <w:t>30.18</w:t>
      </w:r>
      <w:r>
        <w:rPr>
          <w:rFonts w:ascii="Arial" w:hAnsi="Arial" w:cs="Arial"/>
        </w:rPr>
        <w:t>万元,增长</w:t>
      </w:r>
      <w:r>
        <w:rPr>
          <w:rFonts w:hint="eastAsia" w:ascii="Arial" w:hAnsi="Arial" w:cs="Arial"/>
        </w:rPr>
        <w:t>14.91</w:t>
      </w:r>
      <w:r>
        <w:rPr>
          <w:rFonts w:ascii="Arial" w:hAnsi="Arial" w:cs="Arial"/>
        </w:rPr>
        <w:t xml:space="preserve"> %,增长的主要原因是:</w:t>
      </w:r>
      <w:r>
        <w:rPr>
          <w:rFonts w:hint="eastAsia" w:ascii="Arial" w:hAnsi="Arial" w:cs="Arial"/>
        </w:rPr>
        <w:t>人员增加及工资增长</w:t>
      </w:r>
      <w:r>
        <w:rPr>
          <w:rFonts w:ascii="Arial" w:hAnsi="Arial" w:cs="Arial"/>
        </w:rPr>
        <w:t>。商品和服务支出</w:t>
      </w:r>
      <w:r>
        <w:rPr>
          <w:rFonts w:hint="eastAsia" w:ascii="Arial" w:hAnsi="Arial" w:cs="Arial"/>
        </w:rPr>
        <w:t>9</w:t>
      </w:r>
      <w:r>
        <w:rPr>
          <w:rFonts w:ascii="Arial" w:hAnsi="Arial" w:cs="Arial"/>
        </w:rPr>
        <w:t>万元,增加</w:t>
      </w:r>
      <w:r>
        <w:rPr>
          <w:rFonts w:hint="eastAsia" w:ascii="Arial" w:hAnsi="Arial" w:cs="Arial"/>
        </w:rPr>
        <w:t>0.45</w:t>
      </w:r>
      <w:r>
        <w:rPr>
          <w:rFonts w:ascii="Arial" w:hAnsi="Arial" w:cs="Arial"/>
        </w:rPr>
        <w:t>万元,增长</w:t>
      </w:r>
      <w:r>
        <w:rPr>
          <w:rFonts w:hint="eastAsia" w:ascii="Arial" w:hAnsi="Arial" w:cs="Arial"/>
        </w:rPr>
        <w:t>5.26</w:t>
      </w:r>
      <w:r>
        <w:rPr>
          <w:rFonts w:ascii="Arial" w:hAnsi="Arial" w:cs="Arial"/>
        </w:rPr>
        <w:t>%。增长的主要原因是</w:t>
      </w:r>
      <w:r>
        <w:rPr>
          <w:rFonts w:hint="eastAsia" w:ascii="Arial" w:hAnsi="Arial" w:cs="Arial"/>
        </w:rPr>
        <w:t>人员增加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w:t>
      </w:r>
      <w:r>
        <w:rPr>
          <w:rFonts w:hint="eastAsia" w:ascii="Arial" w:hAnsi="Arial" w:cs="Arial"/>
        </w:rPr>
        <w:t>0.9</w:t>
      </w:r>
      <w:r>
        <w:rPr>
          <w:rFonts w:ascii="Arial" w:hAnsi="Arial" w:cs="Arial"/>
        </w:rPr>
        <w:t>万元,增加</w:t>
      </w:r>
      <w:r>
        <w:rPr>
          <w:rFonts w:hint="eastAsia" w:ascii="Arial" w:hAnsi="Arial" w:cs="Arial"/>
        </w:rPr>
        <w:t>0.2</w:t>
      </w:r>
      <w:r>
        <w:rPr>
          <w:rFonts w:ascii="Arial" w:hAnsi="Arial" w:cs="Arial"/>
        </w:rPr>
        <w:t>万元,增长</w:t>
      </w:r>
      <w:r>
        <w:rPr>
          <w:rFonts w:hint="eastAsia" w:ascii="Arial" w:hAnsi="Arial" w:cs="Arial"/>
        </w:rPr>
        <w:t>28.57</w:t>
      </w:r>
      <w:r>
        <w:rPr>
          <w:rFonts w:ascii="Arial" w:hAnsi="Arial" w:cs="Arial"/>
        </w:rPr>
        <w:t xml:space="preserve">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2、公务接待费预算</w:t>
      </w:r>
      <w:r>
        <w:rPr>
          <w:rFonts w:hint="eastAsia" w:ascii="Arial" w:hAnsi="Arial" w:cs="Arial"/>
        </w:rPr>
        <w:t>0.6</w:t>
      </w:r>
      <w:r>
        <w:rPr>
          <w:rFonts w:ascii="Arial" w:hAnsi="Arial" w:cs="Arial"/>
        </w:rPr>
        <w:t>万元,减少</w:t>
      </w:r>
      <w:r>
        <w:rPr>
          <w:rFonts w:hint="eastAsia" w:ascii="Arial" w:hAnsi="Arial" w:cs="Arial"/>
        </w:rPr>
        <w:t>0.1</w:t>
      </w:r>
      <w:r>
        <w:rPr>
          <w:rFonts w:ascii="Arial" w:hAnsi="Arial" w:cs="Arial"/>
        </w:rPr>
        <w:t xml:space="preserve"> 万元,下降</w:t>
      </w:r>
      <w:r>
        <w:rPr>
          <w:rFonts w:hint="eastAsia" w:ascii="Arial" w:hAnsi="Arial" w:cs="Arial"/>
        </w:rPr>
        <w:t>14.29</w:t>
      </w:r>
      <w:r>
        <w:rPr>
          <w:rFonts w:ascii="Arial" w:hAnsi="Arial" w:cs="Arial"/>
        </w:rPr>
        <w:t xml:space="preserve"> %。我单位认真贯彻落实中央八项规定要求,严格执行公务接待管理办法。主要用于单位按规定开支的各类公务接待费用。</w:t>
      </w:r>
    </w:p>
    <w:p>
      <w:pPr>
        <w:pStyle w:val="4"/>
        <w:widowControl/>
        <w:spacing w:before="150" w:beforeAutospacing="0" w:after="150" w:afterAutospacing="0" w:line="460" w:lineRule="exact"/>
        <w:ind w:firstLine="420"/>
        <w:rPr>
          <w:rFonts w:ascii="Arial" w:hAnsi="Arial" w:cs="Arial"/>
        </w:rPr>
      </w:pPr>
      <w:r>
        <w:rPr>
          <w:rFonts w:ascii="Arial" w:hAnsi="Arial" w:cs="Arial"/>
        </w:rPr>
        <w:t>3、公务用车购置和运行维护费预算</w:t>
      </w:r>
      <w:r>
        <w:rPr>
          <w:rFonts w:hint="eastAsia" w:ascii="Arial" w:hAnsi="Arial" w:cs="Arial"/>
        </w:rPr>
        <w:t>0</w:t>
      </w:r>
      <w:r>
        <w:rPr>
          <w:rFonts w:ascii="Arial" w:hAnsi="Arial" w:cs="Arial"/>
        </w:rPr>
        <w:t>万元,同比无变化。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4、会议费预算</w:t>
      </w:r>
      <w:r>
        <w:rPr>
          <w:rFonts w:hint="eastAsia" w:ascii="Arial" w:hAnsi="Arial" w:cs="Arial"/>
        </w:rPr>
        <w:t>0.1</w:t>
      </w:r>
      <w:r>
        <w:rPr>
          <w:rFonts w:ascii="Arial" w:hAnsi="Arial" w:cs="Arial"/>
        </w:rPr>
        <w:t>万元,</w:t>
      </w:r>
      <w:r>
        <w:rPr>
          <w:rFonts w:ascii="Arial" w:hAnsi="Arial" w:cs="Arial"/>
        </w:rPr>
        <w:t>同比无变化</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4"/>
        <w:widowControl/>
        <w:spacing w:before="150" w:beforeAutospacing="0" w:after="150" w:afterAutospacing="0" w:line="460" w:lineRule="exact"/>
        <w:ind w:firstLine="420"/>
        <w:rPr>
          <w:rFonts w:hint="eastAsia" w:ascii="Arial" w:hAnsi="Arial" w:cs="Arial" w:eastAsiaTheme="minorEastAsia"/>
          <w:color w:val="FF0000"/>
          <w:lang w:eastAsia="zh-CN"/>
        </w:rPr>
      </w:pPr>
      <w:r>
        <w:rPr>
          <w:rFonts w:ascii="Arial" w:hAnsi="Arial" w:cs="Arial"/>
          <w:color w:val="000000" w:themeColor="text1"/>
        </w:rPr>
        <w:t>我部门2023年部门预算无政府性基金预算</w:t>
      </w:r>
      <w:r>
        <w:rPr>
          <w:rFonts w:hint="eastAsia" w:ascii="Arial" w:hAnsi="Arial" w:cs="Arial"/>
          <w:color w:val="000000" w:themeColor="text1"/>
          <w:lang w:eastAsia="zh-CN"/>
        </w:rPr>
        <w:t>。</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2023年机关运行经费</w:t>
      </w:r>
      <w:r>
        <w:rPr>
          <w:rFonts w:hint="eastAsia" w:ascii="Arial" w:hAnsi="Arial" w:cs="Arial"/>
        </w:rPr>
        <w:t>9</w:t>
      </w:r>
      <w:r>
        <w:rPr>
          <w:rFonts w:ascii="Arial" w:hAnsi="Arial" w:cs="Arial"/>
        </w:rPr>
        <w:t>万元,增加</w:t>
      </w:r>
      <w:r>
        <w:rPr>
          <w:rFonts w:hint="eastAsia" w:ascii="Arial" w:hAnsi="Arial" w:cs="Arial"/>
        </w:rPr>
        <w:t>0.45</w:t>
      </w:r>
      <w:r>
        <w:rPr>
          <w:rFonts w:ascii="Arial" w:hAnsi="Arial" w:cs="Arial"/>
        </w:rPr>
        <w:t>万元,增长</w:t>
      </w:r>
      <w:r>
        <w:rPr>
          <w:rFonts w:hint="eastAsia" w:ascii="Arial" w:hAnsi="Arial" w:cs="Arial"/>
        </w:rPr>
        <w:t>5.26</w:t>
      </w:r>
      <w:r>
        <w:rPr>
          <w:rFonts w:ascii="Arial" w:hAnsi="Arial" w:cs="Arial"/>
        </w:rPr>
        <w:t>%。增长的主要原因是</w:t>
      </w:r>
      <w:r>
        <w:rPr>
          <w:rFonts w:hint="eastAsia" w:ascii="Arial" w:hAnsi="Arial" w:cs="Arial"/>
        </w:rPr>
        <w:t>人员增加</w:t>
      </w:r>
      <w:r>
        <w:rPr>
          <w:rFonts w:ascii="Arial" w:hAnsi="Arial" w:cs="Arial"/>
        </w:rPr>
        <w:t>。具体包括办公费</w:t>
      </w:r>
      <w:r>
        <w:rPr>
          <w:rFonts w:hint="eastAsia" w:ascii="Arial" w:hAnsi="Arial" w:cs="Arial"/>
        </w:rPr>
        <w:t>3</w:t>
      </w:r>
      <w:r>
        <w:rPr>
          <w:rFonts w:ascii="Arial" w:hAnsi="Arial" w:cs="Arial"/>
        </w:rPr>
        <w:t>万元、印刷费</w:t>
      </w:r>
      <w:r>
        <w:rPr>
          <w:rFonts w:hint="eastAsia" w:ascii="Arial" w:hAnsi="Arial" w:cs="Arial"/>
        </w:rPr>
        <w:t>2</w:t>
      </w:r>
      <w:r>
        <w:rPr>
          <w:rFonts w:ascii="Arial" w:hAnsi="Arial" w:cs="Arial"/>
        </w:rPr>
        <w:t>万元、水费</w:t>
      </w:r>
      <w:r>
        <w:rPr>
          <w:rFonts w:hint="eastAsia" w:ascii="Arial" w:hAnsi="Arial" w:cs="Arial"/>
        </w:rPr>
        <w:t>0.2</w:t>
      </w:r>
      <w:r>
        <w:rPr>
          <w:rFonts w:ascii="Arial" w:hAnsi="Arial" w:cs="Arial"/>
        </w:rPr>
        <w:t> 万元、电费</w:t>
      </w:r>
      <w:r>
        <w:rPr>
          <w:rFonts w:hint="eastAsia" w:ascii="Arial" w:hAnsi="Arial" w:cs="Arial"/>
        </w:rPr>
        <w:t>0.8</w:t>
      </w:r>
      <w:r>
        <w:rPr>
          <w:rFonts w:ascii="Arial" w:hAnsi="Arial" w:cs="Arial"/>
        </w:rPr>
        <w:t>万元、邮电费</w:t>
      </w:r>
      <w:r>
        <w:rPr>
          <w:rFonts w:hint="eastAsia" w:ascii="Arial" w:hAnsi="Arial" w:cs="Arial"/>
        </w:rPr>
        <w:t>0.1</w:t>
      </w:r>
      <w:r>
        <w:rPr>
          <w:rFonts w:ascii="Arial" w:hAnsi="Arial" w:cs="Arial"/>
        </w:rPr>
        <w:t>万元、差旅费</w:t>
      </w:r>
      <w:r>
        <w:rPr>
          <w:rFonts w:hint="eastAsia" w:ascii="Arial" w:hAnsi="Arial" w:cs="Arial"/>
        </w:rPr>
        <w:t>0.8</w:t>
      </w:r>
      <w:r>
        <w:rPr>
          <w:rFonts w:ascii="Arial" w:hAnsi="Arial" w:cs="Arial"/>
        </w:rPr>
        <w:t>万元、维修(护)费</w:t>
      </w:r>
      <w:r>
        <w:rPr>
          <w:rFonts w:hint="eastAsia" w:ascii="Arial" w:hAnsi="Arial" w:cs="Arial"/>
        </w:rPr>
        <w:t>0.4</w:t>
      </w:r>
      <w:r>
        <w:rPr>
          <w:rFonts w:ascii="Arial" w:hAnsi="Arial" w:cs="Arial"/>
        </w:rPr>
        <w:t xml:space="preserve"> 万元、会议费</w:t>
      </w:r>
      <w:r>
        <w:rPr>
          <w:rFonts w:hint="eastAsia" w:ascii="Arial" w:hAnsi="Arial" w:cs="Arial"/>
        </w:rPr>
        <w:t>0.1</w:t>
      </w:r>
      <w:r>
        <w:rPr>
          <w:rFonts w:ascii="Arial" w:hAnsi="Arial" w:cs="Arial"/>
        </w:rPr>
        <w:t>万元、培训费 </w:t>
      </w:r>
      <w:r>
        <w:rPr>
          <w:rFonts w:hint="eastAsia" w:ascii="Arial" w:hAnsi="Arial" w:cs="Arial"/>
        </w:rPr>
        <w:t>0.2</w:t>
      </w:r>
      <w:r>
        <w:rPr>
          <w:rFonts w:ascii="Arial" w:hAnsi="Arial" w:cs="Arial"/>
        </w:rPr>
        <w:t>万元、公务接待费</w:t>
      </w:r>
      <w:r>
        <w:rPr>
          <w:rFonts w:hint="eastAsia" w:ascii="Arial" w:hAnsi="Arial" w:cs="Arial"/>
        </w:rPr>
        <w:t>0.6</w:t>
      </w:r>
      <w:r>
        <w:rPr>
          <w:rFonts w:ascii="Arial" w:hAnsi="Arial" w:cs="Arial"/>
        </w:rPr>
        <w:t>万元、其他商品和服务支出</w:t>
      </w:r>
      <w:r>
        <w:rPr>
          <w:rFonts w:hint="eastAsia" w:ascii="Arial" w:hAnsi="Arial" w:cs="Arial"/>
        </w:rPr>
        <w:t>0.8</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(二)政府采购预算安排情况说明</w:t>
      </w:r>
    </w:p>
    <w:p>
      <w:pPr>
        <w:pStyle w:val="4"/>
        <w:widowControl/>
        <w:spacing w:before="150" w:beforeAutospacing="0" w:after="150" w:afterAutospacing="0" w:line="460" w:lineRule="exact"/>
        <w:ind w:firstLine="420"/>
        <w:rPr>
          <w:rFonts w:ascii="Arial" w:hAnsi="Arial" w:cs="Arial"/>
          <w:color w:val="000000" w:themeColor="text1"/>
        </w:rPr>
      </w:pPr>
      <w:r>
        <w:rPr>
          <w:rFonts w:ascii="Arial" w:hAnsi="Arial" w:cs="Arial"/>
          <w:color w:val="000000" w:themeColor="text1"/>
        </w:rPr>
        <w:t>我部门2023年部门预算无政府采购预算</w:t>
      </w:r>
    </w:p>
    <w:p>
      <w:pPr>
        <w:pStyle w:val="4"/>
        <w:widowControl/>
        <w:numPr>
          <w:ilvl w:val="0"/>
          <w:numId w:val="4"/>
        </w:numPr>
        <w:spacing w:before="150" w:beforeAutospacing="0" w:after="150" w:afterAutospacing="0" w:line="460" w:lineRule="exact"/>
        <w:ind w:firstLine="420"/>
        <w:rPr>
          <w:rFonts w:ascii="Arial" w:hAnsi="Arial" w:cs="Arial"/>
        </w:rPr>
      </w:pPr>
      <w:r>
        <w:rPr>
          <w:rFonts w:ascii="Arial" w:hAnsi="Arial" w:cs="Arial"/>
        </w:rPr>
        <w:t>国有资产占有使用情况说明</w:t>
      </w:r>
    </w:p>
    <w:p>
      <w:pPr>
        <w:pStyle w:val="4"/>
        <w:widowControl/>
        <w:spacing w:before="150" w:beforeAutospacing="0" w:after="150" w:afterAutospacing="0" w:line="460" w:lineRule="exact"/>
        <w:ind w:left="420"/>
        <w:rPr>
          <w:rFonts w:ascii="Arial" w:hAnsi="Arial" w:cs="Arial"/>
        </w:rPr>
      </w:pPr>
      <w:r>
        <w:rPr>
          <w:rFonts w:ascii="Arial" w:hAnsi="Arial" w:cs="Arial"/>
        </w:rPr>
        <w:t>截至2022年12月31日,本部门资产总计</w:t>
      </w:r>
      <w:r>
        <w:rPr>
          <w:rFonts w:hint="eastAsia" w:ascii="Arial" w:hAnsi="Arial" w:cs="Arial"/>
        </w:rPr>
        <w:t>0</w:t>
      </w:r>
      <w:r>
        <w:rPr>
          <w:rFonts w:ascii="Arial" w:hAnsi="Arial" w:cs="Arial"/>
        </w:rPr>
        <w:t>万元,其中:流动资产</w:t>
      </w:r>
      <w:r>
        <w:rPr>
          <w:rFonts w:hint="eastAsia" w:ascii="Arial" w:hAnsi="Arial" w:cs="Arial"/>
        </w:rPr>
        <w:t>0</w:t>
      </w:r>
      <w:r>
        <w:rPr>
          <w:rFonts w:ascii="Arial" w:hAnsi="Arial" w:cs="Arial"/>
        </w:rPr>
        <w:t> 万元,固定资产万元,在建工程 万元,无形资产</w:t>
      </w:r>
      <w:r>
        <w:rPr>
          <w:rFonts w:hint="eastAsia" w:ascii="Arial" w:hAnsi="Arial" w:cs="Arial"/>
        </w:rPr>
        <w:t>0</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本部门实际可调配使用车辆</w:t>
      </w:r>
      <w:r>
        <w:rPr>
          <w:rFonts w:hint="eastAsia" w:ascii="Arial" w:hAnsi="Arial" w:cs="Arial"/>
          <w:lang w:val="en-US" w:eastAsia="zh-CN"/>
        </w:rPr>
        <w:t>0</w:t>
      </w:r>
      <w:r>
        <w:rPr>
          <w:rFonts w:ascii="Arial" w:hAnsi="Arial" w:cs="Arial"/>
        </w:rPr>
        <w:t xml:space="preserve"> 辆,其中:一般公务用车辆 </w:t>
      </w:r>
      <w:r>
        <w:rPr>
          <w:rFonts w:hint="eastAsia" w:ascii="Arial" w:hAnsi="Arial" w:cs="Arial"/>
        </w:rPr>
        <w:t>0</w:t>
      </w:r>
      <w:r>
        <w:rPr>
          <w:rFonts w:ascii="Arial" w:hAnsi="Arial" w:cs="Arial"/>
        </w:rPr>
        <w:t> 辆。</w:t>
      </w:r>
    </w:p>
    <w:p>
      <w:pPr>
        <w:pStyle w:val="4"/>
        <w:widowControl/>
        <w:spacing w:before="150" w:beforeAutospacing="0" w:after="150" w:afterAutospacing="0" w:line="460" w:lineRule="exact"/>
        <w:ind w:firstLine="420"/>
        <w:rPr>
          <w:rFonts w:hint="eastAsia" w:ascii="Arial" w:hAnsi="Arial" w:cs="Arial"/>
        </w:rPr>
      </w:pPr>
      <w:r>
        <w:rPr>
          <w:rFonts w:ascii="Arial" w:hAnsi="Arial" w:cs="Arial"/>
        </w:rPr>
        <w:t>(四)重点项目预算绩效目标等情况说明</w:t>
      </w:r>
    </w:p>
    <w:p>
      <w:pPr>
        <w:pStyle w:val="4"/>
        <w:widowControl/>
        <w:spacing w:before="150" w:after="150" w:line="460" w:lineRule="exact"/>
        <w:ind w:firstLine="420"/>
        <w:rPr>
          <w:rFonts w:ascii="Arial" w:hAnsi="Arial" w:cs="Arial"/>
        </w:rPr>
      </w:pPr>
      <w:r>
        <w:rPr>
          <w:rFonts w:hint="eastAsia" w:ascii="Arial" w:hAnsi="Arial" w:cs="Arial"/>
        </w:rPr>
        <w:t>本部门2023年部门预算所有项目均已</w:t>
      </w:r>
      <w:bookmarkStart w:id="0" w:name="_GoBack"/>
      <w:bookmarkEnd w:id="0"/>
      <w:r>
        <w:rPr>
          <w:rFonts w:hint="eastAsia" w:ascii="Arial" w:hAnsi="Arial" w:cs="Arial"/>
        </w:rPr>
        <w:t>编制绩效目标列入绩效考核范围，其中：重点项目绩效目标1个；</w:t>
      </w:r>
    </w:p>
    <w:p>
      <w:pPr>
        <w:pStyle w:val="4"/>
        <w:widowControl/>
        <w:spacing w:before="150" w:after="150" w:line="460" w:lineRule="exact"/>
        <w:ind w:firstLine="420"/>
        <w:rPr>
          <w:rFonts w:ascii="Arial" w:hAnsi="Arial" w:cs="Arial"/>
        </w:rPr>
      </w:pPr>
      <w:r>
        <w:rPr>
          <w:rFonts w:hint="eastAsia" w:ascii="Arial" w:hAnsi="Arial" w:cs="Arial"/>
        </w:rPr>
        <w:t>项目名称：红军长征湘江战役纪念馆费开放补助；</w:t>
      </w:r>
    </w:p>
    <w:p>
      <w:pPr>
        <w:pStyle w:val="4"/>
        <w:widowControl/>
        <w:spacing w:before="150" w:after="150" w:line="460" w:lineRule="exact"/>
        <w:ind w:firstLine="420"/>
        <w:rPr>
          <w:rFonts w:ascii="Arial" w:hAnsi="Arial" w:cs="Arial"/>
        </w:rPr>
      </w:pPr>
      <w:r>
        <w:rPr>
          <w:rFonts w:hint="eastAsia" w:ascii="Arial" w:hAnsi="Arial" w:cs="Arial"/>
        </w:rPr>
        <w:t>项目预算金额：180万元；</w:t>
      </w:r>
    </w:p>
    <w:p>
      <w:pPr>
        <w:pStyle w:val="4"/>
        <w:widowControl/>
        <w:spacing w:before="150" w:after="150" w:line="460" w:lineRule="exact"/>
        <w:ind w:firstLine="420"/>
        <w:rPr>
          <w:rFonts w:ascii="Arial" w:hAnsi="Arial" w:cs="Arial"/>
        </w:rPr>
      </w:pPr>
      <w:r>
        <w:rPr>
          <w:rFonts w:hint="eastAsia" w:ascii="Arial" w:hAnsi="Arial" w:cs="Arial"/>
        </w:rPr>
        <w:t>实施进度计划：预计2023年12月31日前完成；</w:t>
      </w:r>
    </w:p>
    <w:p>
      <w:pPr>
        <w:pStyle w:val="4"/>
        <w:widowControl/>
        <w:spacing w:before="150" w:after="150" w:line="460" w:lineRule="exact"/>
        <w:ind w:firstLine="420"/>
        <w:rPr>
          <w:rFonts w:hint="eastAsia" w:ascii="Arial" w:hAnsi="Arial" w:cs="Arial"/>
        </w:rPr>
      </w:pPr>
      <w:r>
        <w:rPr>
          <w:rFonts w:hint="eastAsia" w:ascii="Arial" w:hAnsi="Arial" w:cs="Arial"/>
        </w:rPr>
        <w:t>年度目标：</w:t>
      </w:r>
      <w:r>
        <w:rPr>
          <w:rFonts w:ascii="Arial" w:hAnsi="Arial" w:cs="Arial"/>
        </w:rPr>
        <w:t xml:space="preserve"> </w:t>
      </w:r>
      <w:r>
        <w:rPr>
          <w:rFonts w:hint="eastAsia" w:ascii="Arial" w:hAnsi="Arial" w:eastAsia="宋体" w:cs="Arial"/>
          <w:color w:val="000000" w:themeColor="text1"/>
          <w:shd w:val="clear" w:color="auto" w:fill="FFFFFF"/>
        </w:rPr>
        <w:t>为促进了全县旅游文化事业发展，对全州的红色旅游产业及红色文化宣传起到了很好的促进作用。</w:t>
      </w:r>
      <w:r>
        <w:rPr>
          <w:rFonts w:ascii="Arial" w:hAnsi="Arial" w:eastAsia="宋体" w:cs="Arial"/>
          <w:color w:val="000000" w:themeColor="text1"/>
          <w:shd w:val="clear" w:color="auto" w:fill="FFFFFF"/>
        </w:rPr>
        <w:t>该项目预算资金主要用</w:t>
      </w:r>
      <w:r>
        <w:rPr>
          <w:rFonts w:hint="eastAsia" w:ascii="Arial" w:hAnsi="Arial" w:eastAsia="宋体" w:cs="Arial"/>
          <w:color w:val="000000" w:themeColor="text1"/>
          <w:shd w:val="clear" w:color="auto" w:fill="FFFFFF"/>
        </w:rPr>
        <w:t>办公费、印刷费、水费、电费、差旅费、会议费、公务接待费等</w:t>
      </w:r>
      <w:r>
        <w:rPr>
          <w:rFonts w:ascii="Arial" w:hAnsi="Arial" w:eastAsia="宋体" w:cs="Arial"/>
          <w:color w:val="000000" w:themeColor="text1"/>
          <w:shd w:val="clear" w:color="auto" w:fill="FFFFFF"/>
        </w:rPr>
        <w:t>。</w:t>
      </w:r>
    </w:p>
    <w:p>
      <w:pPr>
        <w:pStyle w:val="4"/>
        <w:widowControl/>
        <w:spacing w:before="150" w:beforeAutospacing="0" w:after="150" w:afterAutospacing="0" w:line="460" w:lineRule="exact"/>
        <w:ind w:firstLine="420"/>
        <w:rPr>
          <w:rFonts w:ascii="Arial" w:hAnsi="Arial" w:eastAsia="宋体" w:cs="Arial"/>
          <w:color w:val="000000" w:themeColor="text1"/>
          <w:shd w:val="clear" w:color="auto" w:fill="FFFFFF"/>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4"/>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4"/>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4"/>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4"/>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4"/>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4"/>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widowControl/>
        <w:spacing w:before="150" w:beforeAutospacing="0" w:after="150" w:afterAutospacing="0" w:line="460" w:lineRule="exact"/>
        <w:ind w:firstLine="420"/>
        <w:rPr>
          <w:rFonts w:ascii="Arial" w:hAnsi="Arial" w:cs="Arial"/>
        </w:rPr>
      </w:pPr>
      <w:r>
        <w:rPr>
          <w:rFonts w:ascii="Arial" w:hAnsi="Arial" w:cs="Arial"/>
        </w:rPr>
        <w:t>十二、</w:t>
      </w:r>
      <w:r>
        <w:rPr>
          <w:rFonts w:ascii="Arial" w:hAnsi="Arial" w:cs="Arial"/>
          <w:color w:val="FF0000"/>
        </w:rPr>
        <w:t>.</w:t>
      </w:r>
      <w:r>
        <w:rPr>
          <w:rFonts w:hint="eastAsia" w:ascii="Arial" w:hAnsi="Arial" w:cs="Arial"/>
        </w:rPr>
        <w:t>其他文化和旅游支出：反映其他用于文化和旅游方面的其他支出。</w:t>
      </w:r>
    </w:p>
    <w:p>
      <w:pPr>
        <w:pStyle w:val="4"/>
        <w:widowControl/>
        <w:spacing w:before="150" w:beforeAutospacing="0" w:after="150" w:afterAutospacing="0" w:line="460" w:lineRule="exact"/>
        <w:ind w:firstLine="420"/>
        <w:rPr>
          <w:rFonts w:ascii="Arial" w:hAnsi="Arial" w:cs="Arial"/>
          <w:color w:val="FF0000"/>
        </w:rPr>
      </w:pPr>
      <w:r>
        <w:rPr>
          <w:rFonts w:hint="eastAsia" w:ascii="Arial" w:hAnsi="Arial" w:cs="Arial"/>
        </w:rPr>
        <w:t>十三、博物馆：反映文物系统及其他部门所属博物馆、纪念馆的支出。</w:t>
      </w:r>
    </w:p>
    <w:p>
      <w:pPr>
        <w:pStyle w:val="4"/>
        <w:widowControl/>
        <w:spacing w:line="460" w:lineRule="exact"/>
      </w:pPr>
      <w:r>
        <w:t>​</w:t>
      </w:r>
    </w:p>
    <w:p>
      <w:pPr>
        <w:spacing w:line="460" w:lineRule="exact"/>
        <w:rPr>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6BA7B"/>
    <w:multiLevelType w:val="singleLevel"/>
    <w:tmpl w:val="E656BA7B"/>
    <w:lvl w:ilvl="0" w:tentative="0">
      <w:start w:val="4"/>
      <w:numFmt w:val="chineseCounting"/>
      <w:suff w:val="nothing"/>
      <w:lvlText w:val="%1、"/>
      <w:lvlJc w:val="left"/>
      <w:pPr>
        <w:ind w:left="150"/>
      </w:pPr>
      <w:rPr>
        <w:rFonts w:hint="eastAsia"/>
      </w:rPr>
    </w:lvl>
  </w:abstractNum>
  <w:abstractNum w:abstractNumId="1">
    <w:nsid w:val="EF7052E5"/>
    <w:multiLevelType w:val="singleLevel"/>
    <w:tmpl w:val="EF7052E5"/>
    <w:lvl w:ilvl="0" w:tentative="0">
      <w:start w:val="5"/>
      <w:numFmt w:val="decimal"/>
      <w:suff w:val="nothing"/>
      <w:lvlText w:val="（%1）"/>
      <w:lvlJc w:val="left"/>
    </w:lvl>
  </w:abstractNum>
  <w:abstractNum w:abstractNumId="2">
    <w:nsid w:val="48FE74E7"/>
    <w:multiLevelType w:val="singleLevel"/>
    <w:tmpl w:val="48FE74E7"/>
    <w:lvl w:ilvl="0" w:tentative="0">
      <w:start w:val="1"/>
      <w:numFmt w:val="chineseCounting"/>
      <w:suff w:val="nothing"/>
      <w:lvlText w:val="%1、"/>
      <w:lvlJc w:val="left"/>
      <w:rPr>
        <w:rFonts w:hint="eastAsia"/>
      </w:rPr>
    </w:lvl>
  </w:abstractNum>
  <w:abstractNum w:abstractNumId="3">
    <w:nsid w:val="556BB01F"/>
    <w:multiLevelType w:val="singleLevel"/>
    <w:tmpl w:val="556BB01F"/>
    <w:lvl w:ilvl="0" w:tentative="0">
      <w:start w:val="3"/>
      <w:numFmt w:val="chineseCounting"/>
      <w:lvlText w:val="(%1)"/>
      <w:lvlJc w:val="left"/>
      <w:pPr>
        <w:tabs>
          <w:tab w:val="left" w:pos="312"/>
        </w:tabs>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yMWNmZDkzNmFmNDdkMjYzYTg0YjVhZmE1YjI1MTQifQ=="/>
  </w:docVars>
  <w:rsids>
    <w:rsidRoot w:val="255B155F"/>
    <w:rsid w:val="002E7134"/>
    <w:rsid w:val="00DA0546"/>
    <w:rsid w:val="00F84029"/>
    <w:rsid w:val="022C2E9B"/>
    <w:rsid w:val="04C75BAA"/>
    <w:rsid w:val="068707C4"/>
    <w:rsid w:val="0E2F75DE"/>
    <w:rsid w:val="117758BA"/>
    <w:rsid w:val="14283848"/>
    <w:rsid w:val="14BD6FE9"/>
    <w:rsid w:val="190E24E6"/>
    <w:rsid w:val="1E012619"/>
    <w:rsid w:val="1E663EFC"/>
    <w:rsid w:val="1EE052F8"/>
    <w:rsid w:val="245302E9"/>
    <w:rsid w:val="251D5F8B"/>
    <w:rsid w:val="255B155F"/>
    <w:rsid w:val="258F5248"/>
    <w:rsid w:val="2C9500FB"/>
    <w:rsid w:val="2EA4771D"/>
    <w:rsid w:val="31C11B09"/>
    <w:rsid w:val="44925D2B"/>
    <w:rsid w:val="45344EFF"/>
    <w:rsid w:val="45E561F9"/>
    <w:rsid w:val="4CA426C4"/>
    <w:rsid w:val="4CBD1C7E"/>
    <w:rsid w:val="4E1A50C0"/>
    <w:rsid w:val="57882E88"/>
    <w:rsid w:val="57FB70F5"/>
    <w:rsid w:val="59D423B5"/>
    <w:rsid w:val="5A7E4E87"/>
    <w:rsid w:val="5A9D78BE"/>
    <w:rsid w:val="5BB656BB"/>
    <w:rsid w:val="63734727"/>
    <w:rsid w:val="68FA68F9"/>
    <w:rsid w:val="72ED672C"/>
    <w:rsid w:val="76594C7B"/>
    <w:rsid w:val="7A5A4353"/>
    <w:rsid w:val="7BA93249"/>
    <w:rsid w:val="7BF00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9</Pages>
  <Words>4811</Words>
  <Characters>5485</Characters>
  <Lines>40</Lines>
  <Paragraphs>11</Paragraphs>
  <TotalTime>0</TotalTime>
  <ScaleCrop>false</ScaleCrop>
  <LinksUpToDate>false</LinksUpToDate>
  <CharactersWithSpaces>5538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dcterms:modified xsi:type="dcterms:W3CDTF">2023-06-27T02:20:38Z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619349897C534A1B809FBD87322FD890_13</vt:lpwstr>
  </property>
</Properties>
</file>