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ind w:firstLine="420"/>
        <w:jc w:val="center"/>
        <w:rPr>
          <w:rFonts w:ascii="宋体" w:hAnsi="宋体" w:eastAsia="宋体" w:cs="宋体"/>
        </w:rPr>
      </w:pPr>
      <w:r>
        <w:rPr>
          <w:rFonts w:hint="eastAsia" w:ascii="宋体" w:hAnsi="宋体" w:eastAsia="宋体" w:cs="宋体"/>
        </w:rPr>
        <w:t>全州县公安局交通管理大队</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274" w:beforeAutospacing="0" w:after="274" w:afterAutospacing="0" w:line="360" w:lineRule="auto"/>
        <w:ind w:firstLine="480" w:firstLineChars="200"/>
        <w:rPr>
          <w:rFonts w:ascii="宋体" w:hAnsi="宋体" w:eastAsia="宋体" w:cs="宋体"/>
        </w:rPr>
      </w:pPr>
      <w:r>
        <w:rPr>
          <w:rFonts w:hint="eastAsia" w:ascii="宋体" w:hAnsi="宋体" w:eastAsia="宋体" w:cs="宋体"/>
        </w:rPr>
        <w:t> 一、主要职能职责</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1、依法查处道路交通违法行为和交通事故；维护城乡道路交通秩序和公路治安秩序；开展机动车辆安全检验、牌证发放和驾驶员考核发证工作.。</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2、开展道路交通安全宣传 教育活动；道路交通管理科研工作；参与城市建设、道路交通和安全设施的规划。</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3、组织宣传交通法规，依法管理道路交通秩序，管理车辆、驾驶员和行人，教育交通 违章者，勘查处理交通事故，以维护正常的交通秩序，保证交通运输的畅通与安全。</w:t>
      </w:r>
    </w:p>
    <w:p>
      <w:pPr>
        <w:spacing w:line="360" w:lineRule="auto"/>
        <w:ind w:firstLine="420" w:firstLineChars="200"/>
        <w:rPr>
          <w:rFonts w:ascii="宋体" w:hAnsi="宋体" w:eastAsia="宋体" w:cs="宋体"/>
          <w:sz w:val="24"/>
          <w:szCs w:val="24"/>
        </w:rPr>
      </w:pPr>
      <w:r>
        <w:rPr>
          <w:rFonts w:hint="eastAsia" w:ascii="宋体" w:hAnsi="宋体" w:eastAsia="宋体" w:cs="宋体"/>
        </w:rPr>
        <w:t>二、机构设置（本级和二层单位构成）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2022年我单位部门预算编制单位共 1个，具体如下：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1、行政单位 1个，即：全州县公安局交通管理大队，设7个内设机构：大队办公室、车管所、秩序中队、事故中队、直属一中队、直属二中队、直属三中队。</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2、全额拨款行政单位 1 个，即：全州县公安局交通管理大队</w:t>
      </w:r>
    </w:p>
    <w:p>
      <w:pPr>
        <w:pStyle w:val="4"/>
        <w:widowControl/>
        <w:spacing w:afterAutospacing="0" w:line="360" w:lineRule="auto"/>
        <w:rPr>
          <w:rFonts w:ascii="宋体" w:hAnsi="宋体" w:eastAsia="宋体" w:cs="宋体"/>
          <w:sz w:val="19"/>
          <w:szCs w:val="19"/>
        </w:rPr>
      </w:pPr>
      <w:r>
        <w:rPr>
          <w:rFonts w:hint="eastAsia" w:ascii="宋体" w:hAnsi="宋体" w:eastAsia="宋体" w:cs="宋体"/>
        </w:rPr>
        <w:t>  三、编制现状及人员构成（本级和二层单位）</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全州县公安局交通管理大队部门编制人数为 32人，其中：行政编制（含参公单位）  32 人。</w:t>
      </w:r>
    </w:p>
    <w:p>
      <w:pPr>
        <w:pStyle w:val="4"/>
        <w:widowControl/>
        <w:spacing w:before="150" w:beforeAutospacing="0" w:after="150" w:afterAutospacing="0" w:line="460" w:lineRule="exact"/>
        <w:ind w:firstLine="420"/>
        <w:rPr>
          <w:rFonts w:ascii="宋体" w:hAnsi="宋体" w:eastAsia="宋体" w:cs="宋体"/>
        </w:rPr>
      </w:pPr>
      <w:r>
        <w:rPr>
          <w:rFonts w:hint="eastAsia" w:ascii="宋体" w:hAnsi="宋体" w:eastAsia="宋体" w:cs="宋体"/>
        </w:rPr>
        <w:t>编内在职 32人，其中：行政在职（含参公单位） 32  人。离退休人员13人，其中：离休人员 0 人，退休人员 13 人。 </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1、依法查处道路交通违法行为和交通事故；维护城乡道路交通秩序和公路治安秩序；开展机动车辆安全检验、牌证发放和驾驶员考核发证工作。</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2、开展道路交通安全宣传 教育活动；道路交通管理科研工作；参与城市建设、道路交通和安全设施的规划。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3、组织宣传交通法规，依法管理道路交通秩序，管理车辆、驾驶员和行人，教育交通 违章者，勘查处理交通事故，以维护正常的交通秩序，保证交通运输的畅通与安全。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1063.81</w:t>
      </w:r>
      <w:r>
        <w:rPr>
          <w:rFonts w:ascii="Arial" w:hAnsi="Arial" w:cs="Arial"/>
        </w:rPr>
        <w:t>万元,同比增加</w:t>
      </w:r>
      <w:r>
        <w:rPr>
          <w:rFonts w:hint="eastAsia" w:ascii="Arial" w:hAnsi="Arial" w:cs="Arial"/>
        </w:rPr>
        <w:t>390.50</w:t>
      </w:r>
      <w:r>
        <w:rPr>
          <w:rFonts w:ascii="Arial" w:hAnsi="Arial" w:cs="Arial"/>
        </w:rPr>
        <w:t>万元, 增长</w:t>
      </w:r>
      <w:r>
        <w:rPr>
          <w:rFonts w:hint="eastAsia" w:ascii="Arial" w:hAnsi="Arial" w:cs="Arial"/>
        </w:rPr>
        <w:t>57.99</w:t>
      </w:r>
      <w:r>
        <w:rPr>
          <w:rFonts w:ascii="Arial" w:hAnsi="Arial" w:cs="Arial"/>
        </w:rPr>
        <w:t>%,其中:一般公共预算拨款 </w:t>
      </w:r>
      <w:r>
        <w:rPr>
          <w:rFonts w:hint="eastAsia" w:ascii="Arial" w:hAnsi="Arial" w:cs="Arial"/>
        </w:rPr>
        <w:t>703.52</w:t>
      </w:r>
      <w:r>
        <w:rPr>
          <w:rFonts w:ascii="Arial" w:hAnsi="Arial" w:cs="Arial"/>
        </w:rPr>
        <w:t>万元,占收入总预算</w:t>
      </w:r>
      <w:r>
        <w:rPr>
          <w:rFonts w:hint="eastAsia" w:ascii="Arial" w:hAnsi="Arial" w:cs="Arial"/>
        </w:rPr>
        <w:t>66.13</w:t>
      </w:r>
      <w:r>
        <w:rPr>
          <w:rFonts w:ascii="Arial" w:hAnsi="Arial" w:cs="Arial"/>
        </w:rPr>
        <w:t>%,同比增加</w:t>
      </w:r>
      <w:r>
        <w:rPr>
          <w:rFonts w:hint="eastAsia" w:ascii="Arial" w:hAnsi="Arial" w:cs="Arial"/>
        </w:rPr>
        <w:t>30.21</w:t>
      </w:r>
      <w:r>
        <w:rPr>
          <w:rFonts w:ascii="Arial" w:hAnsi="Arial" w:cs="Arial"/>
        </w:rPr>
        <w:t>万元,增长</w:t>
      </w:r>
      <w:r>
        <w:rPr>
          <w:rFonts w:hint="eastAsia" w:ascii="Arial" w:hAnsi="Arial" w:cs="Arial"/>
        </w:rPr>
        <w:t>4.48</w:t>
      </w:r>
      <w:r>
        <w:rPr>
          <w:rFonts w:ascii="Arial" w:hAnsi="Arial" w:cs="Arial"/>
        </w:rPr>
        <w:t xml:space="preserve"> %;政府性基金拨款 </w:t>
      </w:r>
      <w:r>
        <w:rPr>
          <w:rFonts w:hint="eastAsia" w:ascii="Arial" w:hAnsi="Arial" w:cs="Arial"/>
        </w:rPr>
        <w:t>0</w:t>
      </w:r>
      <w:r>
        <w:rPr>
          <w:rFonts w:ascii="Arial" w:hAnsi="Arial" w:cs="Arial"/>
        </w:rPr>
        <w:t>万元,占收入总预算</w:t>
      </w:r>
      <w:r>
        <w:rPr>
          <w:rFonts w:hint="eastAsia" w:ascii="Arial" w:hAnsi="Arial" w:cs="Arial"/>
        </w:rPr>
        <w:t>0</w:t>
      </w:r>
      <w:r>
        <w:rPr>
          <w:rFonts w:ascii="Arial" w:hAnsi="Arial" w:cs="Arial"/>
        </w:rPr>
        <w:t xml:space="preserve"> %,上年结转结余</w:t>
      </w:r>
      <w:r>
        <w:rPr>
          <w:rFonts w:hint="eastAsia" w:ascii="Arial" w:hAnsi="Arial" w:cs="Arial"/>
        </w:rPr>
        <w:t>360.28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人员保险基数增加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1063.81</w:t>
      </w:r>
      <w:r>
        <w:rPr>
          <w:rFonts w:ascii="Arial" w:hAnsi="Arial" w:cs="Arial"/>
        </w:rPr>
        <w:t>万元,同比增加</w:t>
      </w:r>
      <w:r>
        <w:rPr>
          <w:rFonts w:hint="eastAsia" w:ascii="Arial" w:hAnsi="Arial" w:cs="Arial"/>
        </w:rPr>
        <w:t>390.50</w:t>
      </w:r>
      <w:r>
        <w:rPr>
          <w:rFonts w:ascii="Arial" w:hAnsi="Arial" w:cs="Arial"/>
        </w:rPr>
        <w:t>万元,增长</w:t>
      </w:r>
      <w:r>
        <w:rPr>
          <w:rFonts w:hint="eastAsia" w:ascii="Arial" w:hAnsi="Arial" w:cs="Arial"/>
        </w:rPr>
        <w:t>57.99</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宋体" w:hAnsi="宋体" w:eastAsia="宋体" w:cs="宋体"/>
        </w:rPr>
        <w:t>四</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w:t>
      </w:r>
      <w:r>
        <w:rPr>
          <w:rFonts w:hint="eastAsia" w:ascii="宋体" w:hAnsi="宋体" w:eastAsia="宋体" w:cs="宋体"/>
        </w:rPr>
        <w:t xml:space="preserve"> 公共安全</w:t>
      </w:r>
      <w:r>
        <w:rPr>
          <w:rFonts w:ascii="Arial" w:hAnsi="Arial" w:cs="Arial"/>
        </w:rPr>
        <w:t xml:space="preserve">支出 </w:t>
      </w:r>
      <w:r>
        <w:rPr>
          <w:rFonts w:hint="eastAsia" w:ascii="Arial" w:hAnsi="Arial" w:cs="Arial"/>
        </w:rPr>
        <w:t>886.58</w:t>
      </w:r>
      <w:r>
        <w:rPr>
          <w:rFonts w:ascii="Arial" w:hAnsi="Arial" w:cs="Arial"/>
        </w:rPr>
        <w:t>万元,占支出总预算</w:t>
      </w:r>
      <w:r>
        <w:rPr>
          <w:rFonts w:hint="eastAsia" w:ascii="Arial" w:hAnsi="Arial" w:cs="Arial"/>
        </w:rPr>
        <w:t>83.34</w:t>
      </w:r>
      <w:r>
        <w:rPr>
          <w:rFonts w:ascii="Arial" w:hAnsi="Arial" w:cs="Arial"/>
        </w:rPr>
        <w:t xml:space="preserve"> %,同比增加</w:t>
      </w:r>
      <w:r>
        <w:rPr>
          <w:rFonts w:hint="eastAsia" w:ascii="Arial" w:hAnsi="Arial" w:cs="Arial"/>
        </w:rPr>
        <w:t>380.86</w:t>
      </w:r>
      <w:r>
        <w:rPr>
          <w:rFonts w:ascii="Arial" w:hAnsi="Arial" w:cs="Arial"/>
        </w:rPr>
        <w:t>万元,增长</w:t>
      </w:r>
      <w:r>
        <w:rPr>
          <w:rFonts w:hint="eastAsia" w:ascii="Arial" w:hAnsi="Arial" w:cs="Arial"/>
        </w:rPr>
        <w:t>75.31</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支出94.39</w:t>
      </w:r>
      <w:r>
        <w:rPr>
          <w:rFonts w:ascii="Arial" w:hAnsi="Arial" w:cs="Arial"/>
        </w:rPr>
        <w:t>万元,占支出总预算</w:t>
      </w:r>
      <w:r>
        <w:rPr>
          <w:rFonts w:hint="eastAsia" w:ascii="Arial" w:hAnsi="Arial" w:cs="Arial"/>
        </w:rPr>
        <w:t>8.87</w:t>
      </w:r>
      <w:r>
        <w:rPr>
          <w:rFonts w:ascii="Arial" w:hAnsi="Arial" w:cs="Arial"/>
        </w:rPr>
        <w:t xml:space="preserve"> %,同比增加</w:t>
      </w:r>
      <w:r>
        <w:rPr>
          <w:rFonts w:hint="eastAsia" w:ascii="Arial" w:hAnsi="Arial" w:cs="Arial"/>
        </w:rPr>
        <w:t>5.4</w:t>
      </w:r>
      <w:r>
        <w:rPr>
          <w:rFonts w:ascii="Arial" w:hAnsi="Arial" w:cs="Arial"/>
        </w:rPr>
        <w:t>万元,增长</w:t>
      </w:r>
      <w:r>
        <w:rPr>
          <w:rFonts w:hint="eastAsia" w:ascii="Arial" w:hAnsi="Arial" w:cs="Arial"/>
        </w:rPr>
        <w:t>60.06</w:t>
      </w:r>
      <w:r>
        <w:rPr>
          <w:rFonts w:ascii="Arial" w:hAnsi="Arial" w:cs="Arial"/>
        </w:rPr>
        <w:t> %;</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健康支出36.15</w:t>
      </w:r>
      <w:r>
        <w:rPr>
          <w:rFonts w:ascii="Arial" w:hAnsi="Arial" w:cs="Arial"/>
        </w:rPr>
        <w:t>万元,占支出总预算</w:t>
      </w:r>
      <w:r>
        <w:rPr>
          <w:rFonts w:hint="eastAsia" w:ascii="Arial" w:hAnsi="Arial" w:cs="Arial"/>
        </w:rPr>
        <w:t>3.39</w:t>
      </w:r>
      <w:r>
        <w:rPr>
          <w:rFonts w:ascii="Arial" w:hAnsi="Arial" w:cs="Arial"/>
        </w:rPr>
        <w:t>%,同比增加</w:t>
      </w:r>
      <w:r>
        <w:rPr>
          <w:rFonts w:hint="eastAsia" w:ascii="Arial" w:hAnsi="Arial" w:cs="Arial"/>
        </w:rPr>
        <w:t>2.04</w:t>
      </w:r>
      <w:r>
        <w:rPr>
          <w:rFonts w:ascii="Arial" w:hAnsi="Arial" w:cs="Arial"/>
        </w:rPr>
        <w:t>万元,增长</w:t>
      </w:r>
      <w:r>
        <w:rPr>
          <w:rFonts w:hint="eastAsia" w:ascii="Arial" w:hAnsi="Arial" w:cs="Arial"/>
        </w:rPr>
        <w:t>5.98</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 xml:space="preserve"> (</w:t>
      </w:r>
      <w:r>
        <w:rPr>
          <w:rFonts w:hint="eastAsia" w:ascii="Arial" w:hAnsi="Arial" w:cs="Arial"/>
        </w:rPr>
        <w:t>4</w:t>
      </w:r>
      <w:r>
        <w:rPr>
          <w:rFonts w:ascii="Arial" w:hAnsi="Arial" w:cs="Arial"/>
        </w:rPr>
        <w:t>)住房保障支出</w:t>
      </w:r>
      <w:r>
        <w:rPr>
          <w:rFonts w:hint="eastAsia" w:ascii="Arial" w:hAnsi="Arial" w:cs="Arial"/>
        </w:rPr>
        <w:t>46.69</w:t>
      </w:r>
      <w:r>
        <w:rPr>
          <w:rFonts w:ascii="Arial" w:hAnsi="Arial" w:cs="Arial"/>
        </w:rPr>
        <w:t>万元,占支出总预算</w:t>
      </w:r>
      <w:r>
        <w:rPr>
          <w:rFonts w:hint="eastAsia" w:ascii="Arial" w:hAnsi="Arial" w:cs="Arial"/>
        </w:rPr>
        <w:t>4.38</w:t>
      </w:r>
      <w:r>
        <w:rPr>
          <w:rFonts w:ascii="Arial" w:hAnsi="Arial" w:cs="Arial"/>
        </w:rPr>
        <w:t>%,同比增加</w:t>
      </w:r>
      <w:r>
        <w:rPr>
          <w:rFonts w:hint="eastAsia" w:ascii="Arial" w:hAnsi="Arial" w:cs="Arial"/>
        </w:rPr>
        <w:t>2.2</w:t>
      </w:r>
      <w:r>
        <w:rPr>
          <w:rFonts w:ascii="Arial" w:hAnsi="Arial" w:cs="Arial"/>
        </w:rPr>
        <w:t>万元,增长</w:t>
      </w:r>
      <w:r>
        <w:rPr>
          <w:rFonts w:hint="eastAsia" w:ascii="Arial" w:hAnsi="Arial" w:cs="Arial"/>
        </w:rPr>
        <w:t>4.94</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1063.81</w:t>
      </w:r>
      <w:r>
        <w:rPr>
          <w:rFonts w:ascii="Arial" w:hAnsi="Arial" w:cs="Arial"/>
        </w:rPr>
        <w:t>万元,同比增加</w:t>
      </w:r>
      <w:r>
        <w:rPr>
          <w:rFonts w:hint="eastAsia" w:ascii="Arial" w:hAnsi="Arial" w:cs="Arial"/>
        </w:rPr>
        <w:t>390.50</w:t>
      </w:r>
      <w:r>
        <w:rPr>
          <w:rFonts w:ascii="Arial" w:hAnsi="Arial" w:cs="Arial"/>
        </w:rPr>
        <w:t>万元,增长</w:t>
      </w:r>
      <w:r>
        <w:rPr>
          <w:rFonts w:hint="eastAsia" w:ascii="Arial" w:hAnsi="Arial" w:cs="Arial"/>
        </w:rPr>
        <w:t xml:space="preserve">57.99 </w:t>
      </w:r>
      <w:r>
        <w:rPr>
          <w:rFonts w:ascii="Arial" w:hAnsi="Arial" w:cs="Arial"/>
        </w:rPr>
        <w:t>%。其中:本年收入</w:t>
      </w:r>
      <w:r>
        <w:rPr>
          <w:rFonts w:hint="eastAsia" w:ascii="Arial" w:hAnsi="Arial" w:cs="Arial"/>
        </w:rPr>
        <w:t>703.52</w:t>
      </w:r>
      <w:r>
        <w:rPr>
          <w:rFonts w:ascii="Arial" w:hAnsi="Arial" w:cs="Arial"/>
        </w:rPr>
        <w:t>万元,上年结转结余</w:t>
      </w:r>
      <w:r>
        <w:rPr>
          <w:rFonts w:hint="eastAsia" w:ascii="Arial" w:hAnsi="Arial" w:cs="Arial"/>
        </w:rPr>
        <w:t>360.28</w:t>
      </w:r>
      <w:r>
        <w:rPr>
          <w:rFonts w:ascii="Arial" w:hAnsi="Arial" w:cs="Arial"/>
        </w:rPr>
        <w:t>万元。一般公共预算</w:t>
      </w:r>
      <w:r>
        <w:rPr>
          <w:rFonts w:hint="eastAsia" w:ascii="Arial" w:hAnsi="Arial" w:cs="Arial"/>
        </w:rPr>
        <w:t>703.52</w:t>
      </w:r>
      <w:r>
        <w:rPr>
          <w:rFonts w:ascii="Arial" w:hAnsi="Arial" w:cs="Arial"/>
        </w:rPr>
        <w:t>万元,占收入总预算</w:t>
      </w:r>
      <w:r>
        <w:rPr>
          <w:rFonts w:hint="eastAsia" w:ascii="Arial" w:hAnsi="Arial" w:cs="Arial"/>
        </w:rPr>
        <w:t>66.13</w:t>
      </w:r>
      <w:r>
        <w:rPr>
          <w:rFonts w:ascii="Arial" w:hAnsi="Arial" w:cs="Arial"/>
        </w:rPr>
        <w:t>%,同比增加</w:t>
      </w:r>
      <w:r>
        <w:rPr>
          <w:rFonts w:hint="eastAsia" w:ascii="Arial" w:hAnsi="Arial" w:cs="Arial"/>
        </w:rPr>
        <w:t>30.21</w:t>
      </w:r>
      <w:r>
        <w:rPr>
          <w:rFonts w:ascii="Arial" w:hAnsi="Arial" w:cs="Arial"/>
        </w:rPr>
        <w:t>万元,增长</w:t>
      </w:r>
      <w:r>
        <w:rPr>
          <w:rFonts w:hint="eastAsia" w:ascii="Arial" w:hAnsi="Arial" w:cs="Arial"/>
        </w:rPr>
        <w:t>4.48</w:t>
      </w:r>
      <w:r>
        <w:rPr>
          <w:rFonts w:ascii="Arial" w:hAnsi="Arial" w:cs="Arial"/>
        </w:rPr>
        <w:t>%,增加的原因</w:t>
      </w:r>
      <w:r>
        <w:rPr>
          <w:rFonts w:hint="eastAsia" w:ascii="Arial" w:hAnsi="Arial" w:cs="Arial"/>
        </w:rPr>
        <w:t>人员保险基数增加。</w:t>
      </w:r>
    </w:p>
    <w:p>
      <w:pPr>
        <w:pStyle w:val="4"/>
        <w:widowControl/>
        <w:spacing w:before="150" w:beforeAutospacing="0" w:after="150" w:afterAutospacing="0" w:line="460" w:lineRule="exact"/>
        <w:ind w:firstLine="420"/>
        <w:rPr>
          <w:rFonts w:ascii="Arial" w:hAnsi="Arial" w:cs="Arial"/>
        </w:rPr>
      </w:pPr>
      <w:r>
        <w:rPr>
          <w:rFonts w:ascii="Arial" w:hAnsi="Arial" w:cs="Arial"/>
        </w:rPr>
        <w:t>政府性基金预算</w:t>
      </w:r>
      <w:r>
        <w:rPr>
          <w:rFonts w:hint="eastAsia" w:ascii="Arial" w:hAnsi="Arial" w:cs="Arial"/>
        </w:rPr>
        <w:t>0</w:t>
      </w:r>
      <w:r>
        <w:rPr>
          <w:rFonts w:ascii="Arial" w:hAnsi="Arial" w:cs="Arial"/>
        </w:rPr>
        <w:t>万元,占收入总预算</w:t>
      </w:r>
      <w:r>
        <w:rPr>
          <w:rFonts w:hint="eastAsia" w:ascii="Arial" w:hAnsi="Arial" w:cs="Arial"/>
        </w:rPr>
        <w:t xml:space="preserve"> 0</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1063.81</w:t>
      </w:r>
      <w:r>
        <w:rPr>
          <w:rFonts w:ascii="Arial" w:hAnsi="Arial" w:cs="Arial"/>
        </w:rPr>
        <w:t>万元,同比增加</w:t>
      </w:r>
      <w:r>
        <w:rPr>
          <w:rFonts w:hint="eastAsia" w:ascii="Arial" w:hAnsi="Arial" w:cs="Arial"/>
        </w:rPr>
        <w:t>390.50</w:t>
      </w:r>
      <w:r>
        <w:rPr>
          <w:rFonts w:ascii="Arial" w:hAnsi="Arial" w:cs="Arial"/>
        </w:rPr>
        <w:t>万元, 增长</w:t>
      </w:r>
      <w:r>
        <w:rPr>
          <w:rFonts w:hint="eastAsia" w:ascii="Arial" w:hAnsi="Arial" w:cs="Arial"/>
        </w:rPr>
        <w:t>57.99</w:t>
      </w:r>
      <w:r>
        <w:rPr>
          <w:rFonts w:ascii="Arial" w:hAnsi="Arial" w:cs="Arial"/>
        </w:rPr>
        <w:t>%。其中:基本支出</w:t>
      </w:r>
      <w:r>
        <w:rPr>
          <w:rFonts w:hint="eastAsia" w:ascii="Arial" w:hAnsi="Arial" w:cs="Arial"/>
        </w:rPr>
        <w:t xml:space="preserve"> 1063.81</w:t>
      </w:r>
      <w:r>
        <w:rPr>
          <w:rFonts w:ascii="Arial" w:hAnsi="Arial" w:cs="Arial"/>
        </w:rPr>
        <w:t>万元,占总支出预算</w:t>
      </w:r>
      <w:r>
        <w:rPr>
          <w:rFonts w:hint="eastAsia" w:ascii="Arial" w:hAnsi="Arial" w:cs="Arial"/>
        </w:rPr>
        <w:t>100</w:t>
      </w:r>
      <w:r>
        <w:rPr>
          <w:rFonts w:ascii="Arial" w:hAnsi="Arial" w:cs="Arial"/>
        </w:rPr>
        <w:t>%,同比增加</w:t>
      </w:r>
      <w:r>
        <w:rPr>
          <w:rFonts w:hint="eastAsia" w:ascii="Arial" w:hAnsi="Arial" w:cs="Arial"/>
        </w:rPr>
        <w:t>390.50</w:t>
      </w:r>
      <w:r>
        <w:rPr>
          <w:rFonts w:ascii="Arial" w:hAnsi="Arial" w:cs="Arial"/>
        </w:rPr>
        <w:t>万元,增长</w:t>
      </w:r>
      <w:r>
        <w:rPr>
          <w:rFonts w:hint="eastAsia" w:ascii="Arial" w:hAnsi="Arial" w:cs="Arial"/>
        </w:rPr>
        <w:t>57.99</w:t>
      </w:r>
      <w:r>
        <w:rPr>
          <w:rFonts w:ascii="Arial" w:hAnsi="Arial" w:cs="Arial"/>
        </w:rPr>
        <w:t>%,增加的原因:</w:t>
      </w:r>
      <w:r>
        <w:rPr>
          <w:rFonts w:hint="eastAsia" w:ascii="Arial" w:hAnsi="Arial" w:cs="Arial"/>
        </w:rPr>
        <w:t>人员保险基数增加，有上年结余，</w:t>
      </w:r>
      <w:r>
        <w:rPr>
          <w:rFonts w:ascii="Arial" w:hAnsi="Arial" w:cs="Arial"/>
        </w:rPr>
        <w:t>项目支出</w:t>
      </w:r>
      <w:r>
        <w:rPr>
          <w:rFonts w:hint="eastAsia" w:ascii="Arial" w:hAnsi="Arial" w:cs="Arial"/>
        </w:rPr>
        <w:t>,0</w:t>
      </w:r>
      <w:r>
        <w:rPr>
          <w:rFonts w:ascii="Arial" w:hAnsi="Arial" w:cs="Arial"/>
        </w:rPr>
        <w:t>万元,占总支出预算</w:t>
      </w:r>
      <w:r>
        <w:rPr>
          <w:rFonts w:hint="eastAsia" w:ascii="Arial" w:hAnsi="Arial" w:cs="Arial"/>
        </w:rPr>
        <w:t>0</w:t>
      </w:r>
      <w:r>
        <w:rPr>
          <w:rFonts w:ascii="Arial" w:hAnsi="Arial" w:cs="Arial"/>
        </w:rPr>
        <w:t>%</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703.52</w:t>
      </w:r>
      <w:r>
        <w:rPr>
          <w:rFonts w:ascii="Arial" w:hAnsi="Arial" w:cs="Arial"/>
        </w:rPr>
        <w:t>万元,同比增加</w:t>
      </w:r>
      <w:r>
        <w:rPr>
          <w:rFonts w:hint="eastAsia" w:ascii="Arial" w:hAnsi="Arial" w:cs="Arial"/>
        </w:rPr>
        <w:t>30.21</w:t>
      </w:r>
      <w:r>
        <w:rPr>
          <w:rFonts w:ascii="Arial" w:hAnsi="Arial" w:cs="Arial"/>
        </w:rPr>
        <w:t>万元,增长</w:t>
      </w:r>
      <w:r>
        <w:rPr>
          <w:rFonts w:hint="eastAsia" w:ascii="Arial" w:hAnsi="Arial" w:cs="Arial"/>
        </w:rPr>
        <w:t>4.48</w:t>
      </w:r>
      <w:r>
        <w:rPr>
          <w:rFonts w:ascii="Arial" w:hAnsi="Arial" w:cs="Arial"/>
        </w:rPr>
        <w:t>%,其中:一般公共预算拨款</w:t>
      </w:r>
      <w:r>
        <w:rPr>
          <w:rFonts w:hint="eastAsia" w:ascii="Arial" w:hAnsi="Arial" w:cs="Arial"/>
        </w:rPr>
        <w:t>703.52</w:t>
      </w:r>
      <w:r>
        <w:rPr>
          <w:rFonts w:ascii="Arial" w:hAnsi="Arial" w:cs="Arial"/>
        </w:rPr>
        <w:t>万元, 占收入总预算</w:t>
      </w:r>
      <w:r>
        <w:rPr>
          <w:rFonts w:hint="eastAsia" w:ascii="Arial" w:hAnsi="Arial" w:cs="Arial"/>
        </w:rPr>
        <w:t>100</w:t>
      </w:r>
      <w:r>
        <w:rPr>
          <w:rFonts w:ascii="Arial" w:hAnsi="Arial" w:cs="Arial"/>
        </w:rPr>
        <w:t>%,同比增加</w:t>
      </w:r>
      <w:r>
        <w:rPr>
          <w:rFonts w:hint="eastAsia" w:ascii="Arial" w:hAnsi="Arial" w:cs="Arial"/>
        </w:rPr>
        <w:t>30.21</w:t>
      </w:r>
      <w:r>
        <w:rPr>
          <w:rFonts w:ascii="Arial" w:hAnsi="Arial" w:cs="Arial"/>
        </w:rPr>
        <w:t>万元, 增长</w:t>
      </w:r>
      <w:r>
        <w:rPr>
          <w:rFonts w:hint="eastAsia" w:ascii="Arial" w:hAnsi="Arial" w:cs="Arial"/>
        </w:rPr>
        <w:t>4.48</w:t>
      </w:r>
      <w:r>
        <w:rPr>
          <w:rFonts w:ascii="Arial" w:hAnsi="Arial" w:cs="Arial"/>
        </w:rPr>
        <w:t xml:space="preserve"> %,增加的原因增加的原因:</w:t>
      </w:r>
      <w:r>
        <w:rPr>
          <w:rFonts w:hint="eastAsia" w:ascii="Arial" w:hAnsi="Arial" w:cs="Arial"/>
        </w:rPr>
        <w:t>人员保险基数增加。</w:t>
      </w:r>
      <w:r>
        <w:rPr>
          <w:rFonts w:ascii="Arial" w:hAnsi="Arial" w:cs="Arial"/>
        </w:rPr>
        <w:t>政府性基金拨款 </w:t>
      </w:r>
      <w:r>
        <w:rPr>
          <w:rFonts w:hint="eastAsia" w:ascii="Arial" w:hAnsi="Arial" w:cs="Arial"/>
        </w:rPr>
        <w:t>0</w:t>
      </w:r>
      <w:r>
        <w:rPr>
          <w:rFonts w:ascii="Arial" w:hAnsi="Arial" w:cs="Arial"/>
        </w:rPr>
        <w:t>万元,占收入总预算</w:t>
      </w:r>
      <w:r>
        <w:rPr>
          <w:rFonts w:hint="eastAsia" w:ascii="Arial" w:hAnsi="Arial" w:cs="Arial"/>
        </w:rPr>
        <w:t>0</w:t>
      </w:r>
      <w:r>
        <w:rPr>
          <w:rFonts w:ascii="Arial" w:hAnsi="Arial" w:cs="Arial"/>
        </w:rPr>
        <w:t xml:space="preserve"> %,上年结转结余</w:t>
      </w:r>
      <w:r>
        <w:rPr>
          <w:rFonts w:hint="eastAsia" w:ascii="Arial" w:hAnsi="Arial" w:cs="Arial"/>
        </w:rPr>
        <w:t>360.28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1063.81</w:t>
      </w:r>
      <w:r>
        <w:rPr>
          <w:rFonts w:ascii="Arial" w:hAnsi="Arial" w:cs="Arial"/>
        </w:rPr>
        <w:t>万元,同比增加</w:t>
      </w:r>
      <w:r>
        <w:rPr>
          <w:rFonts w:hint="eastAsia" w:ascii="Arial" w:hAnsi="Arial" w:cs="Arial"/>
        </w:rPr>
        <w:t>390.50</w:t>
      </w:r>
      <w:r>
        <w:rPr>
          <w:rFonts w:ascii="Arial" w:hAnsi="Arial" w:cs="Arial"/>
        </w:rPr>
        <w:t>万元,增长</w:t>
      </w:r>
      <w:r>
        <w:rPr>
          <w:rFonts w:hint="eastAsia" w:ascii="Arial" w:hAnsi="Arial" w:cs="Arial"/>
        </w:rPr>
        <w:t>57.99</w:t>
      </w:r>
      <w:bookmarkStart w:id="0" w:name="_GoBack"/>
      <w:bookmarkEnd w:id="0"/>
      <w:r>
        <w:rPr>
          <w:rFonts w:hint="eastAsia" w:ascii="Arial" w:hAnsi="Arial" w:cs="Arial"/>
          <w:lang w:eastAsia="zh-CN"/>
        </w:rPr>
        <w:t>%</w:t>
      </w:r>
      <w:r>
        <w:rPr>
          <w:rFonts w:ascii="Arial" w:hAnsi="Arial" w:cs="Arial"/>
        </w:rPr>
        <w:t>,增加的原因:</w:t>
      </w:r>
      <w:r>
        <w:rPr>
          <w:rFonts w:hint="eastAsia" w:ascii="Arial" w:hAnsi="Arial" w:cs="Arial"/>
        </w:rPr>
        <w:t>人员保险基数增加，有上年结余</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703.52</w:t>
      </w:r>
      <w:r>
        <w:rPr>
          <w:rFonts w:ascii="Arial" w:hAnsi="Arial" w:cs="Arial"/>
        </w:rPr>
        <w:t>万元,, 增加</w:t>
      </w:r>
      <w:r>
        <w:rPr>
          <w:rFonts w:hint="eastAsia" w:ascii="Arial" w:hAnsi="Arial" w:cs="Arial"/>
        </w:rPr>
        <w:t>30.21</w:t>
      </w:r>
      <w:r>
        <w:rPr>
          <w:rFonts w:ascii="Arial" w:hAnsi="Arial" w:cs="Arial"/>
        </w:rPr>
        <w:t>万元,增长</w:t>
      </w:r>
      <w:r>
        <w:rPr>
          <w:rFonts w:hint="eastAsia" w:ascii="Arial" w:hAnsi="Arial" w:cs="Arial"/>
        </w:rPr>
        <w:t>4.48</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宋体" w:hAnsi="宋体" w:eastAsia="宋体" w:cs="宋体"/>
        </w:rPr>
        <w:t>四</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527.67</w:t>
      </w:r>
      <w:r>
        <w:rPr>
          <w:rFonts w:ascii="Arial" w:hAnsi="Arial" w:cs="Arial"/>
        </w:rPr>
        <w:t>万元,占一般公共预算支出预算</w:t>
      </w:r>
      <w:r>
        <w:rPr>
          <w:rFonts w:hint="eastAsia" w:ascii="Arial" w:hAnsi="Arial" w:cs="Arial"/>
        </w:rPr>
        <w:t>75.00</w:t>
      </w:r>
      <w:r>
        <w:rPr>
          <w:rFonts w:ascii="Arial" w:hAnsi="Arial" w:cs="Arial"/>
        </w:rPr>
        <w:t>%,同比增加</w:t>
      </w:r>
      <w:r>
        <w:rPr>
          <w:rFonts w:hint="eastAsia" w:ascii="Arial" w:hAnsi="Arial" w:cs="Arial"/>
        </w:rPr>
        <w:t>21.95</w:t>
      </w:r>
      <w:r>
        <w:rPr>
          <w:rFonts w:ascii="Arial" w:hAnsi="Arial" w:cs="Arial"/>
        </w:rPr>
        <w:t>万元,增长</w:t>
      </w:r>
      <w:r>
        <w:rPr>
          <w:rFonts w:hint="eastAsia" w:ascii="Arial" w:hAnsi="Arial" w:cs="Arial"/>
        </w:rPr>
        <w:t>4.34</w:t>
      </w:r>
      <w:r>
        <w:rPr>
          <w:rFonts w:ascii="Arial" w:hAnsi="Arial" w:cs="Arial"/>
        </w:rPr>
        <w:t>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行政运行</w:t>
      </w:r>
      <w:r>
        <w:rPr>
          <w:rFonts w:hint="eastAsia" w:ascii="Arial" w:hAnsi="Arial" w:cs="Arial"/>
        </w:rPr>
        <w:t>431.67</w:t>
      </w:r>
      <w:r>
        <w:rPr>
          <w:rFonts w:ascii="Arial" w:hAnsi="Arial" w:cs="Arial"/>
        </w:rPr>
        <w:t>万元,同比增加</w:t>
      </w:r>
      <w:r>
        <w:rPr>
          <w:rFonts w:hint="eastAsia" w:ascii="Arial" w:hAnsi="Arial" w:cs="Arial"/>
        </w:rPr>
        <w:t>21.95</w:t>
      </w:r>
      <w:r>
        <w:rPr>
          <w:rFonts w:ascii="Arial" w:hAnsi="Arial" w:cs="Arial"/>
        </w:rPr>
        <w:t>万元,增长</w:t>
      </w:r>
      <w:r>
        <w:rPr>
          <w:rFonts w:hint="eastAsia" w:ascii="Arial" w:hAnsi="Arial" w:cs="Arial"/>
        </w:rPr>
        <w:t>1.22</w:t>
      </w:r>
      <w:r>
        <w:rPr>
          <w:rFonts w:ascii="Arial" w:hAnsi="Arial" w:cs="Arial"/>
        </w:rPr>
        <w:t>%,全部是基本支出预算。主要用于</w:t>
      </w:r>
      <w:r>
        <w:rPr>
          <w:rFonts w:hint="eastAsia" w:ascii="宋体" w:hAnsi="宋体" w:eastAsia="宋体" w:cs="宋体"/>
        </w:rPr>
        <w:t>在职民警的工资，公务交通补贴，遗属补助，第十三个月工资，乡镇补贴</w:t>
      </w:r>
      <w:r>
        <w:rPr>
          <w:rFonts w:ascii="Arial" w:hAnsi="Arial" w:cs="Arial"/>
        </w:rPr>
        <w:t>,根据国家规定的基本工资和津补贴标准等安排的人员经费支出,按县级公用经费定额标准安排的办公费、印刷费、邮电费、水电费、差旅费等日常公用经费支出。</w:t>
      </w:r>
    </w:p>
    <w:p>
      <w:pPr>
        <w:pStyle w:val="4"/>
        <w:widowControl/>
        <w:spacing w:before="274" w:beforeAutospacing="0" w:after="274" w:afterAutospacing="0" w:line="360" w:lineRule="auto"/>
        <w:ind w:firstLine="480" w:firstLineChars="200"/>
        <w:rPr>
          <w:rFonts w:ascii="宋体" w:hAnsi="宋体" w:eastAsia="宋体" w:cs="宋体"/>
        </w:rPr>
      </w:pPr>
      <w:r>
        <w:rPr>
          <w:rFonts w:hint="eastAsia" w:ascii="宋体" w:hAnsi="宋体" w:eastAsia="宋体" w:cs="宋体"/>
        </w:rPr>
        <w:t>其他公安支出96.00万元，同比增加0万元，增长0%，按县级公用经费定额标准安排的办公费、印刷费、邮电费、水电费、差旅费等日常公用经费支出。</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（2）社会保障和就业支出93.37万元,占一般公共预算支出预算8.77％，同比增加4.38万元，增长4.92％。具体如下：</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机关事业单位基本养老保险缴费支出62.25万元，同比增加2.92万元，增长4.92％，全部是基本支出预算。主要用于单位在职职工养老保险缴费。</w:t>
      </w:r>
    </w:p>
    <w:p>
      <w:pPr>
        <w:pStyle w:val="4"/>
        <w:widowControl/>
        <w:spacing w:beforeAutospacing="0" w:afterAutospacing="0" w:line="360" w:lineRule="auto"/>
        <w:ind w:firstLine="480" w:firstLineChars="200"/>
        <w:rPr>
          <w:rFonts w:ascii="宋体" w:hAnsi="宋体" w:eastAsia="宋体" w:cs="宋体"/>
        </w:rPr>
      </w:pPr>
      <w:r>
        <w:rPr>
          <w:rFonts w:hint="eastAsia" w:ascii="宋体" w:hAnsi="宋体" w:eastAsia="宋体" w:cs="宋体"/>
        </w:rPr>
        <w:t>机关事业单位职业年金的补助支出31.12万元，同比增加1.46万元，增长4.92％，全部是基本支出预算。主要用于单位在职职工职业年金的补助支出。</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（3）卫生健康支出35.79万元,占一般公共预算支出预算3.36 %，同比增加2.42万元，增长7.24％。具体如下：</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行政单位医疗35.79万元，同比增加2.42万元，增长7.25％，全部是基本支出预算。是根据统一规定，按行政机关(含参公单位)在职职工工资总额的一定比例缴纳的基本医疗保险支出。</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(4)住房保障支出46.69万元,占一般公共预算支出预算4.38%，同比增加2.2万元，增长4.94％。具体如下：</w:t>
      </w:r>
    </w:p>
    <w:p>
      <w:pPr>
        <w:pStyle w:val="4"/>
        <w:widowControl/>
        <w:spacing w:before="274" w:beforeAutospacing="0" w:after="274" w:afterAutospacing="0" w:line="360" w:lineRule="auto"/>
        <w:ind w:firstLine="475"/>
        <w:rPr>
          <w:rFonts w:ascii="宋体" w:hAnsi="宋体" w:eastAsia="宋体" w:cs="宋体"/>
        </w:rPr>
      </w:pPr>
      <w:r>
        <w:rPr>
          <w:rFonts w:hint="eastAsia" w:ascii="宋体" w:hAnsi="宋体" w:eastAsia="宋体" w:cs="宋体"/>
        </w:rPr>
        <w:t>住房公积金46.69万元，同比增加2.2万元，增长4.94％，全部是基本支出预算。是按照统一规定，为局机关和局属参公单位职工缴纳的住房公积金支出。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703.52</w:t>
      </w:r>
      <w:r>
        <w:rPr>
          <w:rFonts w:ascii="Arial" w:hAnsi="Arial" w:cs="Arial"/>
        </w:rPr>
        <w:t>万元,增加</w:t>
      </w:r>
      <w:r>
        <w:rPr>
          <w:rFonts w:hint="eastAsia" w:ascii="Arial" w:hAnsi="Arial" w:cs="Arial"/>
        </w:rPr>
        <w:t>30.21</w:t>
      </w:r>
      <w:r>
        <w:rPr>
          <w:rFonts w:ascii="Arial" w:hAnsi="Arial" w:cs="Arial"/>
        </w:rPr>
        <w:t>万元,增长</w:t>
      </w:r>
      <w:r>
        <w:rPr>
          <w:rFonts w:hint="eastAsia" w:ascii="Arial" w:hAnsi="Arial" w:cs="Arial"/>
        </w:rPr>
        <w:t>4.48</w:t>
      </w:r>
      <w:r>
        <w:rPr>
          <w:rFonts w:ascii="Arial" w:hAnsi="Arial" w:cs="Arial"/>
        </w:rPr>
        <w:t xml:space="preserve"> %,增长的主要原因</w:t>
      </w:r>
      <w:r>
        <w:rPr>
          <w:rFonts w:hint="eastAsia" w:ascii="Arial" w:hAnsi="Arial" w:cs="Arial"/>
        </w:rPr>
        <w:t>人员保险基数增加</w:t>
      </w:r>
      <w:r>
        <w:rPr>
          <w:rFonts w:ascii="Arial" w:hAnsi="Arial" w:cs="Arial"/>
        </w:rPr>
        <w:t>。其中:工资福利支出</w:t>
      </w:r>
      <w:r>
        <w:rPr>
          <w:rFonts w:hint="eastAsia" w:ascii="Arial" w:hAnsi="Arial" w:cs="Arial"/>
        </w:rPr>
        <w:t>570.54</w:t>
      </w:r>
      <w:r>
        <w:rPr>
          <w:rFonts w:ascii="Arial" w:hAnsi="Arial" w:cs="Arial"/>
        </w:rPr>
        <w:t>万元,增加</w:t>
      </w:r>
      <w:r>
        <w:rPr>
          <w:rFonts w:hint="eastAsia" w:ascii="Arial" w:hAnsi="Arial" w:cs="Arial"/>
        </w:rPr>
        <w:t>28.32</w:t>
      </w:r>
      <w:r>
        <w:rPr>
          <w:rFonts w:ascii="Arial" w:hAnsi="Arial" w:cs="Arial"/>
        </w:rPr>
        <w:t>万元,增长</w:t>
      </w:r>
      <w:r>
        <w:rPr>
          <w:rFonts w:hint="eastAsia" w:ascii="Arial" w:hAnsi="Arial" w:cs="Arial"/>
        </w:rPr>
        <w:t>5.22</w:t>
      </w:r>
      <w:r>
        <w:rPr>
          <w:rFonts w:ascii="Arial" w:hAnsi="Arial" w:cs="Arial"/>
        </w:rPr>
        <w:t>%,增长的主要原因是</w:t>
      </w:r>
      <w:r>
        <w:rPr>
          <w:rFonts w:hint="eastAsia" w:ascii="Arial" w:hAnsi="Arial" w:cs="Arial"/>
        </w:rPr>
        <w:t>人员保险基数增加</w:t>
      </w:r>
      <w:r>
        <w:rPr>
          <w:rFonts w:ascii="Arial" w:hAnsi="Arial" w:cs="Arial"/>
        </w:rPr>
        <w:t>。商品和服务支出</w:t>
      </w:r>
      <w:r>
        <w:rPr>
          <w:rFonts w:hint="eastAsia" w:ascii="Arial" w:hAnsi="Arial" w:cs="Arial"/>
        </w:rPr>
        <w:t>124.8</w:t>
      </w:r>
      <w:r>
        <w:rPr>
          <w:rFonts w:ascii="Arial" w:hAnsi="Arial" w:cs="Arial"/>
        </w:rPr>
        <w:t>万元,增加</w:t>
      </w:r>
      <w:r>
        <w:rPr>
          <w:rFonts w:hint="eastAsia" w:ascii="Arial" w:hAnsi="Arial" w:cs="Arial"/>
        </w:rPr>
        <w:t>2.64</w:t>
      </w:r>
      <w:r>
        <w:rPr>
          <w:rFonts w:ascii="Arial" w:hAnsi="Arial" w:cs="Arial"/>
        </w:rPr>
        <w:t>万元,增长</w:t>
      </w:r>
      <w:r>
        <w:rPr>
          <w:rFonts w:hint="eastAsia" w:ascii="Arial" w:hAnsi="Arial" w:cs="Arial"/>
        </w:rPr>
        <w:t>2.16</w:t>
      </w:r>
      <w:r>
        <w:rPr>
          <w:rFonts w:ascii="Arial" w:hAnsi="Arial" w:cs="Arial"/>
        </w:rPr>
        <w:t>%。增长的主要原因是</w:t>
      </w:r>
      <w:r>
        <w:rPr>
          <w:rFonts w:hint="eastAsia" w:ascii="Arial" w:hAnsi="Arial" w:cs="Arial"/>
        </w:rPr>
        <w:t>其他交通费用增加</w:t>
      </w:r>
      <w:r>
        <w:rPr>
          <w:rFonts w:ascii="Arial" w:hAnsi="Arial" w:cs="Arial"/>
        </w:rPr>
        <w:t>。对个人和家庭的补助</w:t>
      </w:r>
      <w:r>
        <w:rPr>
          <w:rFonts w:hint="eastAsia" w:ascii="Arial" w:hAnsi="Arial" w:cs="Arial"/>
        </w:rPr>
        <w:t>8.18</w:t>
      </w:r>
      <w:r>
        <w:rPr>
          <w:rFonts w:ascii="Arial" w:hAnsi="Arial" w:cs="Arial"/>
        </w:rPr>
        <w:t>万元,减少</w:t>
      </w:r>
      <w:r>
        <w:rPr>
          <w:rFonts w:hint="eastAsia" w:ascii="Arial" w:hAnsi="Arial" w:cs="Arial"/>
        </w:rPr>
        <w:t>0.75</w:t>
      </w:r>
      <w:r>
        <w:rPr>
          <w:rFonts w:ascii="Arial" w:hAnsi="Arial" w:cs="Arial"/>
        </w:rPr>
        <w:t>万元,下降</w:t>
      </w:r>
      <w:r>
        <w:rPr>
          <w:rFonts w:hint="eastAsia" w:ascii="Arial" w:hAnsi="Arial" w:cs="Arial"/>
        </w:rPr>
        <w:t>8.39</w:t>
      </w:r>
      <w:r>
        <w:rPr>
          <w:rFonts w:ascii="Arial" w:hAnsi="Arial" w:cs="Arial"/>
        </w:rPr>
        <w:t>%。下降的主要原因是</w:t>
      </w:r>
      <w:r>
        <w:rPr>
          <w:rFonts w:hint="eastAsia" w:ascii="Arial" w:hAnsi="Arial" w:cs="Arial"/>
        </w:rPr>
        <w:t>生活补助减少</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2023年一般公共预算安排的“三公”经费同比无变化</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4</w:t>
      </w:r>
      <w:r>
        <w:rPr>
          <w:rFonts w:ascii="Arial" w:hAnsi="Arial" w:cs="Arial"/>
        </w:rPr>
        <w:t>万元,同比无变化。我单位认真贯彻落实中央八项规定要求,严格执行公务接待管理办法。主要用于单位按规定开支的各类公务接待费用。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30</w:t>
      </w:r>
      <w:r>
        <w:rPr>
          <w:rFonts w:ascii="Arial" w:hAnsi="Arial" w:cs="Arial"/>
        </w:rPr>
        <w:t>元</w:t>
      </w:r>
      <w:r>
        <w:rPr>
          <w:rFonts w:hint="eastAsia" w:ascii="Arial" w:hAnsi="Arial" w:cs="Arial"/>
        </w:rPr>
        <w:t>，</w:t>
      </w:r>
      <w:r>
        <w:rPr>
          <w:rFonts w:ascii="Arial" w:hAnsi="Arial" w:cs="Arial"/>
        </w:rPr>
        <w:t>同比无变化。其中:公务用车购置费0万元,同比不变;公务用车运行维护费</w:t>
      </w:r>
      <w:r>
        <w:rPr>
          <w:rFonts w:hint="eastAsia" w:ascii="Arial" w:hAnsi="Arial" w:cs="Arial"/>
        </w:rPr>
        <w:t>,30</w:t>
      </w:r>
      <w:r>
        <w:rPr>
          <w:rFonts w:ascii="Arial" w:hAnsi="Arial" w:cs="Arial"/>
        </w:rPr>
        <w:t>万元, 同比无变化。主要用于单位执行公务活动所发生的公务用车燃料费、维修费、过桥过路费、保险费等支出。</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我部门2023年部门预算无政府性基金预算。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宋体" w:hAnsi="宋体" w:eastAsia="宋体" w:cs="宋体"/>
        </w:rPr>
      </w:pPr>
      <w:r>
        <w:rPr>
          <w:rFonts w:ascii="Arial" w:hAnsi="Arial" w:cs="Arial"/>
        </w:rPr>
        <w:t>2023年机关运行经费</w:t>
      </w:r>
      <w:r>
        <w:rPr>
          <w:rFonts w:hint="eastAsia" w:ascii="Arial" w:hAnsi="Arial" w:cs="Arial"/>
        </w:rPr>
        <w:t>124.8</w:t>
      </w:r>
      <w:r>
        <w:rPr>
          <w:rFonts w:ascii="Arial" w:hAnsi="Arial" w:cs="Arial"/>
        </w:rPr>
        <w:t>万元,增加</w:t>
      </w:r>
      <w:r>
        <w:rPr>
          <w:rFonts w:hint="eastAsia" w:ascii="Arial" w:hAnsi="Arial" w:cs="Arial"/>
        </w:rPr>
        <w:t>2.64</w:t>
      </w:r>
      <w:r>
        <w:rPr>
          <w:rFonts w:ascii="Arial" w:hAnsi="Arial" w:cs="Arial"/>
        </w:rPr>
        <w:t>万元,增长</w:t>
      </w:r>
      <w:r>
        <w:rPr>
          <w:rFonts w:hint="eastAsia" w:ascii="Arial" w:hAnsi="Arial" w:cs="Arial"/>
        </w:rPr>
        <w:t>2.16</w:t>
      </w:r>
      <w:r>
        <w:rPr>
          <w:rFonts w:ascii="Arial" w:hAnsi="Arial" w:cs="Arial"/>
        </w:rPr>
        <w:t xml:space="preserve"> %。增长的主要原因是其他交通费用</w:t>
      </w:r>
      <w:r>
        <w:rPr>
          <w:rFonts w:hint="eastAsia" w:ascii="Arial" w:hAnsi="Arial" w:cs="Arial"/>
        </w:rPr>
        <w:t>增加</w:t>
      </w:r>
      <w:r>
        <w:rPr>
          <w:rFonts w:ascii="Arial" w:hAnsi="Arial" w:cs="Arial"/>
        </w:rPr>
        <w:t>。</w:t>
      </w:r>
      <w:r>
        <w:rPr>
          <w:rFonts w:hint="eastAsia" w:ascii="宋体" w:hAnsi="宋体" w:eastAsia="宋体" w:cs="宋体"/>
        </w:rPr>
        <w:t>具体包括办公费20.00万元、印刷费3.00万元、水费6.40万元、电费8.00万元、邮电费2.70万元、差旅费6.00万元、维修(护)费3.30万元、会议费0.60万元、培训费2.00万元、公务接待费4.00万元、公务用车运行维护费30.00万元、其他交通费用28.8万元和其他商品和服务支出10.00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我部门2023年部门预算无政府采购预算</w:t>
      </w:r>
      <w:r>
        <w:rPr>
          <w:rFonts w:hint="eastAsia"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(三)国有资产占有使用情况说明截至2022年12月31日,本部门资产总计</w:t>
      </w:r>
      <w:r>
        <w:rPr>
          <w:rFonts w:hint="eastAsia" w:ascii="Arial" w:hAnsi="Arial" w:cs="Arial"/>
        </w:rPr>
        <w:t>1333.20</w:t>
      </w:r>
      <w:r>
        <w:rPr>
          <w:rFonts w:ascii="Arial" w:hAnsi="Arial" w:cs="Arial"/>
        </w:rPr>
        <w:t>万元,其中:流动资产</w:t>
      </w:r>
      <w:r>
        <w:rPr>
          <w:rFonts w:hint="eastAsia" w:ascii="Arial" w:hAnsi="Arial" w:cs="Arial"/>
        </w:rPr>
        <w:t>0</w:t>
      </w:r>
      <w:r>
        <w:rPr>
          <w:rFonts w:ascii="Arial" w:hAnsi="Arial" w:cs="Arial"/>
        </w:rPr>
        <w:t>万元,固定资产</w:t>
      </w:r>
      <w:r>
        <w:rPr>
          <w:rFonts w:hint="eastAsia" w:ascii="Arial" w:hAnsi="Arial" w:cs="Arial"/>
        </w:rPr>
        <w:t>1108.82</w:t>
      </w:r>
      <w:r>
        <w:rPr>
          <w:rFonts w:ascii="Arial" w:hAnsi="Arial" w:cs="Arial"/>
        </w:rPr>
        <w:t>万元,在建工程</w:t>
      </w:r>
      <w:r>
        <w:rPr>
          <w:rFonts w:hint="eastAsia" w:ascii="Arial" w:hAnsi="Arial" w:cs="Arial"/>
        </w:rPr>
        <w:t>0</w:t>
      </w:r>
      <w:r>
        <w:rPr>
          <w:rFonts w:ascii="Arial" w:hAnsi="Arial" w:cs="Arial"/>
        </w:rPr>
        <w:t>万元,无形资产</w:t>
      </w:r>
      <w:r>
        <w:rPr>
          <w:rFonts w:hint="eastAsia" w:ascii="宋体" w:hAnsi="宋体" w:eastAsia="宋体" w:cs="宋体"/>
        </w:rPr>
        <w:t>224.38</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16</w:t>
      </w:r>
      <w:r>
        <w:rPr>
          <w:rFonts w:ascii="Arial" w:hAnsi="Arial" w:cs="Arial"/>
        </w:rPr>
        <w:t xml:space="preserve"> 辆,其中:一般公务用车辆</w:t>
      </w:r>
      <w:r>
        <w:rPr>
          <w:rFonts w:hint="eastAsia" w:ascii="Arial" w:hAnsi="Arial" w:cs="Arial"/>
        </w:rPr>
        <w:t>16</w:t>
      </w:r>
      <w:r>
        <w:rPr>
          <w:rFonts w:ascii="Arial" w:hAnsi="Arial" w:cs="Arial"/>
        </w:rPr>
        <w:t>辆。</w:t>
      </w:r>
    </w:p>
    <w:p>
      <w:pPr>
        <w:pStyle w:val="4"/>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4"/>
        <w:widowControl/>
        <w:spacing w:before="150" w:beforeAutospacing="0" w:after="150" w:afterAutospacing="0" w:line="460" w:lineRule="exact"/>
        <w:ind w:firstLine="420"/>
        <w:rPr>
          <w:rFonts w:hint="eastAsia" w:ascii="宋体" w:hAnsi="宋体" w:eastAsia="宋体" w:cs="宋体"/>
        </w:rPr>
      </w:pPr>
      <w:r>
        <w:rPr>
          <w:rFonts w:hint="eastAsia" w:ascii="宋体" w:hAnsi="宋体" w:eastAsia="宋体" w:cs="宋体"/>
        </w:rPr>
        <w:t>2023年本单位对部门整体进行了预算绩效申报，其中涉及</w:t>
      </w:r>
      <w:r>
        <w:rPr>
          <w:rFonts w:ascii="Arial" w:hAnsi="Arial" w:cs="Arial"/>
        </w:rPr>
        <w:t>机关运行经费</w:t>
      </w:r>
      <w:r>
        <w:rPr>
          <w:rFonts w:hint="eastAsia" w:ascii="宋体" w:hAnsi="宋体" w:eastAsia="宋体" w:cs="宋体"/>
        </w:rPr>
        <w:t>为</w:t>
      </w:r>
      <w:r>
        <w:rPr>
          <w:rFonts w:hint="eastAsia" w:ascii="Arial" w:hAnsi="Arial" w:cs="Arial"/>
        </w:rPr>
        <w:t>124.8</w:t>
      </w:r>
      <w:r>
        <w:rPr>
          <w:rFonts w:hint="eastAsia" w:ascii="宋体" w:hAnsi="宋体" w:eastAsia="宋体" w:cs="宋体"/>
        </w:rPr>
        <w:t>万元，占年初预算的17.74%。</w:t>
      </w:r>
    </w:p>
    <w:p>
      <w:pPr>
        <w:pStyle w:val="4"/>
        <w:widowControl/>
        <w:spacing w:before="150" w:beforeAutospacing="0" w:after="150" w:afterAutospacing="0" w:line="460" w:lineRule="exact"/>
        <w:ind w:firstLine="420"/>
        <w:rPr>
          <w:rFonts w:ascii="宋体" w:hAnsi="宋体" w:eastAsia="宋体" w:cs="宋体"/>
        </w:rPr>
      </w:pPr>
      <w:r>
        <w:rPr>
          <w:rFonts w:hint="eastAsia" w:ascii="宋体" w:hAnsi="宋体" w:eastAsia="宋体" w:cs="宋体"/>
        </w:rPr>
        <w:t>该项目预算资金主要情况如下：</w:t>
      </w:r>
      <w:r>
        <w:rPr>
          <w:rFonts w:ascii="Arial" w:hAnsi="Arial" w:cs="Arial"/>
        </w:rPr>
        <w:t>2023年机关运行经费</w:t>
      </w:r>
      <w:r>
        <w:rPr>
          <w:rFonts w:hint="eastAsia" w:ascii="Arial" w:hAnsi="Arial" w:cs="Arial"/>
        </w:rPr>
        <w:t>124.8</w:t>
      </w:r>
      <w:r>
        <w:rPr>
          <w:rFonts w:ascii="Arial" w:hAnsi="Arial" w:cs="Arial"/>
        </w:rPr>
        <w:t>万元,增加</w:t>
      </w:r>
      <w:r>
        <w:rPr>
          <w:rFonts w:hint="eastAsia" w:ascii="Arial" w:hAnsi="Arial" w:cs="Arial"/>
        </w:rPr>
        <w:t>2.64</w:t>
      </w:r>
      <w:r>
        <w:rPr>
          <w:rFonts w:ascii="Arial" w:hAnsi="Arial" w:cs="Arial"/>
        </w:rPr>
        <w:t>万元,增长</w:t>
      </w:r>
      <w:r>
        <w:rPr>
          <w:rFonts w:hint="eastAsia" w:ascii="Arial" w:hAnsi="Arial" w:cs="Arial"/>
        </w:rPr>
        <w:t>2.16</w:t>
      </w:r>
      <w:r>
        <w:rPr>
          <w:rFonts w:ascii="Arial" w:hAnsi="Arial" w:cs="Arial"/>
        </w:rPr>
        <w:t xml:space="preserve"> %。增长的主要原因是其他交通费用</w:t>
      </w:r>
      <w:r>
        <w:rPr>
          <w:rFonts w:hint="eastAsia" w:ascii="Arial" w:hAnsi="Arial" w:cs="Arial"/>
        </w:rPr>
        <w:t>增加</w:t>
      </w:r>
      <w:r>
        <w:rPr>
          <w:rFonts w:ascii="Arial" w:hAnsi="Arial" w:cs="Arial"/>
        </w:rPr>
        <w:t>。</w:t>
      </w:r>
      <w:r>
        <w:rPr>
          <w:rFonts w:hint="eastAsia" w:ascii="宋体" w:hAnsi="宋体" w:eastAsia="宋体" w:cs="宋体"/>
        </w:rPr>
        <w:t>具体包括办公费20.00万元、印刷费3.00万元、水费6.40万元、电费8.00万元、邮电费2.70万元、差旅费6.00万元、维修(护)费3.30万元、会议费0.60万元、培训费2.00万元、公务接待费4.00万元、公务用车运行维护费30.00万元、其他交通费用28.8万元和其他商品和服务支出10.00万元。</w:t>
      </w:r>
    </w:p>
    <w:p>
      <w:pPr>
        <w:pStyle w:val="10"/>
        <w:widowControl/>
        <w:wordWrap w:val="0"/>
        <w:spacing w:line="360" w:lineRule="auto"/>
        <w:ind w:firstLine="480" w:firstLineChars="200"/>
        <w:rPr>
          <w:rFonts w:ascii="Arial" w:hAnsi="Arial" w:cs="Arial"/>
        </w:rPr>
      </w:pPr>
      <w:r>
        <w:rPr>
          <w:rFonts w:ascii="Arial" w:hAnsi="Arial" w:cs="Arial"/>
        </w:rPr>
        <w:t>预算绩效目标</w:t>
      </w:r>
      <w:r>
        <w:rPr>
          <w:rFonts w:hint="eastAsia" w:ascii="Arial" w:hAnsi="Arial" w:cs="Arial"/>
        </w:rPr>
        <w:t>：</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1、依法查处道路交通违法行为和交通事故；维护城乡道路交通秩序和公路治安秩序；开展机动车辆安全检验、牌证发放和驾驶员考核发证工作。</w:t>
      </w:r>
    </w:p>
    <w:p>
      <w:pPr>
        <w:pStyle w:val="10"/>
        <w:widowControl/>
        <w:wordWrap w:val="0"/>
        <w:spacing w:line="360" w:lineRule="auto"/>
        <w:ind w:firstLine="480" w:firstLineChars="200"/>
        <w:rPr>
          <w:rFonts w:ascii="宋体" w:hAnsi="宋体" w:eastAsia="宋体" w:cs="宋体"/>
          <w:szCs w:val="24"/>
        </w:rPr>
      </w:pPr>
      <w:r>
        <w:rPr>
          <w:rFonts w:hint="eastAsia" w:ascii="宋体" w:hAnsi="宋体" w:eastAsia="宋体" w:cs="宋体"/>
          <w:szCs w:val="24"/>
        </w:rPr>
        <w:t>2、开展道路交通安全宣传教育活动；道路交通管理科研工作；参与城市建设、道路交通和安全设施的规划。</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3、宣传交通法规，依法管理道路交通秩序，管理车辆、驾驶员和行人，教育交通违章者，勘查处理交通事故，以维护正常的交通秩序，保证交通运输的畅通与安全。</w:t>
      </w:r>
    </w:p>
    <w:p>
      <w:pPr>
        <w:pStyle w:val="4"/>
        <w:widowControl/>
        <w:spacing w:before="150" w:beforeAutospacing="0" w:after="150" w:afterAutospacing="0" w:line="460" w:lineRule="exact"/>
        <w:ind w:firstLine="420"/>
        <w:rPr>
          <w:rFonts w:ascii="宋体" w:hAnsi="宋体" w:eastAsia="宋体" w:cs="宋体"/>
        </w:rPr>
      </w:pPr>
    </w:p>
    <w:p>
      <w:pPr>
        <w:pStyle w:val="4"/>
        <w:widowControl/>
        <w:spacing w:beforeAutospacing="0" w:afterAutospacing="0" w:line="360" w:lineRule="auto"/>
        <w:ind w:firstLine="480" w:firstLineChars="20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widowControl/>
        <w:spacing w:line="460" w:lineRule="exact"/>
      </w:pPr>
      <w:r>
        <w:t>​</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c3MGYxNTY4ZmEzYmY0YzRhMTIwNDBkMmVjNjI4M2MifQ=="/>
  </w:docVars>
  <w:rsids>
    <w:rsidRoot w:val="255B155F"/>
    <w:rsid w:val="00023D85"/>
    <w:rsid w:val="0006784F"/>
    <w:rsid w:val="00086360"/>
    <w:rsid w:val="0008658C"/>
    <w:rsid w:val="000962E3"/>
    <w:rsid w:val="000D4B60"/>
    <w:rsid w:val="000F3B25"/>
    <w:rsid w:val="00124014"/>
    <w:rsid w:val="001265C0"/>
    <w:rsid w:val="0015550B"/>
    <w:rsid w:val="00166853"/>
    <w:rsid w:val="001A3843"/>
    <w:rsid w:val="001D1AEF"/>
    <w:rsid w:val="001E3E56"/>
    <w:rsid w:val="001E6BD6"/>
    <w:rsid w:val="001F054F"/>
    <w:rsid w:val="002109FC"/>
    <w:rsid w:val="00237B9F"/>
    <w:rsid w:val="0028177E"/>
    <w:rsid w:val="002B0ABB"/>
    <w:rsid w:val="003029CC"/>
    <w:rsid w:val="003136CB"/>
    <w:rsid w:val="00316F65"/>
    <w:rsid w:val="0032203D"/>
    <w:rsid w:val="003239F1"/>
    <w:rsid w:val="003530ED"/>
    <w:rsid w:val="003552CB"/>
    <w:rsid w:val="0039087A"/>
    <w:rsid w:val="003B79BF"/>
    <w:rsid w:val="003F218B"/>
    <w:rsid w:val="00405708"/>
    <w:rsid w:val="004079BF"/>
    <w:rsid w:val="00432C61"/>
    <w:rsid w:val="004533AE"/>
    <w:rsid w:val="004C4A6C"/>
    <w:rsid w:val="004D3186"/>
    <w:rsid w:val="004F3A67"/>
    <w:rsid w:val="00501B96"/>
    <w:rsid w:val="00504819"/>
    <w:rsid w:val="0052466F"/>
    <w:rsid w:val="00553559"/>
    <w:rsid w:val="00554502"/>
    <w:rsid w:val="00591939"/>
    <w:rsid w:val="005D4E5C"/>
    <w:rsid w:val="005E4D58"/>
    <w:rsid w:val="006211E5"/>
    <w:rsid w:val="006240F0"/>
    <w:rsid w:val="00633F27"/>
    <w:rsid w:val="00695B2E"/>
    <w:rsid w:val="006A104A"/>
    <w:rsid w:val="006C6085"/>
    <w:rsid w:val="0070212C"/>
    <w:rsid w:val="00704775"/>
    <w:rsid w:val="00704D69"/>
    <w:rsid w:val="0071420B"/>
    <w:rsid w:val="00715508"/>
    <w:rsid w:val="00723FA2"/>
    <w:rsid w:val="00762F4E"/>
    <w:rsid w:val="007B2B7E"/>
    <w:rsid w:val="007F0AFC"/>
    <w:rsid w:val="00813C2C"/>
    <w:rsid w:val="00820B58"/>
    <w:rsid w:val="00864ED6"/>
    <w:rsid w:val="008855AF"/>
    <w:rsid w:val="008866F4"/>
    <w:rsid w:val="008936FA"/>
    <w:rsid w:val="008A7B27"/>
    <w:rsid w:val="008B522D"/>
    <w:rsid w:val="008C00B4"/>
    <w:rsid w:val="008D0C45"/>
    <w:rsid w:val="008D322E"/>
    <w:rsid w:val="008E1D13"/>
    <w:rsid w:val="008F5C30"/>
    <w:rsid w:val="009147B0"/>
    <w:rsid w:val="009168B5"/>
    <w:rsid w:val="00934567"/>
    <w:rsid w:val="009514F8"/>
    <w:rsid w:val="0096115F"/>
    <w:rsid w:val="009615A5"/>
    <w:rsid w:val="009E2F3B"/>
    <w:rsid w:val="009F0A33"/>
    <w:rsid w:val="00A01995"/>
    <w:rsid w:val="00A21AFF"/>
    <w:rsid w:val="00A24335"/>
    <w:rsid w:val="00A302B5"/>
    <w:rsid w:val="00A63329"/>
    <w:rsid w:val="00A64BC1"/>
    <w:rsid w:val="00A81180"/>
    <w:rsid w:val="00A84EE8"/>
    <w:rsid w:val="00AA3C6C"/>
    <w:rsid w:val="00AC342B"/>
    <w:rsid w:val="00AC5228"/>
    <w:rsid w:val="00AD412C"/>
    <w:rsid w:val="00AD74BA"/>
    <w:rsid w:val="00AE616A"/>
    <w:rsid w:val="00B2654B"/>
    <w:rsid w:val="00B3056B"/>
    <w:rsid w:val="00BA0AD9"/>
    <w:rsid w:val="00BA2B98"/>
    <w:rsid w:val="00C30725"/>
    <w:rsid w:val="00C844CD"/>
    <w:rsid w:val="00C91A0F"/>
    <w:rsid w:val="00C961AA"/>
    <w:rsid w:val="00C9631C"/>
    <w:rsid w:val="00C96A7C"/>
    <w:rsid w:val="00CF2793"/>
    <w:rsid w:val="00D87B18"/>
    <w:rsid w:val="00DE5828"/>
    <w:rsid w:val="00DF2845"/>
    <w:rsid w:val="00DF3949"/>
    <w:rsid w:val="00E13753"/>
    <w:rsid w:val="00E3357B"/>
    <w:rsid w:val="00E35A18"/>
    <w:rsid w:val="00E625FA"/>
    <w:rsid w:val="00E76ED1"/>
    <w:rsid w:val="00E94781"/>
    <w:rsid w:val="00EA164D"/>
    <w:rsid w:val="00F01615"/>
    <w:rsid w:val="00F33A66"/>
    <w:rsid w:val="00F3425B"/>
    <w:rsid w:val="00F34980"/>
    <w:rsid w:val="00F75F3B"/>
    <w:rsid w:val="00F8497C"/>
    <w:rsid w:val="00FB6139"/>
    <w:rsid w:val="00FC5DDB"/>
    <w:rsid w:val="00FD3E8D"/>
    <w:rsid w:val="00FD5987"/>
    <w:rsid w:val="022C2E9B"/>
    <w:rsid w:val="04C75BAA"/>
    <w:rsid w:val="068707C4"/>
    <w:rsid w:val="0E2F75DE"/>
    <w:rsid w:val="117758BA"/>
    <w:rsid w:val="14BD6FE9"/>
    <w:rsid w:val="255B155F"/>
    <w:rsid w:val="258F5248"/>
    <w:rsid w:val="2EA4771D"/>
    <w:rsid w:val="31C11B09"/>
    <w:rsid w:val="45344EFF"/>
    <w:rsid w:val="45E561F9"/>
    <w:rsid w:val="57882E88"/>
    <w:rsid w:val="5A7E4E87"/>
    <w:rsid w:val="68FA68F9"/>
    <w:rsid w:val="69AE21BA"/>
    <w:rsid w:val="72ED672C"/>
    <w:rsid w:val="7A5A4353"/>
    <w:rsid w:val="7BA93249"/>
    <w:rsid w:val="7BF00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customStyle="1" w:styleId="10">
    <w:name w:val="普通(网站)1"/>
    <w:basedOn w:val="1"/>
    <w:uiPriority w:val="0"/>
    <w:pPr>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765</Words>
  <Characters>4362</Characters>
  <Lines>36</Lines>
  <Paragraphs>10</Paragraphs>
  <TotalTime>208</TotalTime>
  <ScaleCrop>false</ScaleCrop>
  <LinksUpToDate>false</LinksUpToDate>
  <CharactersWithSpaces>5117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文海波</cp:lastModifiedBy>
  <dcterms:modified xsi:type="dcterms:W3CDTF">2023-10-18T03:27:12Z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735C88C555744AA596C61A472DAD8BE6</vt:lpwstr>
  </property>
</Properties>
</file>