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全州县永岁镇永和初中</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全州县永岁镇永和初中</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全州县永岁镇永和初中2024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全州县永岁镇永和初中2024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全州县永岁镇永和初中概况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学校核定编制人数为68人，实有在编人数68人。编内在职68人，全额事业在职68人，退休30人。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4、加强学校安全工作，切实维护学校学生安全。</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8"/>
      <w:bookmarkStart w:id="11" w:name="bookmark26"/>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全州县永岁镇永和初中</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1005.76</w:t>
      </w:r>
      <w:r>
        <w:rPr>
          <w:rFonts w:hint="eastAsia"/>
          <w:sz w:val="32"/>
          <w:szCs w:val="32"/>
        </w:rPr>
        <w:t>万元，总支出</w:t>
      </w:r>
      <w:r>
        <w:rPr>
          <w:rFonts w:hint="eastAsia"/>
          <w:sz w:val="32"/>
          <w:szCs w:val="32"/>
          <w:lang w:val="en-US" w:eastAsia="zh-CN"/>
        </w:rPr>
        <w:t>1005.76</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1032.87</w:t>
      </w:r>
      <w:r>
        <w:rPr>
          <w:rFonts w:hint="eastAsia"/>
          <w:sz w:val="32"/>
          <w:szCs w:val="32"/>
        </w:rPr>
        <w:t>万元，</w:t>
      </w:r>
      <w:r>
        <w:rPr>
          <w:sz w:val="32"/>
          <w:u w:color="auto"/>
        </w:rPr>
        <w:t>减少27.11万元，下降2.62%，</w:t>
      </w:r>
      <w:r>
        <w:rPr>
          <w:sz w:val="32"/>
          <w:u w:color="auto"/>
        </w:rPr>
        <w:t>主要原因是</w:t>
      </w:r>
      <w:r>
        <w:rPr>
          <w:rFonts w:hint="eastAsia"/>
          <w:sz w:val="32"/>
          <w:szCs w:val="32"/>
          <w:lang w:val="en-US"/>
        </w:rPr>
        <w:t>学校教育支出、社会保障和就业支出及住房保障减少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1032.87</w:t>
      </w:r>
      <w:r>
        <w:rPr>
          <w:rFonts w:hint="eastAsia"/>
          <w:sz w:val="32"/>
          <w:szCs w:val="32"/>
        </w:rPr>
        <w:t>万元，</w:t>
      </w:r>
      <w:r>
        <w:rPr>
          <w:sz w:val="32"/>
          <w:u w:color="auto"/>
        </w:rPr>
        <w:t>减少27.11万元，下降2.62%，</w:t>
      </w:r>
      <w:r>
        <w:rPr>
          <w:sz w:val="32"/>
          <w:u w:color="auto"/>
        </w:rPr>
        <w:t>主要原因是</w:t>
      </w:r>
      <w:r>
        <w:rPr>
          <w:rFonts w:hint="eastAsia"/>
          <w:sz w:val="32"/>
          <w:szCs w:val="32"/>
          <w:lang w:val="en-US"/>
        </w:rPr>
        <w:t>学校教育支出、社会保障和就业支出及住房保障减少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1005.76</w:t>
      </w:r>
      <w:r>
        <w:rPr>
          <w:rFonts w:hint="eastAsia"/>
          <w:sz w:val="32"/>
          <w:szCs w:val="32"/>
        </w:rPr>
        <w:t>万元，</w:t>
      </w:r>
      <w:r>
        <w:rPr>
          <w:rFonts w:hint="eastAsia"/>
          <w:sz w:val="32"/>
          <w:szCs w:val="32"/>
          <w:lang w:val="en-US" w:eastAsia="zh-CN"/>
        </w:rPr>
        <w:t>同比</w:t>
      </w:r>
      <w:r>
        <w:rPr>
          <w:rFonts w:hint="eastAsia"/>
          <w:sz w:val="32"/>
          <w:szCs w:val="32"/>
        </w:rPr>
        <w:t>减少27.11万元，</w:t>
      </w:r>
      <w:r>
        <w:rPr>
          <w:sz w:val="32"/>
          <w:u w:color="auto"/>
        </w:rPr>
        <w:t>下降2.62%</w:t>
      </w:r>
      <w:r>
        <w:rPr>
          <w:rFonts w:hint="eastAsia"/>
          <w:sz w:val="32"/>
          <w:szCs w:val="32"/>
          <w:lang w:eastAsia="zh-CN"/>
        </w:rPr>
        <w:t>。其中：一般公共预算</w:t>
      </w:r>
      <w:r>
        <w:rPr>
          <w:rFonts w:hint="eastAsia" w:ascii="宋体" w:hAnsi="宋体" w:eastAsia="宋体"/>
          <w:sz w:val="32"/>
          <w:szCs w:val="32"/>
          <w:lang w:eastAsia="zh-CN"/>
        </w:rPr>
        <w:t>1005.76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减少27.11</w:t>
      </w:r>
      <w:r>
        <w:rPr>
          <w:rFonts w:hint="eastAsia"/>
          <w:sz w:val="32"/>
          <w:szCs w:val="32"/>
          <w:lang w:eastAsia="zh-CN"/>
        </w:rPr>
        <w:t>万元，</w:t>
      </w:r>
      <w:r>
        <w:rPr>
          <w:rFonts w:hint="eastAsia" w:ascii="宋体" w:hAnsi="宋体" w:eastAsia="宋体"/>
          <w:sz w:val="32"/>
          <w:szCs w:val="32"/>
          <w:lang w:eastAsia="zh-CN"/>
        </w:rPr>
        <w:t>下降2.62%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主要原因是学校教育支出、社会保障和就业支出及住房保障减少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2024年学校没有政府性基金预算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1005.76</w:t>
      </w:r>
      <w:r>
        <w:rPr>
          <w:rFonts w:hint="eastAsia"/>
          <w:sz w:val="32"/>
          <w:szCs w:val="32"/>
        </w:rPr>
        <w:t>万元，</w:t>
      </w:r>
      <w:r>
        <w:rPr>
          <w:rFonts w:hint="eastAsia"/>
          <w:sz w:val="32"/>
          <w:szCs w:val="32"/>
          <w:lang w:val="en-US" w:eastAsia="zh-CN"/>
        </w:rPr>
        <w:t>同比</w:t>
      </w:r>
      <w:r>
        <w:rPr>
          <w:rFonts w:hint="eastAsia"/>
          <w:sz w:val="32"/>
          <w:szCs w:val="32"/>
        </w:rPr>
        <w:t>减少27.11万元，</w:t>
      </w:r>
      <w:r>
        <w:rPr>
          <w:sz w:val="32"/>
          <w:u w:color="auto"/>
        </w:rPr>
        <w:t>下降2.62%</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1005.76</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增加56.04</w:t>
      </w:r>
      <w:r>
        <w:rPr>
          <w:sz w:val="32"/>
          <w:u w:color="auto"/>
        </w:rPr>
        <w:t>万元，增长5.90%</w:t>
      </w:r>
      <w:r>
        <w:rPr>
          <w:sz w:val="32"/>
          <w:szCs w:val="32"/>
        </w:rPr>
        <w:t>。</w:t>
      </w:r>
      <w:r>
        <w:rPr>
          <w:rFonts w:hint="eastAsia"/>
          <w:sz w:val="32"/>
          <w:szCs w:val="32"/>
        </w:rPr>
        <w:t>主要原因是</w:t>
      </w:r>
      <w:r>
        <w:rPr>
          <w:sz w:val="32"/>
          <w:szCs w:val="32"/>
        </w:rPr>
        <w:t>：</w:t>
      </w:r>
      <w:r>
        <w:rPr>
          <w:rFonts w:hint="eastAsia"/>
          <w:sz w:val="32"/>
          <w:szCs w:val="32"/>
          <w:lang w:val="en-US" w:eastAsia="zh-CN"/>
        </w:rPr>
        <w:t>主要原因是学校教育支出、社会保障和就业支出及住房保障减少</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减少83.14万元，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2024年学生没有项目支出预算。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1005.76</w:t>
      </w:r>
      <w:r>
        <w:rPr>
          <w:rFonts w:hint="eastAsia"/>
          <w:sz w:val="32"/>
          <w:szCs w:val="32"/>
        </w:rPr>
        <w:t>万元，</w:t>
      </w:r>
      <w:r>
        <w:rPr>
          <w:rFonts w:hint="eastAsia"/>
          <w:sz w:val="32"/>
          <w:szCs w:val="32"/>
          <w:lang w:val="en-US" w:eastAsia="zh-CN"/>
        </w:rPr>
        <w:t>同比</w:t>
      </w:r>
      <w:r>
        <w:rPr>
          <w:rFonts w:hint="eastAsia"/>
          <w:sz w:val="32"/>
          <w:szCs w:val="32"/>
        </w:rPr>
        <w:t>减少27.11万元，</w:t>
      </w:r>
      <w:r>
        <w:rPr>
          <w:sz w:val="32"/>
          <w:u w:color="auto"/>
        </w:rPr>
        <w:t>下降2.62%</w:t>
      </w:r>
      <w:r>
        <w:rPr>
          <w:rFonts w:hint="eastAsia"/>
          <w:sz w:val="32"/>
          <w:szCs w:val="32"/>
          <w:lang w:eastAsia="zh-CN"/>
        </w:rPr>
        <w:t>。其中：一般公共预算</w:t>
      </w:r>
      <w:r>
        <w:rPr>
          <w:rFonts w:hint="eastAsia" w:ascii="宋体" w:hAnsi="宋体" w:eastAsia="宋体"/>
          <w:sz w:val="32"/>
          <w:szCs w:val="32"/>
          <w:lang w:eastAsia="zh-CN"/>
        </w:rPr>
        <w:t>1005.76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减少27.11</w:t>
      </w:r>
      <w:r>
        <w:rPr>
          <w:rFonts w:hint="eastAsia"/>
          <w:sz w:val="32"/>
          <w:szCs w:val="32"/>
          <w:lang w:eastAsia="zh-CN"/>
        </w:rPr>
        <w:t>万元，</w:t>
      </w:r>
      <w:r>
        <w:rPr>
          <w:rFonts w:hint="eastAsia" w:ascii="宋体" w:hAnsi="宋体" w:eastAsia="宋体"/>
          <w:sz w:val="32"/>
          <w:szCs w:val="32"/>
          <w:lang w:eastAsia="zh-CN"/>
        </w:rPr>
        <w:t>下降2.62%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2024年学校没有政府性基金预算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1005.76</w:t>
      </w:r>
      <w:r>
        <w:rPr>
          <w:rFonts w:hint="eastAsia"/>
          <w:sz w:val="32"/>
          <w:szCs w:val="32"/>
          <w:lang w:val="zh-TW" w:eastAsia="zh-TW"/>
        </w:rPr>
        <w:t>万元，同比</w:t>
      </w:r>
      <w:r>
        <w:rPr>
          <w:rFonts w:hint="eastAsia"/>
          <w:sz w:val="32"/>
          <w:szCs w:val="32"/>
          <w:lang w:val="en-US" w:eastAsia="zh-TW"/>
        </w:rPr>
        <w:t>减少27.11</w:t>
      </w:r>
      <w:r>
        <w:rPr>
          <w:rFonts w:hint="eastAsia"/>
          <w:sz w:val="32"/>
          <w:szCs w:val="32"/>
          <w:lang w:val="zh-TW" w:eastAsia="zh-TW"/>
        </w:rPr>
        <w:t>万元，</w:t>
      </w:r>
      <w:r>
        <w:rPr>
          <w:sz w:val="32"/>
          <w:u w:color="auto"/>
        </w:rPr>
        <w:t>下降2.62%</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学校教育支出、社会保障和就业支出及住房保障减少。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年一般公共预算支出共1005.76万元，同比减少27.11万元，下降2.62%，按支出功能分类科目划分，共分为4类，其中：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734.75万元，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73.05%</w:t>
      </w:r>
      <w:r>
        <w:rPr>
          <w:rFonts w:hint="eastAsia"/>
          <w:sz w:val="32"/>
          <w:szCs w:val="32"/>
        </w:rPr>
        <w:t>，</w:t>
      </w:r>
      <w:r>
        <w:rPr>
          <w:rFonts w:hint="eastAsia"/>
          <w:sz w:val="32"/>
          <w:szCs w:val="32"/>
          <w:lang w:val="en-US" w:eastAsia="zh-CN"/>
        </w:rPr>
        <w:t>同比</w:t>
      </w:r>
      <w:r>
        <w:rPr>
          <w:rFonts w:hint="eastAsia"/>
          <w:sz w:val="32"/>
          <w:szCs w:val="32"/>
        </w:rPr>
        <w:t>减少27.66万元，</w:t>
      </w:r>
      <w:r>
        <w:rPr>
          <w:sz w:val="32"/>
          <w:u w:color="auto"/>
        </w:rPr>
        <w:t>下降3.63%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734.75万元，</w:t>
      </w:r>
      <w:r>
        <w:rPr>
          <w:rFonts w:hint="eastAsia"/>
          <w:sz w:val="32"/>
          <w:szCs w:val="32"/>
          <w:lang w:val="en-US" w:eastAsia="zh-CN"/>
        </w:rPr>
        <w:t>同比</w:t>
      </w:r>
      <w:r>
        <w:rPr>
          <w:rFonts w:hint="eastAsia"/>
          <w:sz w:val="32"/>
          <w:szCs w:val="32"/>
        </w:rPr>
        <w:t>增加55.48万元，</w:t>
      </w:r>
      <w:r>
        <w:rPr>
          <w:sz w:val="32"/>
          <w:u w:color="auto"/>
        </w:rPr>
        <w:t>增长8.17%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Start w:id="20" w:name="_GoBack"/>
      <w:bookmarkEnd w:id="20"/>
      <w:r>
        <w:rPr>
          <w:rFonts w:hint="eastAsia"/>
          <w:sz w:val="32"/>
          <w:szCs w:val="32"/>
          <w:highlight w:val="none"/>
        </w:rPr>
        <w:t>学校教育支出，根据国家规定的基本工资和津贴补贴标准等安排的人员经费支出，按县级公用经费定额标准安排的办公费、印刷费、邮电费、水电费、差旅费等日常公用经费支出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148.52万元，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14.77%</w:t>
      </w:r>
      <w:r>
        <w:rPr>
          <w:rFonts w:hint="eastAsia"/>
          <w:sz w:val="32"/>
          <w:szCs w:val="32"/>
        </w:rPr>
        <w:t>，</w:t>
      </w:r>
      <w:r>
        <w:rPr>
          <w:rFonts w:hint="eastAsia"/>
          <w:sz w:val="32"/>
          <w:szCs w:val="32"/>
          <w:lang w:val="en-US" w:eastAsia="zh-CN"/>
        </w:rPr>
        <w:t>同比</w:t>
      </w:r>
      <w:r>
        <w:rPr>
          <w:rFonts w:hint="eastAsia"/>
          <w:sz w:val="32"/>
          <w:szCs w:val="32"/>
        </w:rPr>
        <w:t>增加3.53万元，</w:t>
      </w:r>
      <w:r>
        <w:rPr>
          <w:sz w:val="32"/>
          <w:u w:color="auto"/>
        </w:rPr>
        <w:t>增长2.43%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96.99万元，</w:t>
      </w:r>
      <w:r>
        <w:rPr>
          <w:rFonts w:hint="eastAsia"/>
          <w:sz w:val="32"/>
          <w:szCs w:val="32"/>
          <w:lang w:val="en-US" w:eastAsia="zh-CN"/>
        </w:rPr>
        <w:t>同比</w:t>
      </w:r>
      <w:r>
        <w:rPr>
          <w:rFonts w:hint="eastAsia"/>
          <w:sz w:val="32"/>
          <w:szCs w:val="32"/>
        </w:rPr>
        <w:t>增加2.30万元，</w:t>
      </w:r>
      <w:r>
        <w:rPr>
          <w:sz w:val="32"/>
          <w:u w:color="auto"/>
        </w:rPr>
        <w:t>增长2.43%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48.50万元，</w:t>
      </w:r>
      <w:r>
        <w:rPr>
          <w:rFonts w:hint="eastAsia"/>
          <w:sz w:val="32"/>
          <w:szCs w:val="32"/>
          <w:lang w:val="en-US" w:eastAsia="zh-CN"/>
        </w:rPr>
        <w:t>同比</w:t>
      </w:r>
      <w:r>
        <w:rPr>
          <w:rFonts w:hint="eastAsia"/>
          <w:sz w:val="32"/>
          <w:szCs w:val="32"/>
        </w:rPr>
        <w:t>增加1.16万元，</w:t>
      </w:r>
      <w:r>
        <w:rPr>
          <w:sz w:val="32"/>
          <w:u w:color="auto"/>
        </w:rPr>
        <w:t>增长2.45%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3.03万元，</w:t>
      </w:r>
      <w:r>
        <w:rPr>
          <w:rFonts w:hint="eastAsia"/>
          <w:sz w:val="32"/>
          <w:szCs w:val="32"/>
          <w:lang w:val="en-US" w:eastAsia="zh-CN"/>
        </w:rPr>
        <w:t>同比</w:t>
      </w:r>
      <w:r>
        <w:rPr>
          <w:rFonts w:hint="eastAsia"/>
          <w:sz w:val="32"/>
          <w:szCs w:val="32"/>
        </w:rPr>
        <w:t>增加0.07万元，</w:t>
      </w:r>
      <w:r>
        <w:rPr>
          <w:sz w:val="32"/>
          <w:u w:color="auto"/>
        </w:rPr>
        <w:t>增长2.36%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46.07万元，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4.58%</w:t>
      </w:r>
      <w:r>
        <w:rPr>
          <w:rFonts w:hint="eastAsia"/>
          <w:sz w:val="32"/>
          <w:szCs w:val="32"/>
        </w:rPr>
        <w:t>，</w:t>
      </w:r>
      <w:r>
        <w:rPr>
          <w:rFonts w:hint="eastAsia"/>
          <w:sz w:val="32"/>
          <w:szCs w:val="32"/>
          <w:lang w:val="en-US" w:eastAsia="zh-CN"/>
        </w:rPr>
        <w:t>同比</w:t>
      </w:r>
      <w:r>
        <w:rPr>
          <w:rFonts w:hint="eastAsia"/>
          <w:sz w:val="32"/>
          <w:szCs w:val="32"/>
        </w:rPr>
        <w:t>减少8.38万元，</w:t>
      </w:r>
      <w:r>
        <w:rPr>
          <w:sz w:val="32"/>
          <w:u w:color="auto"/>
        </w:rPr>
        <w:t>下降15.39%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44.86万元，</w:t>
      </w:r>
      <w:r>
        <w:rPr>
          <w:rFonts w:hint="eastAsia"/>
          <w:sz w:val="32"/>
          <w:szCs w:val="32"/>
          <w:lang w:val="en-US" w:eastAsia="zh-CN"/>
        </w:rPr>
        <w:t>同比</w:t>
      </w:r>
      <w:r>
        <w:rPr>
          <w:rFonts w:hint="eastAsia"/>
          <w:sz w:val="32"/>
          <w:szCs w:val="32"/>
        </w:rPr>
        <w:t>减少8.40万元，</w:t>
      </w:r>
      <w:r>
        <w:rPr>
          <w:sz w:val="32"/>
          <w:u w:color="auto"/>
        </w:rPr>
        <w:t>下降15.77%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1.21万元，</w:t>
      </w:r>
      <w:r>
        <w:rPr>
          <w:rFonts w:hint="eastAsia"/>
          <w:sz w:val="32"/>
          <w:szCs w:val="32"/>
          <w:lang w:val="en-US" w:eastAsia="zh-CN"/>
        </w:rPr>
        <w:t>同比</w:t>
      </w:r>
      <w:r>
        <w:rPr>
          <w:rFonts w:hint="eastAsia"/>
          <w:sz w:val="32"/>
          <w:szCs w:val="32"/>
        </w:rPr>
        <w:t>增加0.03万元，</w:t>
      </w:r>
      <w:r>
        <w:rPr>
          <w:sz w:val="32"/>
          <w:u w:color="auto"/>
        </w:rPr>
        <w:t>增长2.54%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是根据统一规定，按事业单位在职职工工资总额的一定比例缴纳的其他行政事业单位医疗支出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76.42万元，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7.60%</w:t>
      </w:r>
      <w:r>
        <w:rPr>
          <w:rFonts w:hint="eastAsia"/>
          <w:sz w:val="32"/>
          <w:szCs w:val="32"/>
        </w:rPr>
        <w:t>，</w:t>
      </w:r>
      <w:r>
        <w:rPr>
          <w:rFonts w:hint="eastAsia"/>
          <w:sz w:val="32"/>
          <w:szCs w:val="32"/>
          <w:lang w:val="en-US" w:eastAsia="zh-CN"/>
        </w:rPr>
        <w:t>同比</w:t>
      </w:r>
      <w:r>
        <w:rPr>
          <w:rFonts w:hint="eastAsia"/>
          <w:sz w:val="32"/>
          <w:szCs w:val="32"/>
        </w:rPr>
        <w:t>增加5.40万元，</w:t>
      </w:r>
      <w:r>
        <w:rPr>
          <w:sz w:val="32"/>
          <w:u w:color="auto"/>
        </w:rPr>
        <w:t>增长7.60%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76.42万元，</w:t>
      </w:r>
      <w:r>
        <w:rPr>
          <w:rFonts w:hint="eastAsia"/>
          <w:sz w:val="32"/>
          <w:szCs w:val="32"/>
          <w:lang w:val="en-US" w:eastAsia="zh-CN"/>
        </w:rPr>
        <w:t>同比</w:t>
      </w:r>
      <w:r>
        <w:rPr>
          <w:rFonts w:hint="eastAsia"/>
          <w:sz w:val="32"/>
          <w:szCs w:val="32"/>
        </w:rPr>
        <w:t>增加5.40万元，</w:t>
      </w:r>
      <w:r>
        <w:rPr>
          <w:sz w:val="32"/>
          <w:u w:color="auto"/>
        </w:rPr>
        <w:t>增长7.60%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1005.76</w:t>
      </w:r>
      <w:r>
        <w:rPr>
          <w:rFonts w:hint="eastAsia"/>
          <w:sz w:val="32"/>
          <w:szCs w:val="32"/>
        </w:rPr>
        <w:t>万元，</w:t>
      </w:r>
      <w:r>
        <w:rPr>
          <w:rFonts w:hint="eastAsia"/>
          <w:sz w:val="32"/>
          <w:szCs w:val="32"/>
          <w:lang w:val="en-US" w:eastAsia="zh-CN"/>
        </w:rPr>
        <w:t>增加56.04</w:t>
      </w:r>
      <w:r>
        <w:rPr>
          <w:rFonts w:hint="eastAsia"/>
          <w:sz w:val="32"/>
          <w:szCs w:val="32"/>
        </w:rPr>
        <w:t>万元，</w:t>
      </w:r>
      <w:r>
        <w:rPr>
          <w:rFonts w:hint="eastAsia"/>
          <w:sz w:val="32"/>
          <w:szCs w:val="32"/>
          <w:lang w:val="en-US" w:eastAsia="zh-CN"/>
        </w:rPr>
        <w:t>增长5.90%</w:t>
      </w:r>
      <w:r>
        <w:rPr>
          <w:rFonts w:hint="eastAsia"/>
          <w:sz w:val="32"/>
          <w:szCs w:val="32"/>
        </w:rPr>
        <w:t>，主要原因是</w:t>
      </w:r>
      <w:r>
        <w:rPr>
          <w:rFonts w:hint="eastAsia"/>
          <w:sz w:val="32"/>
          <w:szCs w:val="32"/>
          <w:lang w:val="en-US" w:eastAsia="zh-CN"/>
        </w:rPr>
        <w:t>2024年学校教育支出、社会保障就业支出及住房保障支出增加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974.49万元，增长46.60万元，增长5.02%，主要原因是：教师岗位变动及薪级调整等工资增加。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31.28万元，增长9.45万元，增长43.29%，主要原因是：教师退休人数增多，退休费增加。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基本工资365.69万元,津贴补贴89.65万元,奖金95.88万元,绩效工资152.25万元,机关事业单位基本养老保险缴费96.99万元,职业年金缴费48.50万元,职工基本医疗保险缴费44.86万元,其他社会保障缴费4.24万元,住房公积金76.42万元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退休费30.00万元,生活补助1.13万元,其他对个人和家庭的补助0.14万元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2024年预算没有细化到末级科目；</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0.00万元，增加0.00万元，增长0%，主要原因：学校没有公务用车，没有公务购置及运行支出预算；主要用于单位执行公务活动所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义务教育学校没有会议费预算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2024年预算没有细化到末级科目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2024年我部门无机关运行经费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1130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1125</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5</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2024年学校无重点预算项目</w:t>
      </w:r>
      <w:r>
        <w:rPr>
          <w:rFonts w:hint="default"/>
          <w:sz w:val="32"/>
          <w:szCs w:val="32"/>
          <w:lang w:eastAsia="zh-CN"/>
          <w:woUserID w:val="1"/>
        </w:rPr>
        <w:t>。</w:t>
      </w:r>
    </w:p>
    <w:p>
      <w:pPr>
        <w:rPr>
          <w:rFonts w:hint="default"/>
          <w:sz w:val="32"/>
          <w:szCs w:val="32"/>
          <w:lang w:eastAsia="zh-CN"/>
          <w:woUserID w:val="1"/>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6"/>
      <w:bookmarkStart w:id="17" w:name="bookmark94"/>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全州县永岁镇永和初中2024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381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9DJBIuUBAADhAwAADgAAAGRycy9lMm9Eb2MueG1srVPBbtsw DL0P2D8IvC+O263LgjjFsCDDgGIN0O0DFFmOBViiQCmxs68fJTvp0O3Qwy4yRdKPfI/U6n6wnThp CgZdBeVsDkI7hbVxhwp+/ti+W4AIUbpaduh0BWcd4H799s2q90t9gy12tSbBIC4se19BG6NfFkVQ rbYyzNBrx8EGycrIVzoUNcme0W1X3Mznd0WPVHtCpUNg72YMwoRIrwHEpjFKb1AdrXZxRCXdyciU Qmt8gHXutmm0io9NE3QUXQXMNOaTi7C9T2exXsnlgaRvjZpakK9p4QUnK43joleojYxSHMn8BWWN IgzYxJlCW4xEsiLMopy/0OaplV5nLix18FfRw/+DVd9POxKmruB2Ud6CcNLyzHNhUSZ1eh+WnPTk dzTdApuJ6tCQTV8mIYas6PmqqB6iUOx8v1h8+gBCceTjHU8/IRbPv3oK8atGK5JRAfG4sory9BDi mHpJSZUcbk3XJX/qauwjWXHYD1Nze6zPTIhwnHTwamsY+0GGuJPEo+XB8/LHRz6aDvsKcLJAtEi/ /uVP+aw4R0H0vCoVOH4ZILpvjieRtupi0MXYXwx3tF+Qd68EIZ1ijAoiiKMnc2hzi4lX8J+Pkbll yonQyGLiyZPPok1bmlbrz3vOen6Z69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9DJBI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381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XVlkO+gBAADmAwAADgAAAGRycy9lMm9Eb2MueG1srVPB jtowEL1X6j9YvpcAK+gqIqyqIqpKqy7Sth9gHJtYij3u2CGhX9+xE9hq28MeejHj8fDmvTeTzcNg W3ZWGAy4ii9mc86Uk1Abd6r4j+/7D/echShcLVpwquIXFfjD9v27Te9LtYQG2lohIxAXyt5XvInR l0URZKOsCDPwytGjBrQi0hVPRY2iJ3TbFsv5fF30gLVHkCoEyu7GRz4h4lsAQWsj1Q5kZ5WLIyqq VkSSFBrjA99mtlorGZ+0DiqytuKkNOaTmlB8TGex3YjyhMI3Rk4UxFsovNJkhXHU9Aa1E1GwDs1f UNZIhAA6ziTYYhSSHSEVi/krb54b4VXWQlYHfzM9/D9Y+e18QGbqit/dL1acOWFp5rkxW66SPb0P JVU9+wNOt0Bh0jpotOmXVLAhW3q5WaqGyCQl08TXZLakp8V69fEuYxYvf/YY4hcFlqWg4kgTy0aK 82OI1JBKryWpl4O9aduUT7xGJimKw3GY6B2hvpAmhHHYwcu9IexHEeJBIE2X6ND+xyc6dAt9xWGK OGsAf/0rn+rJdHrlrKdtqXj42QlUnLVfHY0jrdY1wGtwvAaus5+BFnDBmXCSUCoeOes8mlOTSY7K PnURtMmik6RRx6SUxp+9mFY17def91z18nlufwN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XVlkO+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1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OHGhqeoBAADlAwAADgAAAGRycy9lMm9Eb2MueG1s rVNNj9MwEL0j8R+sudMkhaISNV0hqiKkFVtplx/gOk5jKf5g7DQpv56xk3bRwmEPXNzn8fTNvDeT zd2oO3aW6JU1FRSLHJg0wtbKnCr48bR/twbmAzc176yRFVykh7vt2zebwZVyaVvb1RIZkRhfDq6C NgRXZpkXrdTcL6yThh4bi5oHuuIpq5EPxK67bJnnH7PBYu3QCuk9RXfTI8yM+BpC2zRKyJ0VvZYm TKwoOx5Ikm+V87BN3TaNFOGhabwMrKuAlIZ0UhHCx3hm2w0vT8hdq8TcAn9NCy80aa4MFb1R7Xjg rEf1F5VWAq23TVgIq7NJSHKEVBT5C28eW+5k0kJWe3cz3f8/WvH9fECm6grer4sPwAzXNPNUmK2i O4PzJSU9ugPON08wSh0b1PGXRLAxOXq5OSrHwAQFV+siX66ACXoq8k/rVeLMnv/s0Iev0moWQQVI A0s+8vO9D1SQUq8psZaxe9V1MR77mjqJKIzHcW7vaOsLSUI7zdo7sVfEfc99OHCk4dLoaf3DAx1N Z4cK7IyAtRZ//Sse88lzegU20LJU4H/2HCWw7puhacTNugK8guMVmF5/sbR/BTBuBLFUEID1DtWp TU1GZd597gOpS6KjpEnHrJSmn7yYNzWu15/3lPX8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A4caGp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3DCDE"/>
    <w:multiLevelType w:val="singleLevel"/>
    <w:tmpl w:val="C5B3DCDE"/>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pgPJ8nwbcHSy50Mz+CRkVw==" w:hash="OYolmmRDDHolzefG7VyqWApITqMLCNnhgfoqFg6KAEeNqVuWYqWtYc7aRXIiPAbO43KqQkbovHNBq7ahZmVYd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53EF2895"/>
    <w:rsid w:val="7FDC983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dcterms="http://purl.org/dc/terms/" xmlns:xsi="http://www.w3.org/2001/XMLSchema-instance" xmlns:cp="http://schemas.openxmlformats.org/package/2006/metadata/core-properties" xmlns:dc="http://purl.org/dc/elements/1.1/">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name="KSOProductBuildVer" pid="2">
    <vt:lpwstr>2052-12.1.0.16120</vt:lpwstr>
  </property>
  <property fmtid="{D5CDD505-2E9C-101B-9397-08002B2CF9AE}" name="ICV" pid="3">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e6b18-8d3c-4311-8637-5c921c39206d}">
  <ds:schemaRefs/>
</ds:datastoreItem>
</file>

<file path=customXml/itemProps3.xml><?xml version="1.0" encoding="utf-8"?>
<ds:datastoreItem xmlns:ds="http://schemas.openxmlformats.org/officeDocument/2006/customXml" ds:itemID="{7cd09c04-9e9d-4e16-bf21-78ac6a83a0e0}">
  <ds:schemaRefs/>
</ds:datastoreItem>
</file>

<file path=customXml/itemProps4.xml><?xml version="1.0" encoding="utf-8"?>
<ds:datastoreItem xmlns:ds="http://schemas.openxmlformats.org/officeDocument/2006/customXml" ds:itemID="{27070d4c-5a59-41e5-afcc-1c139b88307e}">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2024-04-08T22:23:24Z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