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全州县白宝乡初级中学</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0"/>
      <w:bookmarkStart w:id="2" w:name="bookmark1"/>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全州县白宝乡初级中学</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全州县白宝乡初级中学2024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全州县白宝乡初级中学2024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3"/>
      <w:bookmarkStart w:id="5" w:name="bookmark14"/>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全州县白宝乡初级中学概况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1、规划教育教学、职业技术教育综合管理，加强学生的专业技能、思想、德育、心理健康教育、艺术教育、国防教育等，推进学生均衡发展。</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2、实行财政预算，决算与预算相同。</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3、努力改善办学条件，加强学校教育信息化，提高教学、专业技能质量，指导学生社会实践工作。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2024年我校部门预算编制全额拨款事业单位共1个，学校实行校长负责制，下设办公室、总务室、教务处、后勤处、教研室、团委会、工会委员等中层机构，管理学生的教育教学、日常生活、专业技能等各项事务。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学校核定编制人数为26人，实有在编人数26人。编内在职26人，全额事业在职26人，退休22人。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1、贯彻落实国家教育方针，教书育人，培训人才，发展科技，服务社会。</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2、努力改善办学条件，提高教学质量。</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3、加大学校教师培训，强化管理，努力建设高素质的教师队伍。</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4、加强学校安全工作，切实维护学校学生安全。</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textAlignment w:val="auto"/>
        <w:rPr>
          <w:rFonts w:hint="default" w:ascii="宋体" w:hAnsi="宋体" w:eastAsia="宋体" w:cs="宋体"/>
          <w:b/>
          <w:bCs/>
          <w:color w:val="000000"/>
          <w:kern w:val="0"/>
          <w:sz w:val="32"/>
          <w:szCs w:val="32"/>
          <w:lang w:val="zh-TW" w:eastAsia="zh-TW" w:bidi="zh-TW"/>
        </w:rPr>
      </w:pP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000000"/>
          <w:sz w:val="32"/>
          <w:szCs w:val="32"/>
          <w:lang w:val="en-US" w:eastAsia="zh-CN" w:bidi="zh-TW"/>
        </w:rPr>
      </w:pP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ageBreakBefore w:val="0"/>
        <w:kinsoku/>
        <w:wordWrap/>
        <w:overflowPunct/>
        <w:topLinePunct w:val="0"/>
        <w:autoSpaceDE/>
        <w:autoSpaceDN/>
        <w:bidi w:val="0"/>
        <w:adjustRightInd/>
        <w:snapToGrid/>
        <w:spacing w:line="360" w:lineRule="auto"/>
        <w:textAlignment w:val="auto"/>
        <w:rPr>
          <w:sz w:val="32"/>
          <w:szCs w:val="32"/>
          <w:lang w:eastAsia="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9"/>
      <w:bookmarkStart w:id="8" w:name="bookmark70"/>
      <w:bookmarkStart w:id="9" w:name="bookmark68"/>
      <w:bookmarkStart w:id="10" w:name="bookmark27"/>
      <w:bookmarkStart w:id="11" w:name="bookmark28"/>
      <w:bookmarkStart w:id="12" w:name="bookmark26"/>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全州县白宝乡初级中学</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444.51</w:t>
      </w:r>
      <w:r>
        <w:rPr>
          <w:rFonts w:hint="eastAsia"/>
          <w:sz w:val="32"/>
          <w:szCs w:val="32"/>
        </w:rPr>
        <w:t>万元，总支出</w:t>
      </w:r>
      <w:r>
        <w:rPr>
          <w:rFonts w:hint="eastAsia"/>
          <w:sz w:val="32"/>
          <w:szCs w:val="32"/>
          <w:lang w:val="en-US" w:eastAsia="zh-CN"/>
        </w:rPr>
        <w:t>444.51</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405.51</w:t>
      </w:r>
      <w:r>
        <w:rPr>
          <w:rFonts w:hint="eastAsia"/>
          <w:sz w:val="32"/>
          <w:szCs w:val="32"/>
        </w:rPr>
        <w:t>万元，</w:t>
      </w:r>
      <w:r>
        <w:rPr>
          <w:sz w:val="32"/>
          <w:u w:color="auto"/>
        </w:rPr>
        <w:t>增加39.00万元，增长9.62%，主要原因是</w:t>
      </w:r>
      <w:r>
        <w:rPr>
          <w:rFonts w:hint="eastAsia"/>
          <w:sz w:val="32"/>
          <w:szCs w:val="32"/>
          <w:lang w:val="en-US"/>
        </w:rPr>
        <w:t>学校教育支出、社会保障和就业支出及住房保障增加</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405.51</w:t>
      </w:r>
      <w:r>
        <w:rPr>
          <w:rFonts w:hint="eastAsia"/>
          <w:sz w:val="32"/>
          <w:szCs w:val="32"/>
        </w:rPr>
        <w:t>万元，</w:t>
      </w:r>
      <w:r>
        <w:rPr>
          <w:sz w:val="32"/>
          <w:u w:color="auto"/>
        </w:rPr>
        <w:t>增加39.00万元，增长9.62%，主要原因是</w:t>
      </w:r>
      <w:r>
        <w:rPr>
          <w:rFonts w:hint="eastAsia"/>
          <w:sz w:val="32"/>
          <w:szCs w:val="32"/>
          <w:lang w:val="en-US"/>
        </w:rPr>
        <w:t>学校教育支出、社会保障和就业支出及住房保障增加</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444.51</w:t>
      </w:r>
      <w:r>
        <w:rPr>
          <w:rFonts w:hint="eastAsia"/>
          <w:sz w:val="32"/>
          <w:szCs w:val="32"/>
        </w:rPr>
        <w:t>万元，</w:t>
      </w:r>
      <w:r>
        <w:rPr>
          <w:rFonts w:hint="eastAsia"/>
          <w:sz w:val="32"/>
          <w:szCs w:val="32"/>
          <w:lang w:val="en-US" w:eastAsia="zh-CN"/>
        </w:rPr>
        <w:t>同比</w:t>
      </w:r>
      <w:r>
        <w:rPr>
          <w:rFonts w:hint="eastAsia"/>
          <w:sz w:val="32"/>
          <w:szCs w:val="32"/>
        </w:rPr>
        <w:t>增加39.00万元，</w:t>
      </w:r>
      <w:r>
        <w:rPr>
          <w:sz w:val="32"/>
          <w:u w:color="auto"/>
        </w:rPr>
        <w:t>增长9.62%</w:t>
      </w:r>
      <w:r>
        <w:rPr>
          <w:rFonts w:hint="eastAsia"/>
          <w:sz w:val="32"/>
          <w:szCs w:val="32"/>
          <w:lang w:eastAsia="zh-CN"/>
        </w:rPr>
        <w:t>。其中：一般公共预算</w:t>
      </w:r>
      <w:r>
        <w:rPr>
          <w:rFonts w:hint="eastAsia" w:ascii="宋体" w:hAnsi="宋体" w:eastAsia="宋体"/>
          <w:sz w:val="32"/>
          <w:szCs w:val="32"/>
          <w:lang w:eastAsia="zh-CN"/>
        </w:rPr>
        <w:t>444.51</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增加39.00</w:t>
      </w:r>
      <w:r>
        <w:rPr>
          <w:rFonts w:hint="eastAsia"/>
          <w:sz w:val="32"/>
          <w:szCs w:val="32"/>
          <w:lang w:eastAsia="zh-CN"/>
        </w:rPr>
        <w:t>万元，</w:t>
      </w:r>
      <w:r>
        <w:rPr>
          <w:rFonts w:hint="eastAsia" w:ascii="宋体" w:hAnsi="宋体" w:eastAsia="宋体"/>
          <w:sz w:val="32"/>
          <w:szCs w:val="32"/>
          <w:lang w:eastAsia="zh-CN"/>
        </w:rPr>
        <w:t>增长9.62%</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学校教育支出、社会保障和就业支出及住房保障增加</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2024年学校没有政府性基金预算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444.51</w:t>
      </w:r>
      <w:r>
        <w:rPr>
          <w:rFonts w:hint="eastAsia"/>
          <w:sz w:val="32"/>
          <w:szCs w:val="32"/>
        </w:rPr>
        <w:t>万元，</w:t>
      </w:r>
      <w:r>
        <w:rPr>
          <w:rFonts w:hint="eastAsia"/>
          <w:sz w:val="32"/>
          <w:szCs w:val="32"/>
          <w:lang w:val="en-US" w:eastAsia="zh-CN"/>
        </w:rPr>
        <w:t>同比</w:t>
      </w:r>
      <w:r>
        <w:rPr>
          <w:rFonts w:hint="eastAsia"/>
          <w:sz w:val="32"/>
          <w:szCs w:val="32"/>
        </w:rPr>
        <w:t>增加39.00万元，</w:t>
      </w:r>
      <w:r>
        <w:rPr>
          <w:sz w:val="32"/>
          <w:u w:color="auto"/>
        </w:rPr>
        <w:t>增长9.62%</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444.51</w:t>
      </w:r>
      <w:r>
        <w:rPr>
          <w:rFonts w:hint="eastAsia"/>
          <w:sz w:val="32"/>
          <w:szCs w:val="32"/>
        </w:rPr>
        <w:t>万元，占支出预算</w:t>
      </w:r>
      <w:r>
        <w:rPr>
          <w:sz w:val="32"/>
          <w:u w:color="auto"/>
        </w:rPr>
        <w:t>100.00%,</w:t>
      </w:r>
      <w:r>
        <w:rPr>
          <w:rFonts w:hint="eastAsia"/>
          <w:sz w:val="32"/>
          <w:szCs w:val="32"/>
          <w:lang w:val="en-US" w:eastAsia="zh-CN"/>
        </w:rPr>
        <w:t>同比</w:t>
      </w:r>
      <w:r>
        <w:rPr>
          <w:rFonts w:hint="eastAsia"/>
          <w:sz w:val="32"/>
          <w:szCs w:val="32"/>
        </w:rPr>
        <w:t>增加70.97</w:t>
      </w:r>
      <w:r>
        <w:rPr>
          <w:sz w:val="32"/>
          <w:u w:color="auto"/>
        </w:rPr>
        <w:t>万元，增长19.00%</w:t>
      </w:r>
      <w:r>
        <w:rPr>
          <w:sz w:val="32"/>
          <w:szCs w:val="32"/>
        </w:rPr>
        <w:t>。</w:t>
      </w:r>
      <w:r>
        <w:rPr>
          <w:rFonts w:hint="eastAsia"/>
          <w:sz w:val="32"/>
          <w:szCs w:val="32"/>
        </w:rPr>
        <w:t>主要原因是</w:t>
      </w:r>
      <w:r>
        <w:rPr>
          <w:sz w:val="32"/>
          <w:szCs w:val="32"/>
        </w:rPr>
        <w:t>：</w:t>
      </w:r>
      <w:r>
        <w:rPr>
          <w:rFonts w:hint="eastAsia"/>
          <w:sz w:val="32"/>
          <w:szCs w:val="32"/>
          <w:lang w:val="en-US" w:eastAsia="zh-CN"/>
        </w:rPr>
        <w:t>2024年学校教育支出、社会保障就业支出及住房保障支出增加</w:t>
      </w:r>
      <w:r>
        <w:rPr>
          <w:rFonts w:hint="eastAsia"/>
          <w:sz w:val="32"/>
          <w:szCs w:val="32"/>
          <w:lang w:val="en-US"/>
        </w:rPr>
        <w:t>。</w:t>
      </w:r>
      <w:r>
        <w:rPr>
          <w:rFonts w:hint="eastAsia"/>
          <w:sz w:val="32"/>
          <w:szCs w:val="32"/>
        </w:rPr>
        <w:t>项目支出预算</w:t>
      </w:r>
      <w:r>
        <w:rPr>
          <w:rFonts w:hint="eastAsia"/>
          <w:sz w:val="32"/>
          <w:szCs w:val="32"/>
          <w:lang w:val="en-US"/>
        </w:rPr>
        <w:t>0.00</w:t>
      </w:r>
      <w:r>
        <w:rPr>
          <w:rFonts w:hint="eastAsia"/>
          <w:sz w:val="32"/>
          <w:szCs w:val="32"/>
        </w:rPr>
        <w:t>万元，占支出预算</w:t>
      </w:r>
      <w:r>
        <w:rPr>
          <w:sz w:val="32"/>
          <w:u w:color="auto"/>
        </w:rPr>
        <w:t>0.00%</w:t>
      </w:r>
      <w:r>
        <w:rPr>
          <w:rFonts w:hint="eastAsia"/>
          <w:sz w:val="32"/>
          <w:szCs w:val="32"/>
        </w:rPr>
        <w:t>,</w:t>
      </w:r>
      <w:r>
        <w:rPr>
          <w:rFonts w:hint="eastAsia"/>
          <w:sz w:val="32"/>
          <w:szCs w:val="32"/>
          <w:lang w:val="en-US" w:eastAsia="zh-CN"/>
        </w:rPr>
        <w:t>同比</w:t>
      </w:r>
      <w:r>
        <w:rPr>
          <w:rFonts w:hint="eastAsia"/>
          <w:sz w:val="32"/>
          <w:szCs w:val="32"/>
        </w:rPr>
        <w:t>减少31.96万元，</w:t>
      </w:r>
      <w:r>
        <w:rPr>
          <w:sz w:val="32"/>
          <w:u w:color="auto"/>
        </w:rPr>
        <w:t>下降100.00%</w:t>
      </w:r>
      <w:r>
        <w:rPr>
          <w:sz w:val="32"/>
          <w:szCs w:val="32"/>
        </w:rPr>
        <w:t>。</w:t>
      </w:r>
      <w:r>
        <w:rPr>
          <w:rFonts w:hint="eastAsia"/>
          <w:sz w:val="32"/>
          <w:szCs w:val="32"/>
        </w:rPr>
        <w:t>主要原因是</w:t>
      </w:r>
      <w:r>
        <w:rPr>
          <w:sz w:val="32"/>
          <w:szCs w:val="32"/>
        </w:rPr>
        <w:t>：</w:t>
      </w:r>
      <w:r>
        <w:rPr>
          <w:rFonts w:hint="eastAsia"/>
          <w:sz w:val="32"/>
          <w:szCs w:val="32"/>
          <w:lang w:val="en-US" w:eastAsia="zh-CN"/>
        </w:rPr>
        <w:t>2024年学校没有项目支出预算。</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444.51</w:t>
      </w:r>
      <w:r>
        <w:rPr>
          <w:rFonts w:hint="eastAsia"/>
          <w:sz w:val="32"/>
          <w:szCs w:val="32"/>
        </w:rPr>
        <w:t>万元，</w:t>
      </w:r>
      <w:r>
        <w:rPr>
          <w:rFonts w:hint="eastAsia"/>
          <w:sz w:val="32"/>
          <w:szCs w:val="32"/>
          <w:lang w:val="en-US" w:eastAsia="zh-CN"/>
        </w:rPr>
        <w:t>同比</w:t>
      </w:r>
      <w:r>
        <w:rPr>
          <w:rFonts w:hint="eastAsia"/>
          <w:sz w:val="32"/>
          <w:szCs w:val="32"/>
        </w:rPr>
        <w:t>增加39.00万元，</w:t>
      </w:r>
      <w:r>
        <w:rPr>
          <w:sz w:val="32"/>
          <w:u w:color="auto"/>
        </w:rPr>
        <w:t>增长9.62%</w:t>
      </w:r>
      <w:r>
        <w:rPr>
          <w:rFonts w:hint="eastAsia"/>
          <w:sz w:val="32"/>
          <w:szCs w:val="32"/>
          <w:lang w:eastAsia="zh-CN"/>
        </w:rPr>
        <w:t>。其中：一般公共预算</w:t>
      </w:r>
      <w:r>
        <w:rPr>
          <w:rFonts w:hint="eastAsia" w:ascii="宋体" w:hAnsi="宋体" w:eastAsia="宋体"/>
          <w:sz w:val="32"/>
          <w:szCs w:val="32"/>
          <w:lang w:eastAsia="zh-CN"/>
        </w:rPr>
        <w:t>444.51</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增加39.00</w:t>
      </w:r>
      <w:r>
        <w:rPr>
          <w:rFonts w:hint="eastAsia"/>
          <w:sz w:val="32"/>
          <w:szCs w:val="32"/>
          <w:lang w:eastAsia="zh-CN"/>
        </w:rPr>
        <w:t>万元，</w:t>
      </w:r>
      <w:r>
        <w:rPr>
          <w:rFonts w:hint="eastAsia" w:ascii="宋体" w:hAnsi="宋体" w:eastAsia="宋体"/>
          <w:sz w:val="32"/>
          <w:szCs w:val="32"/>
          <w:lang w:eastAsia="zh-CN"/>
        </w:rPr>
        <w:t>增长9.62%</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学校教育支出、社会保障和就业支出及住房保障增加</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2024年学校没有政府性基金预算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zh-TW" w:eastAsia="zh-TW"/>
        </w:rPr>
      </w:pPr>
      <w:r>
        <w:rPr>
          <w:rFonts w:hint="eastAsia"/>
          <w:sz w:val="32"/>
          <w:szCs w:val="32"/>
          <w:lang w:val="zh-TW" w:eastAsia="zh-TW"/>
        </w:rPr>
        <w:t>2024年财政拨款支出预算</w:t>
      </w:r>
      <w:r>
        <w:rPr>
          <w:rFonts w:hint="eastAsia"/>
          <w:sz w:val="32"/>
          <w:szCs w:val="32"/>
          <w:lang w:val="en-US" w:eastAsia="zh-CN"/>
        </w:rPr>
        <w:t>444.51</w:t>
      </w:r>
      <w:r>
        <w:rPr>
          <w:rFonts w:hint="eastAsia"/>
          <w:sz w:val="32"/>
          <w:szCs w:val="32"/>
          <w:lang w:val="zh-TW" w:eastAsia="zh-TW"/>
        </w:rPr>
        <w:t>万元，同比</w:t>
      </w:r>
      <w:r>
        <w:rPr>
          <w:rFonts w:hint="eastAsia"/>
          <w:sz w:val="32"/>
          <w:szCs w:val="32"/>
          <w:lang w:val="en-US" w:eastAsia="zh-TW"/>
        </w:rPr>
        <w:t>增加39.00</w:t>
      </w:r>
      <w:r>
        <w:rPr>
          <w:rFonts w:hint="eastAsia"/>
          <w:sz w:val="32"/>
          <w:szCs w:val="32"/>
          <w:lang w:val="zh-TW" w:eastAsia="zh-TW"/>
        </w:rPr>
        <w:t>万元，</w:t>
      </w:r>
      <w:r>
        <w:rPr>
          <w:sz w:val="32"/>
          <w:u w:color="auto"/>
        </w:rPr>
        <w:t>增长9.62%</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学校教育支出、社会保障和就业支出及住房保障增加。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rPr>
      </w:pP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年一般公共预算支出共444.51万元，同比增加39.00万元，增长9.62%，按支出功能分类科目划分，共分为4类，其中：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教育支出</w:t>
      </w:r>
      <w:r>
        <w:rPr>
          <w:rFonts w:hint="eastAsia"/>
          <w:sz w:val="32"/>
          <w:szCs w:val="32"/>
          <w:lang w:val="en-US" w:eastAsia="zh-CN"/>
        </w:rPr>
        <w:t>科目</w:t>
      </w:r>
      <w:r>
        <w:rPr>
          <w:rFonts w:hint="eastAsia"/>
          <w:sz w:val="32"/>
          <w:szCs w:val="32"/>
        </w:rPr>
        <w:t>327.94万元，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73.78%</w:t>
      </w:r>
      <w:r>
        <w:rPr>
          <w:rFonts w:hint="eastAsia"/>
          <w:sz w:val="32"/>
          <w:szCs w:val="32"/>
        </w:rPr>
        <w:t>，</w:t>
      </w:r>
      <w:r>
        <w:rPr>
          <w:rFonts w:hint="eastAsia"/>
          <w:sz w:val="32"/>
          <w:szCs w:val="32"/>
          <w:lang w:val="en-US" w:eastAsia="zh-CN"/>
        </w:rPr>
        <w:t>同比</w:t>
      </w:r>
      <w:r>
        <w:rPr>
          <w:rFonts w:hint="eastAsia"/>
          <w:sz w:val="32"/>
          <w:szCs w:val="32"/>
        </w:rPr>
        <w:t>增加36.94万元，</w:t>
      </w:r>
      <w:r>
        <w:rPr>
          <w:sz w:val="32"/>
          <w:u w:color="auto"/>
        </w:rPr>
        <w:t>增长12.69%</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其他教育管理事务支出</w:t>
      </w:r>
      <w:r>
        <w:rPr>
          <w:rFonts w:hint="eastAsia"/>
          <w:sz w:val="32"/>
          <w:szCs w:val="32"/>
          <w:lang w:val="en-US" w:eastAsia="zh-CN"/>
        </w:rPr>
        <w:t>科目</w:t>
      </w:r>
      <w:r>
        <w:rPr>
          <w:rFonts w:hint="eastAsia"/>
          <w:sz w:val="32"/>
          <w:szCs w:val="32"/>
        </w:rPr>
        <w:t>0.00万元，</w:t>
      </w:r>
      <w:r>
        <w:rPr>
          <w:rFonts w:hint="eastAsia"/>
          <w:sz w:val="32"/>
          <w:szCs w:val="32"/>
          <w:lang w:val="en-US" w:eastAsia="zh-CN"/>
        </w:rPr>
        <w:t>同比</w:t>
      </w:r>
      <w:r>
        <w:rPr>
          <w:rFonts w:hint="eastAsia"/>
          <w:sz w:val="32"/>
          <w:szCs w:val="32"/>
        </w:rPr>
        <w:t>减少31.96万元，</w:t>
      </w:r>
      <w:r>
        <w:rPr>
          <w:sz w:val="32"/>
          <w:u w:color="auto"/>
        </w:rPr>
        <w:t>下降100.00%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2024年学校预算项目调整</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初中教育</w:t>
      </w:r>
      <w:r>
        <w:rPr>
          <w:rFonts w:hint="eastAsia"/>
          <w:sz w:val="32"/>
          <w:szCs w:val="32"/>
          <w:lang w:val="en-US" w:eastAsia="zh-CN"/>
        </w:rPr>
        <w:t>科目</w:t>
      </w:r>
      <w:r>
        <w:rPr>
          <w:rFonts w:hint="eastAsia"/>
          <w:sz w:val="32"/>
          <w:szCs w:val="32"/>
        </w:rPr>
        <w:t>327.94万元，</w:t>
      </w:r>
      <w:r>
        <w:rPr>
          <w:rFonts w:hint="eastAsia"/>
          <w:sz w:val="32"/>
          <w:szCs w:val="32"/>
          <w:lang w:val="en-US" w:eastAsia="zh-CN"/>
        </w:rPr>
        <w:t>同比</w:t>
      </w:r>
      <w:r>
        <w:rPr>
          <w:rFonts w:hint="eastAsia"/>
          <w:sz w:val="32"/>
          <w:szCs w:val="32"/>
        </w:rPr>
        <w:t>增加68.90万元，</w:t>
      </w:r>
      <w:r>
        <w:rPr>
          <w:sz w:val="32"/>
          <w:u w:color="auto"/>
        </w:rPr>
        <w:t>增长26.60%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bookmarkStart w:id="20" w:name="_GoBack"/>
      <w:bookmarkEnd w:id="20"/>
      <w:r>
        <w:rPr>
          <w:rFonts w:hint="eastAsia"/>
          <w:sz w:val="32"/>
          <w:szCs w:val="32"/>
          <w:highlight w:val="none"/>
        </w:rPr>
        <w:t>学校教育支出，根据国家规定的基本工资和津补贴标准等安排的人员经费支出，按县级公用经费定额标准安排的办公费、印刷费、邮电费、水电费、差旅费等日常公用经费支出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63.98万元，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14.39%</w:t>
      </w:r>
      <w:r>
        <w:rPr>
          <w:rFonts w:hint="eastAsia"/>
          <w:sz w:val="32"/>
          <w:szCs w:val="32"/>
        </w:rPr>
        <w:t>，</w:t>
      </w:r>
      <w:r>
        <w:rPr>
          <w:rFonts w:hint="eastAsia"/>
          <w:sz w:val="32"/>
          <w:szCs w:val="32"/>
          <w:lang w:val="en-US" w:eastAsia="zh-CN"/>
        </w:rPr>
        <w:t>同比</w:t>
      </w:r>
      <w:r>
        <w:rPr>
          <w:rFonts w:hint="eastAsia"/>
          <w:sz w:val="32"/>
          <w:szCs w:val="32"/>
        </w:rPr>
        <w:t>增加2.59万元，</w:t>
      </w:r>
      <w:r>
        <w:rPr>
          <w:sz w:val="32"/>
          <w:u w:color="auto"/>
        </w:rPr>
        <w:t>增长4.22%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41.78万元，</w:t>
      </w:r>
      <w:r>
        <w:rPr>
          <w:rFonts w:hint="eastAsia"/>
          <w:sz w:val="32"/>
          <w:szCs w:val="32"/>
          <w:lang w:val="en-US" w:eastAsia="zh-CN"/>
        </w:rPr>
        <w:t>同比</w:t>
      </w:r>
      <w:r>
        <w:rPr>
          <w:rFonts w:hint="eastAsia"/>
          <w:sz w:val="32"/>
          <w:szCs w:val="32"/>
        </w:rPr>
        <w:t>增加1.69万元，</w:t>
      </w:r>
      <w:r>
        <w:rPr>
          <w:sz w:val="32"/>
          <w:u w:color="auto"/>
        </w:rPr>
        <w:t>增长4.22%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20.89万元，</w:t>
      </w:r>
      <w:r>
        <w:rPr>
          <w:rFonts w:hint="eastAsia"/>
          <w:sz w:val="32"/>
          <w:szCs w:val="32"/>
          <w:lang w:val="en-US" w:eastAsia="zh-CN"/>
        </w:rPr>
        <w:t>同比</w:t>
      </w:r>
      <w:r>
        <w:rPr>
          <w:rFonts w:hint="eastAsia"/>
          <w:sz w:val="32"/>
          <w:szCs w:val="32"/>
        </w:rPr>
        <w:t>增加0.85万元，</w:t>
      </w:r>
      <w:r>
        <w:rPr>
          <w:sz w:val="32"/>
          <w:u w:color="auto"/>
        </w:rPr>
        <w:t>增长4.24%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1.31万元，</w:t>
      </w:r>
      <w:r>
        <w:rPr>
          <w:rFonts w:hint="eastAsia"/>
          <w:sz w:val="32"/>
          <w:szCs w:val="32"/>
          <w:lang w:val="en-US" w:eastAsia="zh-CN"/>
        </w:rPr>
        <w:t>同比</w:t>
      </w:r>
      <w:r>
        <w:rPr>
          <w:rFonts w:hint="eastAsia"/>
          <w:sz w:val="32"/>
          <w:szCs w:val="32"/>
        </w:rPr>
        <w:t>增加0.06万元，</w:t>
      </w:r>
      <w:r>
        <w:rPr>
          <w:sz w:val="32"/>
          <w:u w:color="auto"/>
        </w:rPr>
        <w:t>增长4.80%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单位在职职工其他社会保障和就业支出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19.85万元，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4.47%</w:t>
      </w:r>
      <w:r>
        <w:rPr>
          <w:rFonts w:hint="eastAsia"/>
          <w:sz w:val="32"/>
          <w:szCs w:val="32"/>
        </w:rPr>
        <w:t>，</w:t>
      </w:r>
      <w:r>
        <w:rPr>
          <w:rFonts w:hint="eastAsia"/>
          <w:sz w:val="32"/>
          <w:szCs w:val="32"/>
          <w:lang w:val="en-US" w:eastAsia="zh-CN"/>
        </w:rPr>
        <w:t>同比</w:t>
      </w:r>
      <w:r>
        <w:rPr>
          <w:rFonts w:hint="eastAsia"/>
          <w:sz w:val="32"/>
          <w:szCs w:val="32"/>
        </w:rPr>
        <w:t>减少3.20万元，</w:t>
      </w:r>
      <w:r>
        <w:rPr>
          <w:sz w:val="32"/>
          <w:u w:color="auto"/>
        </w:rPr>
        <w:t>下降13.88%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19.33万元，</w:t>
      </w:r>
      <w:r>
        <w:rPr>
          <w:rFonts w:hint="eastAsia"/>
          <w:sz w:val="32"/>
          <w:szCs w:val="32"/>
          <w:lang w:val="en-US" w:eastAsia="zh-CN"/>
        </w:rPr>
        <w:t>同比</w:t>
      </w:r>
      <w:r>
        <w:rPr>
          <w:rFonts w:hint="eastAsia"/>
          <w:sz w:val="32"/>
          <w:szCs w:val="32"/>
        </w:rPr>
        <w:t>减少3.22万元，</w:t>
      </w:r>
      <w:r>
        <w:rPr>
          <w:sz w:val="32"/>
          <w:u w:color="auto"/>
        </w:rPr>
        <w:t>下降14.28%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0.52万元，</w:t>
      </w:r>
      <w:r>
        <w:rPr>
          <w:rFonts w:hint="eastAsia"/>
          <w:sz w:val="32"/>
          <w:szCs w:val="32"/>
          <w:lang w:val="en-US" w:eastAsia="zh-CN"/>
        </w:rPr>
        <w:t>同比</w:t>
      </w:r>
      <w:r>
        <w:rPr>
          <w:rFonts w:hint="eastAsia"/>
          <w:sz w:val="32"/>
          <w:szCs w:val="32"/>
        </w:rPr>
        <w:t>增加0.02万元，</w:t>
      </w:r>
      <w:r>
        <w:rPr>
          <w:sz w:val="32"/>
          <w:u w:color="auto"/>
        </w:rPr>
        <w:t>增长4.00%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是根据统一规定，按事业单位在职职工工资总额的一定比例缴纳的其他行政事业单位医疗支出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32.74万元，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7.37%</w:t>
      </w:r>
      <w:r>
        <w:rPr>
          <w:rFonts w:hint="eastAsia"/>
          <w:sz w:val="32"/>
          <w:szCs w:val="32"/>
        </w:rPr>
        <w:t>，</w:t>
      </w:r>
      <w:r>
        <w:rPr>
          <w:rFonts w:hint="eastAsia"/>
          <w:sz w:val="32"/>
          <w:szCs w:val="32"/>
          <w:lang w:val="en-US" w:eastAsia="zh-CN"/>
        </w:rPr>
        <w:t>同比</w:t>
      </w:r>
      <w:r>
        <w:rPr>
          <w:rFonts w:hint="eastAsia"/>
          <w:sz w:val="32"/>
          <w:szCs w:val="32"/>
        </w:rPr>
        <w:t>增加2.67万元，</w:t>
      </w:r>
      <w:r>
        <w:rPr>
          <w:sz w:val="32"/>
          <w:u w:color="auto"/>
        </w:rPr>
        <w:t>增长8.88%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32.74万元，</w:t>
      </w:r>
      <w:r>
        <w:rPr>
          <w:rFonts w:hint="eastAsia"/>
          <w:sz w:val="32"/>
          <w:szCs w:val="32"/>
          <w:lang w:val="en-US" w:eastAsia="zh-CN"/>
        </w:rPr>
        <w:t>同比</w:t>
      </w:r>
      <w:r>
        <w:rPr>
          <w:rFonts w:hint="eastAsia"/>
          <w:sz w:val="32"/>
          <w:szCs w:val="32"/>
        </w:rPr>
        <w:t>增加2.67万元，</w:t>
      </w:r>
      <w:r>
        <w:rPr>
          <w:sz w:val="32"/>
          <w:u w:color="auto"/>
        </w:rPr>
        <w:t>增长8.88%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是按照统一规定,为职工缴纳的住房公积金支出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444.51</w:t>
      </w:r>
      <w:r>
        <w:rPr>
          <w:rFonts w:hint="eastAsia"/>
          <w:sz w:val="32"/>
          <w:szCs w:val="32"/>
        </w:rPr>
        <w:t>万元，</w:t>
      </w:r>
      <w:r>
        <w:rPr>
          <w:rFonts w:hint="eastAsia"/>
          <w:sz w:val="32"/>
          <w:szCs w:val="32"/>
          <w:lang w:val="en-US" w:eastAsia="zh-CN"/>
        </w:rPr>
        <w:t>增加70.97</w:t>
      </w:r>
      <w:r>
        <w:rPr>
          <w:rFonts w:hint="eastAsia"/>
          <w:sz w:val="32"/>
          <w:szCs w:val="32"/>
        </w:rPr>
        <w:t>万元，</w:t>
      </w:r>
      <w:r>
        <w:rPr>
          <w:rFonts w:hint="eastAsia"/>
          <w:sz w:val="32"/>
          <w:szCs w:val="32"/>
          <w:lang w:val="en-US" w:eastAsia="zh-CN"/>
        </w:rPr>
        <w:t>增长19.00%</w:t>
      </w:r>
      <w:r>
        <w:rPr>
          <w:rFonts w:hint="eastAsia"/>
          <w:sz w:val="32"/>
          <w:szCs w:val="32"/>
        </w:rPr>
        <w:t>，主要原因是</w:t>
      </w:r>
      <w:r>
        <w:rPr>
          <w:rFonts w:hint="eastAsia"/>
          <w:sz w:val="32"/>
          <w:szCs w:val="32"/>
          <w:lang w:val="en-US" w:eastAsia="zh-CN"/>
        </w:rPr>
        <w:t>2024年学校教育支出、社会保障就业支出及住房保障支出增加</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420.07万元，增长62.16万元，增长17.37%，主要原因是：教师岗位变动及薪级调整等工资增加。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24.44万元，增长8.80万元，增长56.27%，主要原因是：教师退休人数增多，退休费增加。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基本工资161.83万元,津贴补贴40.38万元,奖金36.66万元,绩效工资64.63万元,机关事业单位基本养老保险缴费41.78万元,职业年金缴费20.89万元,职工基本医疗保险缴费19.33万元,其他社会保障缴费1.83万元,住房公积金32.74万元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退休费22.00万元,生活补助2.27万元,其他对个人和家庭的补助0.17万元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0.00</w:t>
      </w:r>
      <w:r>
        <w:rPr>
          <w:rFonts w:hint="eastAsia"/>
          <w:sz w:val="32"/>
          <w:szCs w:val="32"/>
          <w:lang w:eastAsia="zh-CN"/>
        </w:rPr>
        <w:t>万元，</w:t>
      </w:r>
      <w:r>
        <w:rPr>
          <w:sz w:val="32"/>
          <w:u w:color="auto"/>
        </w:rPr>
        <w:t>增加0.00万元，增长0%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0.00</w:t>
      </w:r>
      <w:r>
        <w:rPr>
          <w:rFonts w:hint="eastAsia"/>
          <w:sz w:val="32"/>
          <w:szCs w:val="32"/>
          <w:lang w:eastAsia="zh-CN"/>
        </w:rPr>
        <w:t>万元，</w:t>
      </w:r>
      <w:r>
        <w:rPr>
          <w:rFonts w:hint="eastAsia"/>
          <w:sz w:val="32"/>
          <w:szCs w:val="32"/>
        </w:rPr>
        <w:t>增加0.00</w:t>
      </w:r>
      <w:r>
        <w:rPr>
          <w:sz w:val="32"/>
          <w:u w:color="auto"/>
        </w:rPr>
        <w:t>万元，增长0%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2024年预算没有细化到未级科目；</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0.00万元，增加0.00万元，增长0%，主要原因：学校没有公务用车，没有公务用车购置及运行支出预算；主要用于单位执行公务活动所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义务教育学校没有会议费预算</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2024年预算没有细化到未级科目</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eastAsia="en-US"/>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eastAsia="en-US"/>
          <w:woUserID w:val="1"/>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我部门2024年没有国有资本经营预算支出</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0.00</w:t>
      </w:r>
      <w:r>
        <w:rPr>
          <w:rFonts w:hint="eastAsia"/>
          <w:sz w:val="32"/>
          <w:szCs w:val="32"/>
        </w:rPr>
        <w:t>万元，较2023年度预算数</w:t>
      </w:r>
      <w:r>
        <w:rPr>
          <w:rFonts w:hint="eastAsia"/>
          <w:sz w:val="32"/>
          <w:szCs w:val="32"/>
          <w:lang w:val="en-US"/>
        </w:rPr>
        <w:t>0.00</w:t>
      </w:r>
      <w:r>
        <w:rPr>
          <w:rFonts w:hint="eastAsia"/>
          <w:sz w:val="32"/>
          <w:szCs w:val="32"/>
        </w:rPr>
        <w:t>万元，</w:t>
      </w:r>
      <w:r>
        <w:rPr>
          <w:rFonts w:hint="eastAsia"/>
          <w:sz w:val="32"/>
          <w:szCs w:val="32"/>
          <w:lang w:val="en-US"/>
        </w:rPr>
        <w:t>增加0.00</w:t>
      </w:r>
      <w:r>
        <w:rPr>
          <w:rFonts w:hint="eastAsia"/>
          <w:sz w:val="32"/>
          <w:szCs w:val="32"/>
        </w:rPr>
        <w:t>万元，</w:t>
      </w:r>
      <w:r>
        <w:rPr>
          <w:rFonts w:hint="eastAsia"/>
          <w:sz w:val="32"/>
          <w:szCs w:val="32"/>
          <w:lang w:val="en-US"/>
        </w:rPr>
        <w:t>增长0%</w:t>
      </w:r>
      <w:r>
        <w:rPr>
          <w:rFonts w:hint="eastAsia"/>
          <w:sz w:val="32"/>
          <w:szCs w:val="32"/>
        </w:rPr>
        <w:t>，主要原因是：</w:t>
      </w:r>
      <w:r>
        <w:rPr>
          <w:rFonts w:hint="eastAsia"/>
          <w:sz w:val="32"/>
          <w:szCs w:val="32"/>
          <w:lang w:val="en-US"/>
        </w:rPr>
        <w:t>2024年我部门无机关运行经费</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923.90</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923.90</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5.26</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r>
        <w:rPr>
          <w:rFonts w:hint="eastAsia"/>
          <w:sz w:val="32"/>
          <w:szCs w:val="32"/>
          <w:lang w:val="en-US" w:eastAsia="zh-CN"/>
        </w:rPr>
        <w:t>2024年学校无重点预算项目。</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sectPr>
          <w:headerReference r:id="rId9" w:type="default"/>
          <w:footerReference r:id="rId10" w:type="default"/>
          <w:pgSz w:w="11900" w:h="16840"/>
          <w:pgMar w:top="1440" w:right="1800" w:bottom="1440" w:left="1800" w:header="0" w:footer="3" w:gutter="0"/>
          <w:pgNumType w:fmt="decimal"/>
          <w:cols w:space="720" w:num="1"/>
          <w:docGrid w:linePitch="360" w:charSpace="0"/>
        </w:sectPr>
      </w:pPr>
    </w:p>
    <w:bookmarkEnd w:id="10"/>
    <w:bookmarkEnd w:id="11"/>
    <w:bookmarkEnd w:id="12"/>
    <w:p>
      <w:pPr>
        <w:pageBreakBefore w:val="0"/>
        <w:kinsoku/>
        <w:wordWrap/>
        <w:overflowPunct/>
        <w:topLinePunct w:val="0"/>
        <w:autoSpaceDE/>
        <w:autoSpaceDN/>
        <w:bidi w:val="0"/>
        <w:adjustRightInd/>
        <w:snapToGrid/>
        <w:spacing w:line="360" w:lineRule="auto"/>
        <w:textAlignment w:val="auto"/>
        <w:rPr>
          <w:sz w:val="32"/>
          <w:szCs w:val="32"/>
          <w:lang w:eastAsia="zh-CN"/>
        </w:rPr>
      </w:pPr>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5"/>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全州县白宝乡初级中学2024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footerReference r:id="rId11"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2128"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YLZPHeUBAADhAwAADgAAAGRycy9lMm9Eb2MueG1srVPBjtMw EL0j8Q/W3GmaCpZSNV0hqiKkFVtp4QNcx2ksxR5r7DYpX8/YSbto4bAHLs7YnryZ9954fT/YTpw1 BYOugnI2B6Gdwtq4YwU/f+zeLUGEKF0tO3S6gosOcL95+2bd+5VeYItdrUkwiAur3lfQxuhXRRFU q60MM/Ta8WWDZGXkLR2LmmTP6LYrFvP5XdEj1Z5Q6RD4dDtewoRIrwHEpjFKb1GdrHZxRCXdyciU Qmt8gE3utmm0io9NE3QUXQXMNOaVi3B8SGuxWcvVkaRvjZpakK9p4QUnK43jojeorYxSnMj8BWWN IgzYxJlCW4xEsiLMopy/0OaplV5nLix18DfRw/+DVd/PexKmrmBRLth5Jy17nguLMqnT+7DipCe/ p2kXOExUh4Zs+jIJMWRFLzdF9RCF4sP3y+WnDyAU33y8Y/cTYvH8q6cQv2q0IgUVENuVVZTnhxDH 1GtKquRwZ7ounaeuxj5SFIfDMDV3wPrChAhHp4NXO8PYDzLEvSS2lo3n4Y+PvDQd9hXgFIFokX79 6zzls+J8C6LnUanA8csA0X1z7ESaqmtA1+BwDdzJfkGevRKEdIoxKoggTp7Msc0tJl7Bfz5F5pYp J0Iji4knO59Fm6Y0jdaf+5z1/DI3vwF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YLZPHe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394970" cy="175895"/>
              <wp:effectExtent l="0" t="0" r="0" b="0"/>
              <wp:wrapNone/>
              <wp:docPr id="2130" name="Shape 7"/>
              <wp:cNvGraphicFramePr/>
              <a:graphic xmlns:a="http://schemas.openxmlformats.org/drawingml/2006/main">
                <a:graphicData uri="http://schemas.microsoft.com/office/word/2010/wordprocessingShape">
                  <wps:wsp>
                    <wps:cNvSpPr/>
                    <wps:spPr>
                      <a:xfrm>
                        <a:off x="0" y="0"/>
                        <a:ext cx="394970" cy="175895"/>
                      </a:xfrm>
                      <a:prstGeom prst="rect">
                        <a:avLst/>
                      </a:prstGeom>
                      <a:noFill/>
                    </wps:spPr>
                    <wps:txbx>
                      <w:txbxContent>
                        <w:p>
                          <w:pPr>
                            <w:pStyle w:val="23"/>
                          </w:pPr>
                          <w:r>
                            <w:fldChar w:fldCharType="begin"/>
                          </w:r>
                          <w:r>
                            <w:instrText xml:space="preserve"> PAGE \* MERGEFORMAT </w:instrText>
                          </w:r>
                          <w:r>
                            <w:fldChar w:fldCharType="separate"/>
                          </w:r>
                          <w:r>
                            <w:t>#</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7" o:spid="_x0000_s1026" o:spt="1" style="position:absolute;left:0pt;margin-top:786.9pt;height:13.85pt;width:31.1pt;mso-position-horizontal:center;mso-position-horizontal-relative:margin;mso-position-vertical-relative:page;z-index:251661312;mso-width-relative:page;mso-height-relative:page;" filled="f" stroked="f" coordsize="21600,21600" o:gfxdata="UEsDBAoAAAAAAIdO4kAAAAAAAAAAAAAAAAAEAAAAZHJzL1BLAwQUAAAACACHTuJAxcEkO9kAAAAJ AQAADwAAAGRycy9kb3ducmV2LnhtbE2PzU7DMBCE70i8g7VI3KidoIY2xKkQPyrH0iK1vbnxkkTE 6yh2m8LTs5zguDOj2fmKxdl14oRDaD1pSCYKBFLlbUu1hvfNy80MRIiGrOk8oYYvDLAoLy8Kk1s/ 0hue1rEWXEIhNxqaGPtcylA16EyY+B6JvQ8/OBP5HGppBzNyuetkqlQmnWmJPzSmx8cGq8/10WlY zvqH3av/Huvueb/crrbzp808an19lah7EBHP8S8Mv/N5OpS86eCPZIPoNDBIZHV6d8sE7GdpCuLA SqaSKciykP8Jyh9QSwMEFAAAAAgAh07iQAEc8FXoAQAA5QMAAA4AAABkcnMvZTJvRG9jLnhtbK1T wW7bMAy9D9g/CLovTtJ1aYI4xbAgw4BiDdDuAxRZigVYokbJsbOvHyU76dDt0MMuCkUxj+890uv7 3jbspDAYcCWfTaacKSehMu5Y8h/Puw93nIUoXCUacKrkZxX4/eb9u3XnV2oONTSVQkYgLqw6X/I6 Rr8qiiBrZUWYgFeOHjWgFZGueCwqFB2h26aYT6efig6w8ghShUDZ7fDIR0R8CyBobaTagmytcnFA RdWISJJCbXzgm8xWayXjo9ZBRdaUnJTGfFITig/pLDZrsTqi8LWRIwXxFgqvNFlhHDW9Qm1FFKxF 8xeUNRIhgI4TCbYYhGRHSMVs+sqbp1p4lbWQ1cFfTQ//D1Z+P+2Rmark89kNmeKEpZnnxmyR3Ol8 WFHRk9/jeAsUJqm9Rpt+SQTrs6Pnq6Oqj0xS8mb5cbkgWElPs8Xt3fI2YRYvf/YY4lcFlqWg5EgD yz6K00OIQ+mlJPVysDNNk/KJ18AkRbE/9CO9A1RnkoQwzDp4uTOE/SBC3Auk4RIdWv/4SIduoCs5 jBFnNeCvf+VTPXlOr5x1tCwlDz9bgYqz5pujaRBkvAR4CQ6XwLX2C9D+zTgTThJKySNnrUdzrDPJ QdnnNoI2WXSSNOgYldL0s23jpqb1+vOeq16+zs1vUEsDBAoAAAAAAIdO4kAAAAAAAAAAAAAAAAAG AAAAX3JlbHMvUEsDBBQAAAAIAIdO4kCKFGY80QAAAJQBAAALAAAAX3JlbHMvLnJlbHOlkMFqwzAM hu+DvYPRfXGawxijTi+j0GvpHsDYimMaW0Yy2fr28w6DZfS2o36h7xP//vCZFrUiS6RsYNf1oDA7 8jEHA++X49MLKKk2e7tQRgM3FDiMjw/7My62tiOZYxHVKFkMzLWWV63FzZisdFQwt81EnGxtIwdd rLvagHro+2fNvxkwbpjq5A3wyQ+gLrfSzH/YKTomoal2jpKmaYruHlUHtmWO7sg24Ru5RrMcsBrw LBoHalnXfgR9X7/7p97TRz7jutV+h4zrj1dvuhy/AFBLAwQUAAAACACHTuJAfublIPcAAADhAQAA EwAAAFtDb250ZW50X1R5cGVzXS54bWyVkUFOwzAQRfdI3MHyFiVOu0AIJemCtEtAqBxgZE8Si2Rs eUxob4+TthtEkVjaM/+/J7vcHMZBTBjYOqrkKi+kQNLOWOoq+b7fZQ9ScAQyMDjCSh6R5aa+vSn3 R48sUpq4kn2M/lEp1j2OwLnzSGnSujBCTMfQKQ/6AzpU66K4V9pRRIpZnDtkXTbYwucQxfaQrk8m AQeW4um0OLMqCd4PVkNMpmoi84OSnQl5Si473FvPd0lDql8J8+Q64Jx7SU8TrEHxCiE+w5g0lAms jPuigFP+d8lsOXLm2tZqzJvATYq94XSxutaOa9c4/d/y7ZK6dKvlg+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AAAAAGRycy9QSwECFAAUAAAACACHTuJAxcEk O9kAAAAJAQAADwAAAAAAAAABACAAAAAiAAAAZHJzL2Rvd25yZXYueG1sUEsBAhQAFAAAAAgAh07i QAEc8FXoAQAA5QMAAA4AAAAAAAAAAQAgAAAAKAEAAGRycy9lMm9Eb2MueG1sUEsFBgAAAAAGAAYA WQEAAIIFAAAAAA== ">
              <v:fill on="f" focussize="0,0"/>
              <v:stroke on="f"/>
              <v:imagedata o:title=""/>
              <o:lock v:ext="edit" aspectratio="f"/>
              <v:textbox inset="0mm,0mm,0mm,0mm">
                <w:txbxContent>
                  <w:p>
                    <w:pPr>
                      <w:pStyle w:val="23"/>
                    </w:pPr>
                    <w:r>
                      <w:fldChar w:fldCharType="begin"/>
                    </w:r>
                    <w:r>
                      <w:instrText xml:space="preserve"> PAGE \* MERGEFORMAT </w:instrText>
                    </w:r>
                    <w:r>
                      <w:fldChar w:fldCharType="separate"/>
                    </w:r>
                    <w:r>
                      <w:t>#</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ge">
                <wp:posOffset>9993630</wp:posOffset>
              </wp:positionV>
              <wp:extent cx="200660" cy="165735"/>
              <wp:effectExtent l="0" t="0" r="0" b="0"/>
              <wp:wrapNone/>
              <wp:docPr id="2131"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2336;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ynJavecBAADmAwAADgAAAGRycy9lMm9Eb2MueG1srVPB btswDL0P2D8Iui+OUzQbgjhFsSDDgGIN0O4DFFmKBViiRsmxs68fJTvp0O3QQy8KRTGP7z3S67vB tuykMBhwFS9nc86Uk1Abd6z4z+fdpy+chShcLVpwquJnFfjd5uOHde9XagENtLVCRiAurHpf8SZG vyqKIBtlRZiBV44eNaAVka54LGoUPaHbtljM58uiB6w9glQhUHY7PvIJEd8CCFobqbYgO6tcHFFR tSKSpNAYH/gms9VayfiodVCRtRUnpTGf1ITiQzqLzVqsjih8Y+REQbyFwitNVhhHTa9QWxEF69D8 A2WNRAig40yCLUYh2RFSUc5fefPUCK+yFrI6+Kvp4f1g5Y/THpmpK74ob0rOnLA089yYLW6TPb0P K6p68nucboHCpHXQaNMvqWBDtvR8tVQNkUlKpokvyWxJT+Xy9vNNxixe/uwxxG8KLEtBxZEmlo0U p4cQqSGVXkpSLwc707Ypn3iNTFIUh8Mw0TtAfSZNCOOwg5c7Q9gPIsS9QJou0aH9j4906Bb6isMU cdYA/v5fPtWT6fTKWU/bUvHwqxOoOGu/OxpHWq1LgJfgcAlcZ78CLSD5K5wklIpHzjqP5thkkqOy +y6CNll0kjTqmJTS+LMX06qm/fr7nqtePs/NH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AAAAABkcnMvUEsBAhQAFAAAAAgAh07iQOQs0ePY AAAACQEAAA8AAAAAAAAAAQAgAAAAIgAAAGRycy9kb3ducmV2LnhtbFBLAQIUABQAAAAIAIdO4kDK clq95wEAAOYDAAAOAAAAAAAAAAEAIAAAACcBAABkcnMvZTJvRG9jLnhtbFBLBQYAAAAABgAGAFkB AACABQ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129"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XoiCQ+kBAADlAwAADgAAAGRycy9lMm9Eb2MueG1s rVNNb9swDL0P2H8QeF9sB8iQGnGKYkGGAcUaoNsPUGQ5FmB9jJJjZ79+lOykQ7dDD70oTxTzyPdI b+5H3bGzRK+sqaBY5MCkEbZW5lTBzx/7T2tgPnBT884aWcFFerjffvywGVwpl7a1XS2REYnx5eAq aENwZZZ50UrN/cI6aeixsah5oCueshr5QOy6y5Z5/jkbLNYOrZDeU3Q3PcLMiG8htE2jhNxZ0Wtp wsSKsuOBJPlWOQ/b1G3TSBGemsbLwLoKSGlIJxUhfIxntt3w8oTctUrMLfC3tPBKk+bKUNEb1Y4H znpU/1BpJdB624SFsDqbhCRHSEWRv/LmueVOJi1ktXc30/370Yrv5wMyVVewLJZ3wAzXNPNUmK2i O4PzJSU9uwPON08wSh0b1PGXRLAxOXq5OSrHwAQFV+siX66ACXoq8rv1KnFmL3926MNXaTWLoAKk gSUf+fnRBypIqdeUWMvYveq6GI99TZ1EFMbjOLd3tPWFJKGdZu2d2CvifuQ+HDjScGn0tP7hiY6m s0MFdkbAWou//xeP+eQ5vQIbaFkq8L96jhJY983QNOJmXQFewfEKTK+/WNq/Ahg3glgqCMB6h+rU piajMu8e+kDqkugoadIxK6XpJy/mTY3r9fc9Zb18nds/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XQQAAFtDb250ZW50X1R5cGVzXS54bWxQSwEC FAAKAAAAAACHTuJAAAAAAAAAAAAAAAAABgAAAAAAAAAAABAAAAA/AwAAX3JlbHMvUEsBAhQAFAAA AAgAh07iQIoUZjzRAAAAlAEAAAsAAAAAAAAAAQAgAAAAYwMAAF9yZWxzLy5yZWxzUEsBAhQACgAA AAAAh07iQAAAAAAAAAAAAAAAAAQAAAAAAAAAAAAQAAAAAAAAAGRycy9QSwECFAAUAAAACACHTuJA mMCLEdsAAAANAQAADwAAAAAAAAABACAAAAAiAAAAZHJzL2Rvd25yZXYueG1sUEsBAhQAFAAAAAgA h07iQF6IgkPpAQAA5QMAAA4AAAAAAAAAAQAgAAAAKgEAAGRycy9lMm9Eb2MueG1sUEsFBgAAAAAG AAYAWQEAAIUFA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6839C"/>
    <w:multiLevelType w:val="singleLevel"/>
    <w:tmpl w:val="3396839C"/>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JNGp7wmZKXKvZGHFOzc9qQ==" w:hash="7QyYjI1Dq61Ag4yWqcZg5rTA2mO0LXP5kfssRb7Ekz//hznHVZu9MJGnZoKJ/Hgl49V5kJvyl2qK2JoEO/pHBg=="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UzYzA4NzY0MDJiOTVkMTZhNTVlYzUxNjcyMmUifQ=="/>
  </w:docVars>
  <w:rsids>
    <w:rsidRoot w:val="00000000"/>
    <w:rsid w:val="79FFD2ED"/>
    <w:rsid w:val="FF3C8ED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oter5.xml" Type="http://schemas.openxmlformats.org/officeDocument/2006/relationships/footer"/><Relationship Id="rId12" Target="theme/theme1.xml" Type="http://schemas.openxmlformats.org/officeDocument/2006/relationships/theme"/><Relationship Id="rId13" Target="../customXml/item1.xml" Type="http://schemas.openxmlformats.org/officeDocument/2006/relationships/customXml"/><Relationship Id="rId14" Target="numbering.xml" Type="http://schemas.openxmlformats.org/officeDocument/2006/relationships/numbering"/><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18"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p:coreProperties xmlns:dc="http://purl.org/dc/elements/1.1/" xmlns:cp="http://schemas.openxmlformats.org/package/2006/metadata/core-properties" xmlns:dcterms="http://purl.org/dc/terms/" xmlns:xsi="http://www.w3.org/2001/XMLSchema-instance">
  <dcterms:created xsi:type="dcterms:W3CDTF">2023-02-07T06:11:00Z</dcterms:created>
  <dc:creator>蔡冬冬</dc:creator>
  <cp:lastModifiedBy>梁云荣</cp:lastModifiedBy>
  <dcterms:modified xsi:type="dcterms:W3CDTF">2024-03-23T06:18:14Z</dcterms:modified>
  <cp:revision>4</cp:revision>
</cp:coreProperties>
</file>

<file path=customXml/item3.xml><?xml version="1.0" encoding="utf-8"?>
<Properties xmlns:vt="http://schemas.openxmlformats.org/officeDocument/2006/docPropsVTypes" xmlns="http://schemas.openxmlformats.org/officeDocument/2006/extended-properties">
  <Template>Normal.dotm</Template>
  <Pages>15</Pages>
  <Words>1080</Words>
  <Characters>6158</Characters>
  <Lines>51</Lines>
  <Paragraphs>14</Paragraphs>
  <TotalTime>0</TotalTime>
  <ScaleCrop>false</ScaleCrop>
  <LinksUpToDate>false</LinksUpToDate>
  <CharactersWithSpaces>7224</CharactersWithSpaces>
  <Application>WPS Office_12.1.0.16388_F1E327BC-269C-435d-A152-05C5408002CA</Application>
  <DocSecurity>0</DocSecurity>
</Properties>
</file>

<file path=customXml/item4.xml><?xml version="1.0" encoding="utf-8"?>
<Properties xmlns:vt="http://schemas.openxmlformats.org/officeDocument/2006/docPropsVTypes" xmlns="http://schemas.openxmlformats.org/officeDocument/2006/custom-properties">
  <property name="KSOProductBuildVer" pid="2" fmtid="{D5CDD505-2E9C-101B-9397-08002B2CF9AE}">
    <vt:lpwstr>2052-12.1.0.16388</vt:lpwstr>
  </property>
  <property name="ICV" pid="3" fmtid="{D5CDD505-2E9C-101B-9397-08002B2CF9AE}">
    <vt:lpwstr>4E3255008B624ED89522A7536C16D18B_13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d6cf2f-1814-4aba-8901-0698290ce931}">
  <ds:schemaRefs/>
</ds:datastoreItem>
</file>

<file path=customXml/itemProps3.xml><?xml version="1.0" encoding="utf-8"?>
<ds:datastoreItem xmlns:ds="http://schemas.openxmlformats.org/officeDocument/2006/customXml" ds:itemID="{8b2dc276-e09b-4711-9952-7256ecc2fb3d}">
  <ds:schemaRefs/>
</ds:datastoreItem>
</file>

<file path=customXml/itemProps4.xml><?xml version="1.0" encoding="utf-8"?>
<ds:datastoreItem xmlns:ds="http://schemas.openxmlformats.org/officeDocument/2006/customXml" ds:itemID="{bfb9e1e3-f019-4aee-9e4a-4a5f6a8ce5bd}">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0</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梁云荣</cp:lastModifiedBy>
  <dcterms:modified xsi:type="dcterms:W3CDTF">2024-04-08T22:02:55Z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