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全州县全州高级中学</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全州县全州高级中学</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全州县全州高级中学2024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全州县全州高级中学2024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全州县全州高级中学概况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学校核定编制人数为279人，实有在编人数279人。编内在职279人，全额事业在职279人，退休123人，离休1人。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4、加强学校安全工作，切实维护学校学生安全。</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70"/>
      <w:bookmarkStart w:id="9" w:name="bookmark68"/>
      <w:bookmarkStart w:id="10" w:name="bookmark26"/>
      <w:bookmarkStart w:id="11" w:name="bookmark27"/>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全州县全州高级中学</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4048.73</w:t>
      </w:r>
      <w:r>
        <w:rPr>
          <w:rFonts w:hint="eastAsia"/>
          <w:sz w:val="32"/>
          <w:szCs w:val="32"/>
        </w:rPr>
        <w:t>万元，总支出</w:t>
      </w:r>
      <w:r>
        <w:rPr>
          <w:rFonts w:hint="eastAsia"/>
          <w:sz w:val="32"/>
          <w:szCs w:val="32"/>
          <w:lang w:val="en-US" w:eastAsia="zh-CN"/>
        </w:rPr>
        <w:t>4048.73</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4006.49</w:t>
      </w:r>
      <w:r>
        <w:rPr>
          <w:rFonts w:hint="eastAsia"/>
          <w:sz w:val="32"/>
          <w:szCs w:val="32"/>
        </w:rPr>
        <w:t>万元，</w:t>
      </w:r>
      <w:r>
        <w:rPr>
          <w:sz w:val="32"/>
          <w:u w:color="auto"/>
        </w:rPr>
        <w:t>增加42.24万元，增长1.05%，主要原因是</w:t>
      </w:r>
      <w:r>
        <w:rPr>
          <w:rFonts w:hint="eastAsia"/>
          <w:sz w:val="32"/>
          <w:szCs w:val="32"/>
          <w:lang w:val="en-US"/>
        </w:rPr>
        <w:t>学校教育支出、社会保障和就业支出及住房保障增加</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4006.49</w:t>
      </w:r>
      <w:r>
        <w:rPr>
          <w:rFonts w:hint="eastAsia"/>
          <w:sz w:val="32"/>
          <w:szCs w:val="32"/>
        </w:rPr>
        <w:t>万元，</w:t>
      </w:r>
      <w:r>
        <w:rPr>
          <w:sz w:val="32"/>
          <w:u w:color="auto"/>
        </w:rPr>
        <w:t>增加42.24万元，增长1.05%，主要原因是</w:t>
      </w:r>
      <w:r>
        <w:rPr>
          <w:rFonts w:hint="eastAsia"/>
          <w:sz w:val="32"/>
          <w:szCs w:val="32"/>
          <w:lang w:val="en-US"/>
        </w:rPr>
        <w:t>学校教育支出、社会保障和就业支出及住房保障增加</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4048.73</w:t>
      </w:r>
      <w:r>
        <w:rPr>
          <w:rFonts w:hint="eastAsia"/>
          <w:sz w:val="32"/>
          <w:szCs w:val="32"/>
        </w:rPr>
        <w:t>万元，</w:t>
      </w:r>
      <w:r>
        <w:rPr>
          <w:rFonts w:hint="eastAsia"/>
          <w:sz w:val="32"/>
          <w:szCs w:val="32"/>
          <w:lang w:val="en-US" w:eastAsia="zh-CN"/>
        </w:rPr>
        <w:t>同比</w:t>
      </w:r>
      <w:r>
        <w:rPr>
          <w:rFonts w:hint="eastAsia"/>
          <w:sz w:val="32"/>
          <w:szCs w:val="32"/>
        </w:rPr>
        <w:t>增加42.24万元，</w:t>
      </w:r>
      <w:r>
        <w:rPr>
          <w:sz w:val="32"/>
          <w:u w:color="auto"/>
        </w:rPr>
        <w:t>增长1.05%</w:t>
      </w:r>
      <w:r>
        <w:rPr>
          <w:rFonts w:hint="eastAsia"/>
          <w:sz w:val="32"/>
          <w:szCs w:val="32"/>
          <w:lang w:eastAsia="zh-CN"/>
        </w:rPr>
        <w:t>。其中：一般公共预算</w:t>
      </w:r>
      <w:r>
        <w:rPr>
          <w:rFonts w:hint="eastAsia" w:ascii="宋体" w:hAnsi="宋体" w:eastAsia="宋体"/>
          <w:sz w:val="32"/>
          <w:szCs w:val="32"/>
          <w:lang w:eastAsia="zh-CN"/>
        </w:rPr>
        <w:t>4048.73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增加42.24</w:t>
      </w:r>
      <w:r>
        <w:rPr>
          <w:rFonts w:hint="eastAsia"/>
          <w:sz w:val="32"/>
          <w:szCs w:val="32"/>
          <w:lang w:eastAsia="zh-CN"/>
        </w:rPr>
        <w:t>万元，</w:t>
      </w:r>
      <w:r>
        <w:rPr>
          <w:rFonts w:hint="eastAsia" w:ascii="宋体" w:hAnsi="宋体" w:eastAsia="宋体"/>
          <w:sz w:val="32"/>
          <w:szCs w:val="32"/>
          <w:lang w:eastAsia="zh-CN"/>
        </w:rPr>
        <w:t>增长1.05%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2024年学校没有政府性基金预算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4048.73</w:t>
      </w:r>
      <w:r>
        <w:rPr>
          <w:rFonts w:hint="eastAsia"/>
          <w:sz w:val="32"/>
          <w:szCs w:val="32"/>
        </w:rPr>
        <w:t>万元，</w:t>
      </w:r>
      <w:r>
        <w:rPr>
          <w:rFonts w:hint="eastAsia"/>
          <w:sz w:val="32"/>
          <w:szCs w:val="32"/>
          <w:lang w:val="en-US" w:eastAsia="zh-CN"/>
        </w:rPr>
        <w:t>同比</w:t>
      </w:r>
      <w:r>
        <w:rPr>
          <w:rFonts w:hint="eastAsia"/>
          <w:sz w:val="32"/>
          <w:szCs w:val="32"/>
        </w:rPr>
        <w:t>增加42.24万元，</w:t>
      </w:r>
      <w:r>
        <w:rPr>
          <w:sz w:val="32"/>
          <w:u w:color="auto"/>
        </w:rPr>
        <w:t>增长1.05%</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4048.73</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增加42.24</w:t>
      </w:r>
      <w:r>
        <w:rPr>
          <w:sz w:val="32"/>
          <w:u w:color="auto"/>
        </w:rPr>
        <w:t>万元，增长1.05%</w:t>
      </w:r>
      <w:r>
        <w:rPr>
          <w:sz w:val="32"/>
          <w:szCs w:val="32"/>
        </w:rPr>
        <w:t>。</w:t>
      </w:r>
      <w:r>
        <w:rPr>
          <w:rFonts w:hint="eastAsia"/>
          <w:sz w:val="32"/>
          <w:szCs w:val="32"/>
        </w:rPr>
        <w:t>主要原因是</w:t>
      </w:r>
      <w:r>
        <w:rPr>
          <w:sz w:val="32"/>
          <w:szCs w:val="32"/>
        </w:rPr>
        <w:t>：</w:t>
      </w:r>
      <w:r>
        <w:rPr>
          <w:rFonts w:hint="eastAsia"/>
          <w:sz w:val="32"/>
          <w:szCs w:val="32"/>
          <w:lang w:val="en-US" w:eastAsia="zh-CN"/>
        </w:rPr>
        <w:t>2024年学校教育支出、社会保障就业支出及住房保障支出增加</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w:t>
      </w:r>
      <w:r>
        <w:rPr>
          <w:sz w:val="32"/>
          <w:szCs w:val="32"/>
        </w:rPr>
        <w:t>。</w:t>
      </w:r>
      <w:r>
        <w:rPr>
          <w:rFonts w:hint="eastAsia"/>
          <w:sz w:val="32"/>
          <w:szCs w:val="32"/>
        </w:rPr>
        <w:t>主要原因是</w:t>
      </w:r>
      <w:r>
        <w:rPr>
          <w:sz w:val="32"/>
          <w:szCs w:val="32"/>
        </w:rPr>
        <w:t>：</w:t>
      </w:r>
      <w:r>
        <w:rPr>
          <w:rFonts w:hint="eastAsia"/>
          <w:sz w:val="32"/>
          <w:szCs w:val="32"/>
          <w:lang w:val="en-US" w:eastAsia="zh-CN"/>
        </w:rPr>
        <w:t>2024年学校没有项目支出预算。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4048.73</w:t>
      </w:r>
      <w:r>
        <w:rPr>
          <w:rFonts w:hint="eastAsia"/>
          <w:sz w:val="32"/>
          <w:szCs w:val="32"/>
        </w:rPr>
        <w:t>万元，</w:t>
      </w:r>
      <w:r>
        <w:rPr>
          <w:rFonts w:hint="eastAsia"/>
          <w:sz w:val="32"/>
          <w:szCs w:val="32"/>
          <w:lang w:val="en-US" w:eastAsia="zh-CN"/>
        </w:rPr>
        <w:t>同比</w:t>
      </w:r>
      <w:r>
        <w:rPr>
          <w:rFonts w:hint="eastAsia"/>
          <w:sz w:val="32"/>
          <w:szCs w:val="32"/>
        </w:rPr>
        <w:t>增加42.24万元，</w:t>
      </w:r>
      <w:r>
        <w:rPr>
          <w:sz w:val="32"/>
          <w:u w:color="auto"/>
        </w:rPr>
        <w:t>增长1.05%</w:t>
      </w:r>
      <w:r>
        <w:rPr>
          <w:rFonts w:hint="eastAsia"/>
          <w:sz w:val="32"/>
          <w:szCs w:val="32"/>
          <w:lang w:eastAsia="zh-CN"/>
        </w:rPr>
        <w:t>。其中：一般公共预算</w:t>
      </w:r>
      <w:r>
        <w:rPr>
          <w:rFonts w:hint="eastAsia" w:ascii="宋体" w:hAnsi="宋体" w:eastAsia="宋体"/>
          <w:sz w:val="32"/>
          <w:szCs w:val="32"/>
          <w:lang w:eastAsia="zh-CN"/>
        </w:rPr>
        <w:t>4048.73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增加42.24</w:t>
      </w:r>
      <w:r>
        <w:rPr>
          <w:rFonts w:hint="eastAsia"/>
          <w:sz w:val="32"/>
          <w:szCs w:val="32"/>
          <w:lang w:eastAsia="zh-CN"/>
        </w:rPr>
        <w:t>万元，</w:t>
      </w:r>
      <w:r>
        <w:rPr>
          <w:rFonts w:hint="eastAsia" w:ascii="宋体" w:hAnsi="宋体" w:eastAsia="宋体"/>
          <w:sz w:val="32"/>
          <w:szCs w:val="32"/>
          <w:lang w:eastAsia="zh-CN"/>
        </w:rPr>
        <w:t>增长1.05%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学校教育支出、社会保障和就业支出及住房保障增加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2024年学校没有政府性基金预算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4048.73</w:t>
      </w:r>
      <w:r>
        <w:rPr>
          <w:rFonts w:hint="eastAsia"/>
          <w:sz w:val="32"/>
          <w:szCs w:val="32"/>
          <w:lang w:val="zh-TW" w:eastAsia="zh-TW"/>
        </w:rPr>
        <w:t>万元，同比</w:t>
      </w:r>
      <w:r>
        <w:rPr>
          <w:rFonts w:hint="eastAsia"/>
          <w:sz w:val="32"/>
          <w:szCs w:val="32"/>
          <w:lang w:val="en-US" w:eastAsia="zh-TW"/>
        </w:rPr>
        <w:t>增加42.24</w:t>
      </w:r>
      <w:r>
        <w:rPr>
          <w:rFonts w:hint="eastAsia"/>
          <w:sz w:val="32"/>
          <w:szCs w:val="32"/>
          <w:lang w:val="zh-TW" w:eastAsia="zh-TW"/>
        </w:rPr>
        <w:t>万元，</w:t>
      </w:r>
      <w:r>
        <w:rPr>
          <w:sz w:val="32"/>
          <w:u w:color="auto"/>
        </w:rPr>
        <w:t>增长1.05%</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学校教育支出、社会保障和就业支出及住房保障增加。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年一般公共预算支出共4048.73万元，同比增加42.24万元，增长1.05%，按支出功能分类科目划分，共分为4类，其中：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3004.65万元，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74.21%</w:t>
      </w:r>
      <w:r>
        <w:rPr>
          <w:rFonts w:hint="eastAsia"/>
          <w:sz w:val="32"/>
          <w:szCs w:val="32"/>
        </w:rPr>
        <w:t>，</w:t>
      </w:r>
      <w:r>
        <w:rPr>
          <w:rFonts w:hint="eastAsia"/>
          <w:sz w:val="32"/>
          <w:szCs w:val="32"/>
          <w:lang w:val="en-US" w:eastAsia="zh-CN"/>
        </w:rPr>
        <w:t>同比</w:t>
      </w:r>
      <w:r>
        <w:rPr>
          <w:rFonts w:hint="eastAsia"/>
          <w:sz w:val="32"/>
          <w:szCs w:val="32"/>
        </w:rPr>
        <w:t>增加103.40万元，</w:t>
      </w:r>
      <w:r>
        <w:rPr>
          <w:sz w:val="32"/>
          <w:u w:color="auto"/>
        </w:rPr>
        <w:t>增长3.56%</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高中教育</w:t>
      </w:r>
      <w:r>
        <w:rPr>
          <w:rFonts w:hint="eastAsia"/>
          <w:sz w:val="32"/>
          <w:szCs w:val="32"/>
          <w:lang w:val="en-US" w:eastAsia="zh-CN"/>
        </w:rPr>
        <w:t>科目</w:t>
      </w:r>
      <w:r>
        <w:rPr>
          <w:rFonts w:hint="eastAsia"/>
          <w:sz w:val="32"/>
          <w:szCs w:val="32"/>
        </w:rPr>
        <w:t>2601.10万元，</w:t>
      </w:r>
      <w:r>
        <w:rPr>
          <w:rFonts w:hint="eastAsia"/>
          <w:sz w:val="32"/>
          <w:szCs w:val="32"/>
          <w:lang w:val="en-US" w:eastAsia="zh-CN"/>
        </w:rPr>
        <w:t>同比</w:t>
      </w:r>
      <w:r>
        <w:rPr>
          <w:rFonts w:hint="eastAsia"/>
          <w:sz w:val="32"/>
          <w:szCs w:val="32"/>
        </w:rPr>
        <w:t>增加97.20万元，</w:t>
      </w:r>
      <w:r>
        <w:rPr>
          <w:sz w:val="32"/>
          <w:u w:color="auto"/>
        </w:rPr>
        <w:t>增长3.88%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bookmarkStart w:id="20" w:name="_GoBack"/>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End w:id="20"/>
      <w:r>
        <w:rPr>
          <w:rFonts w:hint="eastAsia"/>
          <w:sz w:val="32"/>
          <w:szCs w:val="32"/>
          <w:highlight w:val="none"/>
        </w:rPr>
        <w:t>2024年学校预算项目调整</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其他教育费附加安排的支出</w:t>
      </w:r>
      <w:r>
        <w:rPr>
          <w:rFonts w:hint="eastAsia"/>
          <w:sz w:val="32"/>
          <w:szCs w:val="32"/>
          <w:lang w:val="en-US" w:eastAsia="zh-CN"/>
        </w:rPr>
        <w:t>科目</w:t>
      </w:r>
      <w:r>
        <w:rPr>
          <w:rFonts w:hint="eastAsia"/>
          <w:sz w:val="32"/>
          <w:szCs w:val="32"/>
        </w:rPr>
        <w:t>403.55万元，</w:t>
      </w:r>
      <w:r>
        <w:rPr>
          <w:rFonts w:hint="eastAsia"/>
          <w:sz w:val="32"/>
          <w:szCs w:val="32"/>
          <w:lang w:val="en-US" w:eastAsia="zh-CN"/>
        </w:rPr>
        <w:t>同比</w:t>
      </w:r>
      <w:r>
        <w:rPr>
          <w:rFonts w:hint="eastAsia"/>
          <w:sz w:val="32"/>
          <w:szCs w:val="32"/>
        </w:rPr>
        <w:t>增加6.20万元，</w:t>
      </w:r>
      <w:r>
        <w:rPr>
          <w:sz w:val="32"/>
          <w:u w:color="auto"/>
        </w:rPr>
        <w:t>增长1.56%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2024年学校预算项目调整</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571.67万元，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14.12%</w:t>
      </w:r>
      <w:r>
        <w:rPr>
          <w:rFonts w:hint="eastAsia"/>
          <w:sz w:val="32"/>
          <w:szCs w:val="32"/>
        </w:rPr>
        <w:t>，</w:t>
      </w:r>
      <w:r>
        <w:rPr>
          <w:rFonts w:hint="eastAsia"/>
          <w:sz w:val="32"/>
          <w:szCs w:val="32"/>
          <w:lang w:val="en-US" w:eastAsia="zh-CN"/>
        </w:rPr>
        <w:t>同比</w:t>
      </w:r>
      <w:r>
        <w:rPr>
          <w:rFonts w:hint="eastAsia"/>
          <w:sz w:val="32"/>
          <w:szCs w:val="32"/>
        </w:rPr>
        <w:t>减少20.85万元，</w:t>
      </w:r>
      <w:r>
        <w:rPr>
          <w:sz w:val="32"/>
          <w:u w:color="auto"/>
        </w:rPr>
        <w:t>下降3.52%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373.34万元，</w:t>
      </w:r>
      <w:r>
        <w:rPr>
          <w:rFonts w:hint="eastAsia"/>
          <w:sz w:val="32"/>
          <w:szCs w:val="32"/>
          <w:lang w:val="en-US" w:eastAsia="zh-CN"/>
        </w:rPr>
        <w:t>同比</w:t>
      </w:r>
      <w:r>
        <w:rPr>
          <w:rFonts w:hint="eastAsia"/>
          <w:sz w:val="32"/>
          <w:szCs w:val="32"/>
        </w:rPr>
        <w:t>减少13.61万元，</w:t>
      </w:r>
      <w:r>
        <w:rPr>
          <w:sz w:val="32"/>
          <w:u w:color="auto"/>
        </w:rPr>
        <w:t>下降3.52%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186.67万元，</w:t>
      </w:r>
      <w:r>
        <w:rPr>
          <w:rFonts w:hint="eastAsia"/>
          <w:sz w:val="32"/>
          <w:szCs w:val="32"/>
          <w:lang w:val="en-US" w:eastAsia="zh-CN"/>
        </w:rPr>
        <w:t>同比</w:t>
      </w:r>
      <w:r>
        <w:rPr>
          <w:rFonts w:hint="eastAsia"/>
          <w:sz w:val="32"/>
          <w:szCs w:val="32"/>
        </w:rPr>
        <w:t>减少6.81万元，</w:t>
      </w:r>
      <w:r>
        <w:rPr>
          <w:sz w:val="32"/>
          <w:u w:color="auto"/>
        </w:rPr>
        <w:t>下降3.52%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11.67万元，</w:t>
      </w:r>
      <w:r>
        <w:rPr>
          <w:rFonts w:hint="eastAsia"/>
          <w:sz w:val="32"/>
          <w:szCs w:val="32"/>
          <w:lang w:val="en-US" w:eastAsia="zh-CN"/>
        </w:rPr>
        <w:t>同比</w:t>
      </w:r>
      <w:r>
        <w:rPr>
          <w:rFonts w:hint="eastAsia"/>
          <w:sz w:val="32"/>
          <w:szCs w:val="32"/>
        </w:rPr>
        <w:t>减少0.42万元，</w:t>
      </w:r>
      <w:r>
        <w:rPr>
          <w:sz w:val="32"/>
          <w:u w:color="auto"/>
        </w:rPr>
        <w:t>下降3.47%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177.34万元，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4.38%</w:t>
      </w:r>
      <w:r>
        <w:rPr>
          <w:rFonts w:hint="eastAsia"/>
          <w:sz w:val="32"/>
          <w:szCs w:val="32"/>
        </w:rPr>
        <w:t>，</w:t>
      </w:r>
      <w:r>
        <w:rPr>
          <w:rFonts w:hint="eastAsia"/>
          <w:sz w:val="32"/>
          <w:szCs w:val="32"/>
          <w:lang w:val="en-US" w:eastAsia="zh-CN"/>
        </w:rPr>
        <w:t>同比</w:t>
      </w:r>
      <w:r>
        <w:rPr>
          <w:rFonts w:hint="eastAsia"/>
          <w:sz w:val="32"/>
          <w:szCs w:val="32"/>
        </w:rPr>
        <w:t>减少45.16万元，</w:t>
      </w:r>
      <w:r>
        <w:rPr>
          <w:sz w:val="32"/>
          <w:u w:color="auto"/>
        </w:rPr>
        <w:t>下降20.30%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172.67万元，</w:t>
      </w:r>
      <w:r>
        <w:rPr>
          <w:rFonts w:hint="eastAsia"/>
          <w:sz w:val="32"/>
          <w:szCs w:val="32"/>
          <w:lang w:val="en-US" w:eastAsia="zh-CN"/>
        </w:rPr>
        <w:t>同比</w:t>
      </w:r>
      <w:r>
        <w:rPr>
          <w:rFonts w:hint="eastAsia"/>
          <w:sz w:val="32"/>
          <w:szCs w:val="32"/>
        </w:rPr>
        <w:t>减少44.99万元，</w:t>
      </w:r>
      <w:r>
        <w:rPr>
          <w:sz w:val="32"/>
          <w:u w:color="auto"/>
        </w:rPr>
        <w:t>下降20.67%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4.67万元，</w:t>
      </w:r>
      <w:r>
        <w:rPr>
          <w:rFonts w:hint="eastAsia"/>
          <w:sz w:val="32"/>
          <w:szCs w:val="32"/>
          <w:lang w:val="en-US" w:eastAsia="zh-CN"/>
        </w:rPr>
        <w:t>同比</w:t>
      </w:r>
      <w:r>
        <w:rPr>
          <w:rFonts w:hint="eastAsia"/>
          <w:sz w:val="32"/>
          <w:szCs w:val="32"/>
        </w:rPr>
        <w:t>减少0.17万元，</w:t>
      </w:r>
      <w:r>
        <w:rPr>
          <w:sz w:val="32"/>
          <w:u w:color="auto"/>
        </w:rPr>
        <w:t>下降3.51%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根据统一规定，按事业单位在职职工工资总额的一定比例缴纳的其他行政事业单位医疗支出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295.07万元，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7.29%</w:t>
      </w:r>
      <w:r>
        <w:rPr>
          <w:rFonts w:hint="eastAsia"/>
          <w:sz w:val="32"/>
          <w:szCs w:val="32"/>
        </w:rPr>
        <w:t>，</w:t>
      </w:r>
      <w:r>
        <w:rPr>
          <w:rFonts w:hint="eastAsia"/>
          <w:sz w:val="32"/>
          <w:szCs w:val="32"/>
          <w:lang w:val="en-US" w:eastAsia="zh-CN"/>
        </w:rPr>
        <w:t>同比</w:t>
      </w:r>
      <w:r>
        <w:rPr>
          <w:rFonts w:hint="eastAsia"/>
          <w:sz w:val="32"/>
          <w:szCs w:val="32"/>
        </w:rPr>
        <w:t>增加4.85万元，</w:t>
      </w:r>
      <w:r>
        <w:rPr>
          <w:sz w:val="32"/>
          <w:u w:color="auto"/>
        </w:rPr>
        <w:t>增长1.67%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295.07万元，</w:t>
      </w:r>
      <w:r>
        <w:rPr>
          <w:rFonts w:hint="eastAsia"/>
          <w:sz w:val="32"/>
          <w:szCs w:val="32"/>
          <w:lang w:val="en-US" w:eastAsia="zh-CN"/>
        </w:rPr>
        <w:t>同比</w:t>
      </w:r>
      <w:r>
        <w:rPr>
          <w:rFonts w:hint="eastAsia"/>
          <w:sz w:val="32"/>
          <w:szCs w:val="32"/>
        </w:rPr>
        <w:t>增加4.85万元，</w:t>
      </w:r>
      <w:r>
        <w:rPr>
          <w:sz w:val="32"/>
          <w:u w:color="auto"/>
        </w:rPr>
        <w:t>增长1.67%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按照统一规定,为职工缴纳的住房公积金支出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4048.73</w:t>
      </w:r>
      <w:r>
        <w:rPr>
          <w:rFonts w:hint="eastAsia"/>
          <w:sz w:val="32"/>
          <w:szCs w:val="32"/>
        </w:rPr>
        <w:t>万元，</w:t>
      </w:r>
      <w:r>
        <w:rPr>
          <w:rFonts w:hint="eastAsia"/>
          <w:sz w:val="32"/>
          <w:szCs w:val="32"/>
          <w:lang w:val="en-US" w:eastAsia="zh-CN"/>
        </w:rPr>
        <w:t>增加42.24</w:t>
      </w:r>
      <w:r>
        <w:rPr>
          <w:rFonts w:hint="eastAsia"/>
          <w:sz w:val="32"/>
          <w:szCs w:val="32"/>
        </w:rPr>
        <w:t>万元，</w:t>
      </w:r>
      <w:r>
        <w:rPr>
          <w:rFonts w:hint="eastAsia"/>
          <w:sz w:val="32"/>
          <w:szCs w:val="32"/>
          <w:lang w:val="en-US" w:eastAsia="zh-CN"/>
        </w:rPr>
        <w:t>增长1.05%</w:t>
      </w:r>
      <w:r>
        <w:rPr>
          <w:rFonts w:hint="eastAsia"/>
          <w:sz w:val="32"/>
          <w:szCs w:val="32"/>
        </w:rPr>
        <w:t>，主要原因是</w:t>
      </w:r>
      <w:r>
        <w:rPr>
          <w:rFonts w:hint="eastAsia"/>
          <w:sz w:val="32"/>
          <w:szCs w:val="32"/>
          <w:lang w:val="en-US" w:eastAsia="zh-CN"/>
        </w:rPr>
        <w:t>2024年学校教育支出、社会保障就业支出及住房保障支出增加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3502.99万元，减少23.55万元，减少0.67%，主要原因是：退休教师增加，教师人数减少。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403.55万元，增长6.20万元，增长1.56%，主要原因是：按县级公用经费定额标准安排的办公费、印刷费、邮电费、水电费、差旅费等日常公用经费支出。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142.18万元，增长59.59万元，增长72.15%，主要原因是：教师退休人数增多，退休费增加。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1250.04万元,津贴补贴211.76万元,奖金393.39万元,绩效工资603.72万元,机关事业单位基本养老保险缴费373.34万元,职业年金缴费186.67万元,职工基本医疗保险缴费172.67万元,其他社会保障缴费16.33万元,住房公积金295.07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办公费160.00万元,电费20.00万元,维修（护）费203.40万元,培训费20.00万元,其他商品和服务支出0.15万元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离休费16.54万元,退休费123.00万元,生活补助2.65万元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024年预算没有细化到未级科目；主要用于单位按规定开支的各类公务接待费用；主要用于单位按规定开支的各类公务接待费用；</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0.00万元，增加0.00万元，增长0%，主要原因：学校没有公务用车，没有公务用车购置及运行支出预算；主要用于单位执行公务活动所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2024年预算没有细化到未级科目</w:t>
      </w:r>
      <w:r>
        <w:rPr>
          <w:rFonts w:hint="eastAsia"/>
          <w:sz w:val="32"/>
          <w:szCs w:val="32"/>
          <w:lang w:val="en-US" w:eastAsia="en-US"/>
        </w:rPr>
        <w:t>；培训费预算</w:t>
      </w:r>
      <w:r>
        <w:rPr>
          <w:rFonts w:hint="eastAsia"/>
          <w:sz w:val="32"/>
          <w:szCs w:val="32"/>
          <w:lang w:val="en-US" w:eastAsia="zh-CN"/>
        </w:rPr>
        <w:t>20.00</w:t>
      </w:r>
      <w:r>
        <w:rPr>
          <w:rFonts w:hint="eastAsia"/>
          <w:sz w:val="32"/>
          <w:szCs w:val="32"/>
          <w:lang w:val="en-US" w:eastAsia="en-US"/>
        </w:rPr>
        <w:t>万元，</w:t>
      </w:r>
      <w:r>
        <w:rPr>
          <w:rFonts w:hint="eastAsia"/>
          <w:sz w:val="32"/>
          <w:szCs w:val="32"/>
          <w:lang w:val="en-US" w:eastAsia="zh-CN"/>
        </w:rPr>
        <w:t>增加20.00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2024年预算没有细化到未级科目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403.55</w:t>
      </w:r>
      <w:r>
        <w:rPr>
          <w:rFonts w:hint="eastAsia"/>
          <w:sz w:val="32"/>
          <w:szCs w:val="32"/>
        </w:rPr>
        <w:t>万元，较2023年度预算数</w:t>
      </w:r>
      <w:r>
        <w:rPr>
          <w:rFonts w:hint="eastAsia"/>
          <w:sz w:val="32"/>
          <w:szCs w:val="32"/>
          <w:lang w:val="en-US"/>
        </w:rPr>
        <w:t>397.35</w:t>
      </w:r>
      <w:r>
        <w:rPr>
          <w:rFonts w:hint="eastAsia"/>
          <w:sz w:val="32"/>
          <w:szCs w:val="32"/>
        </w:rPr>
        <w:t>万元，</w:t>
      </w:r>
      <w:r>
        <w:rPr>
          <w:rFonts w:hint="eastAsia"/>
          <w:sz w:val="32"/>
          <w:szCs w:val="32"/>
          <w:lang w:val="en-US"/>
        </w:rPr>
        <w:t>增加6.20</w:t>
      </w:r>
      <w:r>
        <w:rPr>
          <w:rFonts w:hint="eastAsia"/>
          <w:sz w:val="32"/>
          <w:szCs w:val="32"/>
        </w:rPr>
        <w:t>万元，</w:t>
      </w:r>
      <w:r>
        <w:rPr>
          <w:rFonts w:hint="eastAsia"/>
          <w:sz w:val="32"/>
          <w:szCs w:val="32"/>
          <w:lang w:val="en-US"/>
        </w:rPr>
        <w:t>增长1.56%</w:t>
      </w:r>
      <w:r>
        <w:rPr>
          <w:rFonts w:hint="eastAsia"/>
          <w:sz w:val="32"/>
          <w:szCs w:val="32"/>
        </w:rPr>
        <w:t>，主要原因是：</w:t>
      </w:r>
      <w:r>
        <w:rPr>
          <w:rFonts w:hint="eastAsia"/>
          <w:sz w:val="32"/>
          <w:szCs w:val="32"/>
          <w:lang w:val="en-US"/>
        </w:rPr>
        <w:t>2024年我部门用于购买货物和服务的各项资金，包括办公及印刷费、邮电费、差旅费减少</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52676.86</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32676.86</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20000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2024年学校无重点预算项目</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全州县全州高级中学2024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4346"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YZwd/OUBAADhAwAADgAAAGRycy9lMm9Eb2MueG1srVNRj9Mw DH5H4j9EfmfdjjHGtO6EmIaQTtykgx+QpekaqYkjJ1s7fj1O2u3QwcM98JI6tvvZ32dnfd/bVpw1 BYOuhNlkCkI7hZVxxxJ+/ti9W4IIUbpKtuh0CRcd4H7z9s268yt9hw22lSbBIC6sOl9CE6NfFUVQ jbYyTNBrx8EaycrIVzoWFcmO0W1b3E2ni6JDqjyh0iGwdzsEYUSk1wBiXRult6hOVrs4oJJuZWRK oTE+wCZ3W9daxce6DjqKtgRmGvPJRdg+pLPYrOXqSNI3Ro0tyNe08IKTlcZx0RvUVkYpTmT+grJG EQas40ShLQYiWRFmMZu+0OapkV5nLix18DfRw/+DVd/PexKmKmH+fr4A4aTlmefCYpbU6XxYcdKT 39N4C2wmqn1NNn2ZhOizopeborqPQrFzvlx++gBCceTjgqefEIvnXz2F+FWjFckogXhcWUV5fghx SL2mpEoOd6Ztkz91NfSRrNgf+rG5A1YXJkQ4TDp4tTOM/SBD3Evi0fLgefnjIx91i10JOFogGqRf //KnfFacoyA6XpUSHL8MEO03x5NIW3U16GocroY72S/IuzcDIZ1ijBIiiJMnc2xyi4lX8J9Pkbll yonQwGLkyZPPoo1bmlbrz3vOen6Zm9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YZwd/O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4348"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BWJEKbpAQAA5QMAAA4AAABkcnMvZTJvRG9jLnhtbK1T wW7bMAy9D9g/CLovTtp0aYI4xbAgw4BiDdDtAxRZigVYokbJsbOvHyU76dDt0MMuCkUxj+890uuH 3jbspDAYcCWfTaacKSehMu5Y8h/fdx/uOQtRuEo04FTJzyrwh837d+vOr9QN1NBUChmBuLDqfMnr GP2qKIKslRVhAl45etSAVkS64rGoUHSEbpviZjr9WHSAlUeQKgTKbodHPiLiWwBBayPVFmRrlYsD KqpGRJIUauMD32S2WisZn7QOKrKm5KQ05pOaUHxIZ7FZi9URha+NHCmIt1B4pckK46jpFWoromAt mr+grJEIAXScSLDFICQ7Qipm01fePNfCq6yFrA7+anr4f7Dy22mPzFQln9/OafJOWJp5bswWyZ3O hxUVPfs9jrdAYZLaa7Tpl0SwPjt6vjqq+sgkJW+X8+WCvJb0NFvc3S/vEmbx8mePIX5RYFkKSo40 sOyjOD2GOJReSlIvBzvTNCmfeA1MUhT7Qz/SO0B1JkkIw6yDlztD2I8ixL1AGi7RofWPT3ToBrqS wxhxVgP++lc+1ZPn9MpZR8tS8vCzFag4a746mkbarEuAl+BwCVxrPwPt34wz4SShlDxy1no0xzqT HJR9aiNok0UnSYOOUSlNP9s2bmparz/vuerl69z8Bl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AViRCm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4349"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IkZzp+gBAADmAwAADgAAAGRycy9lMm9Eb2MueG1srVPB jtMwEL0j8Q+W7zRtd7dA1HSFqIqQVmylhQ9wHbuxFHvM2GlSvp6xk3bRwmEPXNzxePrmvTeT9f1g W3ZSGAy4ii9mc86Uk1Abd6z4j++7dx84C1G4WrTgVMXPKvD7zds3696XagkNtLVCRiAulL2veBOj L4siyEZZEWbglaNHDWhFpCseixpFT+i2LZbz+aroAWuPIFUIlN2Oj3xCxNcAgtZGqi3IzioXR1RU rYgkKTTGB77JbLVWMj5qHVRkbcVJacwnNaH4kM5isxblEYVvjJwoiNdQeKHJCuOo6RVqK6JgHZq/ oKyRCAF0nEmwxSgkO0IqFvMX3jw1wqushawO/mp6+H+w8ttpj8zUFb+9uf3ImROWZp4bs+Vdsqf3 oaSqJ7/H6RYoTFoHjTb9kgo2ZEvPV0vVEJmkZJr4isyW9LRY3b2/yZjF8589hvhFgWUpqDjSxLKR 4vQQIjWk0ktJ6uVgZ9o25ROvkUmK4nAYJnoHqM+kCWEcdvByZwj7QYS4F0jTJTq0//GRDt1CX3GY Is4awF//yqd6Mp1eOetpWyoefnYCFWftV0fjSKt1CfASHC6B6+xnoAVccCacJJSKR846j+bYZJKj sk9dBG2y6CRp1DEppfFnL6ZVTfv15z1XPX+em9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IkZzp+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34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NcFkkesBAADlAwAADgAAAGRycy9lMm9Eb2MueG1s rVPBbtswDL0P2D8Iui+2s2ZLgzjFsCDDgGIN0O4DFFmOBViiRsmxs68fJTvp0PXQwy7KE8U88j3S 67vBtOyk0GuwJS9mOWfKSqi0PZb859Puw5IzH4StRAtWlfysPL/bvH+37t1KzaGBtlLIiMT6Ve9K 3oTgVlnmZaOM8DNwytJjDWhEoCseswpFT+ymzeZ5/inrASuHIJX3FN2Oj3xixLcQQl1rqbYgO6Ns GFlRtSKQJN9o5/kmdVvXSoaHuvYqsLbkpDSkk4oQPsQz26zF6ojCNVpOLYi3tPBCkxHaUtEr1VYE wTrU/1AZLRE81GEmwWSjkOQIqSjyF948NsKppIWs9u5quv9/tPLHaY9MVyW/+XjzmTMrDM08FWaL 6E7v/IqSHt0ep5snGKUONZr4SyLYkBw9Xx1VQ2CSgotlkc8XnEl6KvLb5SJxZs9/dujDNwWGRVBy pIElH8Xp3gcqSKmXlFjLwk63bYzHvsZOIgrDYZjaO0B1JkkI46y9kztN3PfCh71AGi6NntY/PNBR t9CXHCbEWQP4+7V4zCfP6ZWznpal5P5XJ1Bx1n63NI24WReAF3C4ANuZr0D7V3AmrCSWkgfOOof6 2KQmozLvvnSB1CXRUdKoY1JK009eTJsa1+vve8p6/jo3fwB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BfBAAAW0NvbnRlbnRfVHlwZXNdLnhtbFBL AQIUAAoAAAAAAIdO4kAAAAAAAAAAAAAAAAAGAAAAAAAAAAAAEAAAAEEDAABfcmVscy9QSwECFAAU AAAACACHTuJAihRmPNEAAACUAQAACwAAAAAAAAABACAAAABlAwAAX3JlbHMvLnJlbHNQSwECFAAK AAAAAACHTuJAAAAAAAAAAAAAAAAABAAAAAAAAAAAABAAAAAAAAAAZHJzL1BLAQIUABQAAAAIAIdO 4kCYwIsR2wAAAA0BAAAPAAAAAAAAAAEAIAAAACIAAABkcnMvZG93bnJldi54bWxQSwECFAAUAAAA CACHTuJANcFkkesBAADlAwAADgAAAAAAAAABACAAAAAqAQAAZHJzL2Uyb0RvYy54bWxQSwUGAAAA AAYABgBZAQAAhwU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F44D6"/>
    <w:multiLevelType w:val="singleLevel"/>
    <w:tmpl w:val="E1FF44D6"/>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Ztal0naDmBLhfVO3a8SARQ==" w:hash="8pZcRwhf8b13UFA3hmqmucFkx/dTE1CXgy6eS7MS6QTkMBjx5vV7Sk+I9h5/SWiv17MhNRKDZA0xSyzRMLeif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33F59B1F"/>
    <w:rsid w:val="357FE20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xsi="http://www.w3.org/2001/XMLSchema-instance" xmlns:dc="http://purl.org/dc/elements/1.1/" xmlns:cp="http://schemas.openxmlformats.org/package/2006/metadata/core-properties" xmlns:dcterms="http://purl.org/dc/terms/">
  <dcterms:created xsi:type="dcterms:W3CDTF">2023-02-07T06:11:00Z</dcterms:created>
  <dc:creator>蔡冬冬</dc:creator>
  <cp:lastModifiedBy>梁云荣</cp:lastModifiedBy>
  <dcterms:modified xsi:type="dcterms:W3CDTF">2024-03-23T06:18:14Z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pid="2" fmtid="{D5CDD505-2E9C-101B-9397-08002B2CF9AE}" name="KSOProductBuildVer">
    <vt:lpwstr>2052-12.1.0.16388</vt:lpwstr>
  </property>
  <property pid="3" fmtid="{D5CDD505-2E9C-101B-9397-08002B2CF9AE}" name="ICV">
    <vt:lpwstr>4E3255008B624ED89522A7536C16D18B_13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27858-21d9-4fcc-9091-59fca099c8e5}">
  <ds:schemaRefs/>
</ds:datastoreItem>
</file>

<file path=customXml/itemProps3.xml><?xml version="1.0" encoding="utf-8"?>
<ds:datastoreItem xmlns:ds="http://schemas.openxmlformats.org/officeDocument/2006/customXml" ds:itemID="{55ea77cb-9109-49c8-8bbd-427c1f4697bc}">
  <ds:schemaRefs/>
</ds:datastoreItem>
</file>

<file path=customXml/itemProps4.xml><?xml version="1.0" encoding="utf-8"?>
<ds:datastoreItem xmlns:ds="http://schemas.openxmlformats.org/officeDocument/2006/customXml" ds:itemID="{b7d8b8eb-cd65-4fa5-bd65-576ed51223c1}">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梁云荣</cp:lastModifiedBy>
  <dcterms:modified xsi:type="dcterms:W3CDTF">2024-04-08T21:59:45Z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