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lang w:eastAsia="zh-CN"/>
        </w:rPr>
      </w:pPr>
      <w:r>
        <w:rPr>
          <w:rFonts w:hint="eastAsia" w:ascii="黑体" w:hAnsi="黑体" w:eastAsia="黑体" w:cs="黑体"/>
          <w:lang w:eastAsia="zh-CN"/>
        </w:rPr>
        <w:t>全州县特殊教育学校</w:t>
      </w:r>
    </w:p>
    <w:p>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szCs w:val="32"/>
        </w:rPr>
        <w:sectPr>
          <w:headerReference r:id="rId4" w:type="first"/>
          <w:footerReference r:id="rId6" w:type="first"/>
          <w:headerReference r:id="rId3" w:type="default"/>
          <w:footerReference r:id="rId5" w:type="default"/>
          <w:pgSz w:w="11900" w:h="16840"/>
          <w:pgMar w:top="4713" w:right="1913" w:bottom="4713" w:left="2020" w:header="4285" w:footer="4285" w:gutter="0"/>
          <w:pgNumType w:fmt="decimal" w:start="1"/>
          <w:cols w:space="720" w:num="1"/>
          <w:titlePg/>
          <w:docGrid w:linePitch="360" w:charSpace="0"/>
        </w:sectPr>
      </w:pPr>
      <w:r>
        <w:rPr>
          <w:rFonts w:hint="eastAsia" w:ascii="黑体" w:hAnsi="黑体" w:eastAsia="黑体" w:cs="黑体"/>
          <w:lang w:val="en-US" w:eastAsia="zh-CN"/>
        </w:rPr>
        <w:t>2024</w:t>
      </w:r>
      <w:r>
        <w:rPr>
          <w:rFonts w:hint="eastAsia" w:ascii="黑体" w:hAnsi="黑体" w:eastAsia="黑体" w:cs="黑体"/>
        </w:rPr>
        <w:t>年度部门预算</w:t>
      </w:r>
    </w:p>
    <w:p>
      <w:pPr>
        <w:pStyle w:val="15"/>
        <w:keepNext/>
        <w:keepLines/>
        <w:pageBreakBefore w:val="0"/>
        <w:kinsoku/>
        <w:wordWrap/>
        <w:overflowPunct/>
        <w:topLinePunct w:val="0"/>
        <w:autoSpaceDE/>
        <w:autoSpaceDN/>
        <w:bidi w:val="0"/>
        <w:adjustRightInd/>
        <w:snapToGrid/>
        <w:spacing w:after="240" w:line="360" w:lineRule="auto"/>
        <w:textAlignment w:val="auto"/>
        <w:rPr>
          <w:sz w:val="32"/>
          <w:szCs w:val="32"/>
        </w:rPr>
      </w:pPr>
      <w:bookmarkStart w:id="0" w:name="bookmark0"/>
      <w:bookmarkStart w:id="1" w:name="bookmark1"/>
      <w:bookmarkStart w:id="2" w:name="bookmark2"/>
      <w:r>
        <w:rPr>
          <w:sz w:val="32"/>
          <w:szCs w:val="32"/>
        </w:rPr>
        <w:t>目录</w:t>
      </w:r>
      <w:bookmarkEnd w:id="0"/>
      <w:bookmarkEnd w:id="1"/>
      <w:bookmarkEnd w:id="2"/>
    </w:p>
    <w:p>
      <w:pPr>
        <w:pStyle w:val="19"/>
        <w:pageBreakBefore w:val="0"/>
        <w:kinsoku/>
        <w:wordWrap/>
        <w:overflowPunct/>
        <w:topLinePunct w:val="0"/>
        <w:autoSpaceDE/>
        <w:autoSpaceDN/>
        <w:bidi w:val="0"/>
        <w:adjustRightInd/>
        <w:snapToGrid/>
        <w:spacing w:line="360" w:lineRule="auto"/>
        <w:ind w:firstLine="320" w:firstLineChars="100"/>
        <w:textAlignment w:val="auto"/>
        <w:rPr>
          <w:rFonts w:hint="eastAsia" w:ascii="黑体" w:hAnsi="黑体" w:eastAsia="黑体" w:cs="黑体"/>
          <w:sz w:val="32"/>
          <w:szCs w:val="32"/>
        </w:rPr>
      </w:pPr>
      <w:r>
        <w:rPr>
          <w:rFonts w:hint="eastAsia" w:ascii="黑体" w:hAnsi="黑体" w:eastAsia="黑体" w:cs="黑体"/>
          <w:sz w:val="32"/>
          <w:szCs w:val="32"/>
        </w:rPr>
        <w:t>第一部分</w:t>
      </w:r>
      <w:r>
        <w:rPr>
          <w:rFonts w:hint="eastAsia" w:ascii="黑体" w:hAnsi="黑体" w:eastAsia="黑体" w:cs="黑体"/>
          <w:sz w:val="32"/>
          <w:szCs w:val="32"/>
          <w:lang w:eastAsia="zh-CN"/>
        </w:rPr>
        <w:t>：</w:t>
      </w:r>
      <w:r>
        <w:rPr>
          <w:rFonts w:ascii="黑体" w:hAnsi="黑体" w:eastAsia="黑体" w:cs="黑体"/>
          <w:sz w:val="32"/>
          <w:u w:color="auto"/>
        </w:rPr>
        <w:t>全州县特殊教育学校</w:t>
      </w:r>
      <w:r>
        <w:rPr>
          <w:rFonts w:hint="eastAsia" w:ascii="黑体" w:hAnsi="黑体" w:eastAsia="黑体" w:cs="黑体"/>
          <w:sz w:val="32"/>
          <w:szCs w:val="32"/>
        </w:rPr>
        <w:t>概况</w:t>
      </w:r>
    </w:p>
    <w:p>
      <w:pPr>
        <w:pStyle w:val="19"/>
        <w:pageBreakBefore w:val="0"/>
        <w:kinsoku/>
        <w:wordWrap/>
        <w:overflowPunct/>
        <w:topLinePunct w:val="0"/>
        <w:autoSpaceDE/>
        <w:autoSpaceDN/>
        <w:bidi w:val="0"/>
        <w:adjustRightInd/>
        <w:snapToGrid/>
        <w:spacing w:line="360" w:lineRule="auto"/>
        <w:jc w:val="left"/>
        <w:textAlignment w:val="auto"/>
        <w:rPr>
          <w:sz w:val="32"/>
          <w:szCs w:val="32"/>
        </w:rPr>
      </w:pPr>
      <w:r>
        <w:rPr>
          <w:rFonts w:hint="eastAsia"/>
          <w:sz w:val="32"/>
          <w:szCs w:val="32"/>
          <w:lang w:val="en-US" w:eastAsia="zh-CN"/>
        </w:rPr>
        <w:t>一</w:t>
      </w:r>
      <w:r>
        <w:rPr>
          <w:sz w:val="32"/>
          <w:szCs w:val="32"/>
        </w:rPr>
        <w:t>、主要</w:t>
      </w:r>
      <w:r>
        <w:rPr>
          <w:rFonts w:hint="eastAsia"/>
          <w:sz w:val="32"/>
          <w:szCs w:val="32"/>
          <w:lang w:val="en-US" w:eastAsia="zh-CN"/>
        </w:rPr>
        <w:t>职能</w:t>
      </w:r>
      <w:r>
        <w:rPr>
          <w:sz w:val="32"/>
          <w:szCs w:val="32"/>
        </w:rPr>
        <w:t>职责</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eastAsia"/>
          <w:sz w:val="32"/>
          <w:szCs w:val="32"/>
          <w:lang w:val="en-US" w:eastAsia="zh-CN"/>
        </w:rPr>
        <w:t>二、机构设置（</w:t>
      </w:r>
      <w:r>
        <w:rPr>
          <w:rFonts w:hint="default"/>
          <w:sz w:val="32"/>
          <w:szCs w:val="32"/>
          <w:lang w:val="en-US" w:eastAsia="zh-CN"/>
        </w:rPr>
        <w:t>本级和二层单位</w:t>
      </w:r>
      <w:r>
        <w:rPr>
          <w:rFonts w:hint="eastAsia"/>
          <w:sz w:val="32"/>
          <w:szCs w:val="32"/>
          <w:lang w:val="en-US" w:eastAsia="zh-CN"/>
        </w:rPr>
        <w:t>构成）</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default"/>
          <w:sz w:val="32"/>
          <w:szCs w:val="32"/>
          <w:lang w:val="en-US" w:eastAsia="zh-CN"/>
        </w:rPr>
        <w:t>三、编制现状及人员构成</w:t>
      </w:r>
      <w:r>
        <w:rPr>
          <w:rFonts w:hint="eastAsia"/>
          <w:sz w:val="32"/>
          <w:szCs w:val="32"/>
          <w:lang w:val="en-US" w:eastAsia="zh-CN"/>
        </w:rPr>
        <w:t>（</w:t>
      </w:r>
      <w:r>
        <w:rPr>
          <w:rFonts w:hint="default"/>
          <w:sz w:val="32"/>
          <w:szCs w:val="32"/>
          <w:lang w:val="en-US" w:eastAsia="zh-CN"/>
        </w:rPr>
        <w:t>本级和二层单位</w:t>
      </w:r>
      <w:r>
        <w:rPr>
          <w:rFonts w:hint="eastAsia"/>
          <w:sz w:val="32"/>
          <w:szCs w:val="32"/>
          <w:lang w:val="en-US" w:eastAsia="zh-CN"/>
        </w:rPr>
        <w:t>）</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default"/>
          <w:sz w:val="32"/>
          <w:szCs w:val="32"/>
          <w:lang w:val="en-US" w:eastAsia="zh-CN"/>
        </w:rPr>
        <w:t>四、年度主要工作任务</w:t>
      </w:r>
    </w:p>
    <w:p>
      <w:pPr>
        <w:pStyle w:val="19"/>
        <w:pageBreakBefore w:val="0"/>
        <w:kinsoku/>
        <w:wordWrap/>
        <w:overflowPunct/>
        <w:topLinePunct w:val="0"/>
        <w:autoSpaceDE/>
        <w:autoSpaceDN/>
        <w:bidi w:val="0"/>
        <w:adjustRightInd/>
        <w:snapToGrid/>
        <w:spacing w:line="360" w:lineRule="auto"/>
        <w:ind w:firstLine="320" w:firstLineChars="1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第二部分</w:t>
      </w:r>
      <w:r>
        <w:rPr>
          <w:rFonts w:hint="eastAsia" w:ascii="黑体" w:hAnsi="黑体" w:eastAsia="黑体" w:cs="黑体"/>
          <w:b w:val="0"/>
          <w:bCs w:val="0"/>
          <w:sz w:val="32"/>
          <w:szCs w:val="32"/>
          <w:lang w:eastAsia="zh-CN"/>
        </w:rPr>
        <w:t>：</w:t>
      </w:r>
      <w:r>
        <w:rPr>
          <w:rFonts w:ascii="黑体" w:hAnsi="黑体" w:eastAsia="黑体" w:cs="黑体"/>
          <w:sz w:val="32"/>
          <w:u w:color="auto"/>
        </w:rPr>
        <w:t>全州县特殊教育学校2024</w:t>
      </w:r>
      <w:r>
        <w:rPr>
          <w:rFonts w:hint="eastAsia" w:ascii="黑体" w:hAnsi="黑体" w:eastAsia="黑体" w:cs="黑体"/>
          <w:b w:val="0"/>
          <w:bCs w:val="0"/>
          <w:sz w:val="32"/>
          <w:szCs w:val="32"/>
          <w:lang w:val="en-US" w:eastAsia="zh-CN"/>
        </w:rPr>
        <w:t>年</w:t>
      </w:r>
      <w:r>
        <w:rPr>
          <w:rFonts w:hint="eastAsia" w:ascii="黑体" w:hAnsi="黑体" w:eastAsia="黑体" w:cs="黑体"/>
          <w:b w:val="0"/>
          <w:bCs w:val="0"/>
          <w:sz w:val="32"/>
          <w:szCs w:val="32"/>
        </w:rPr>
        <w:t>部门预算情况说明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一、部门收支总体情况说明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二、部门收入总体情况说明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三、部门支出总体情况说明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四、财政拨款收支总体情况说明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五、一般公共预算支出情况说明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六、一般公共预算基本支出情况说明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七、</w:t>
      </w:r>
      <w:r>
        <w:rPr>
          <w:rFonts w:hint="eastAsia"/>
          <w:sz w:val="32"/>
          <w:szCs w:val="32"/>
          <w:lang w:val="en-US" w:eastAsia="zh-CN"/>
        </w:rPr>
        <w:t>财政拨款</w:t>
      </w:r>
      <w:r>
        <w:rPr>
          <w:rFonts w:hint="eastAsia"/>
          <w:sz w:val="32"/>
          <w:szCs w:val="32"/>
        </w:rPr>
        <w:t>三公经费支出情况说明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八、政府性基金预算支出情况说明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九、国有资本经营预算支出情况说明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十、其他重要事项情况说明</w:t>
      </w:r>
    </w:p>
    <w:p>
      <w:pPr>
        <w:pStyle w:val="19"/>
        <w:pageBreakBefore w:val="0"/>
        <w:kinsoku/>
        <w:wordWrap/>
        <w:overflowPunct/>
        <w:topLinePunct w:val="0"/>
        <w:autoSpaceDE/>
        <w:autoSpaceDN/>
        <w:bidi w:val="0"/>
        <w:adjustRightInd/>
        <w:snapToGrid/>
        <w:spacing w:line="360" w:lineRule="auto"/>
        <w:ind w:firstLine="320" w:firstLineChars="100"/>
        <w:textAlignment w:val="auto"/>
        <w:rPr>
          <w:b/>
          <w:bCs/>
          <w:sz w:val="32"/>
          <w:szCs w:val="32"/>
        </w:rPr>
      </w:pPr>
      <w:r>
        <w:rPr>
          <w:b/>
          <w:bCs/>
          <w:sz w:val="32"/>
          <w:szCs w:val="32"/>
        </w:rPr>
        <w:t>第</w:t>
      </w:r>
      <w:r>
        <w:rPr>
          <w:rFonts w:hint="eastAsia"/>
          <w:b/>
          <w:bCs/>
          <w:sz w:val="32"/>
          <w:szCs w:val="32"/>
          <w:lang w:val="en-US"/>
        </w:rPr>
        <w:t>三</w:t>
      </w:r>
      <w:r>
        <w:rPr>
          <w:b/>
          <w:bCs/>
          <w:sz w:val="32"/>
          <w:szCs w:val="32"/>
        </w:rPr>
        <w:t>部分</w:t>
      </w:r>
      <w:r>
        <w:rPr>
          <w:rFonts w:hint="eastAsia"/>
          <w:b/>
          <w:bCs/>
          <w:sz w:val="32"/>
          <w:szCs w:val="32"/>
        </w:rPr>
        <w:t>：</w:t>
      </w:r>
      <w:r>
        <w:rPr>
          <w:b/>
          <w:bCs/>
          <w:sz w:val="32"/>
          <w:szCs w:val="32"/>
        </w:rPr>
        <w:t>名词</w:t>
      </w:r>
      <w:r>
        <w:rPr>
          <w:rFonts w:hint="eastAsia"/>
          <w:b/>
          <w:bCs/>
          <w:sz w:val="32"/>
          <w:szCs w:val="32"/>
          <w:lang w:val="en-US"/>
        </w:rPr>
        <w:t>解释</w:t>
      </w:r>
    </w:p>
    <w:p>
      <w:pPr>
        <w:pStyle w:val="19"/>
        <w:pageBreakBefore w:val="0"/>
        <w:kinsoku/>
        <w:wordWrap/>
        <w:overflowPunct/>
        <w:topLinePunct w:val="0"/>
        <w:autoSpaceDE/>
        <w:autoSpaceDN/>
        <w:bidi w:val="0"/>
        <w:adjustRightInd/>
        <w:snapToGrid/>
        <w:spacing w:line="360" w:lineRule="auto"/>
        <w:ind w:firstLine="320" w:firstLineChars="100"/>
        <w:textAlignment w:val="auto"/>
        <w:rPr>
          <w:b/>
          <w:bCs/>
          <w:sz w:val="32"/>
          <w:szCs w:val="32"/>
        </w:rPr>
      </w:pPr>
      <w:r>
        <w:rPr>
          <w:b/>
          <w:bCs/>
          <w:sz w:val="32"/>
          <w:szCs w:val="32"/>
        </w:rPr>
        <w:t>第</w:t>
      </w:r>
      <w:r>
        <w:rPr>
          <w:rFonts w:hint="eastAsia"/>
          <w:b/>
          <w:bCs/>
          <w:sz w:val="32"/>
          <w:szCs w:val="32"/>
          <w:lang w:val="en-US"/>
        </w:rPr>
        <w:t>四</w:t>
      </w:r>
      <w:r>
        <w:rPr>
          <w:b/>
          <w:bCs/>
          <w:sz w:val="32"/>
          <w:szCs w:val="32"/>
        </w:rPr>
        <w:t>部分</w:t>
      </w:r>
      <w:r>
        <w:rPr>
          <w:rFonts w:hint="eastAsia"/>
          <w:b/>
          <w:bCs/>
          <w:sz w:val="32"/>
          <w:szCs w:val="32"/>
        </w:rPr>
        <w:t>：</w:t>
      </w:r>
      <w:r>
        <w:rPr>
          <w:b/>
          <w:sz w:val="32"/>
          <w:u w:color="auto"/>
        </w:rPr>
        <w:t>全州县特殊教育学校2024</w:t>
      </w:r>
      <w:r>
        <w:rPr>
          <w:rFonts w:ascii="Times New Roman" w:hAnsi="Times New Roman" w:cs="Times New Roman"/>
          <w:b/>
          <w:bCs/>
          <w:sz w:val="32"/>
          <w:szCs w:val="32"/>
        </w:rPr>
        <w:t>年</w:t>
      </w:r>
      <w:r>
        <w:rPr>
          <w:b/>
          <w:bCs/>
          <w:sz w:val="32"/>
          <w:szCs w:val="32"/>
        </w:rPr>
        <w:t>部门预算</w:t>
      </w:r>
      <w:r>
        <w:rPr>
          <w:rFonts w:hint="eastAsia"/>
          <w:b/>
          <w:bCs/>
          <w:sz w:val="32"/>
          <w:szCs w:val="32"/>
          <w:lang w:val="en-US"/>
        </w:rPr>
        <w:t>报</w:t>
      </w:r>
      <w:r>
        <w:rPr>
          <w:b/>
          <w:bCs/>
          <w:sz w:val="32"/>
          <w:szCs w:val="32"/>
        </w:rPr>
        <w:t>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一、部门收支总体情况表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二、部门收入总体情况表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三、部门支出总体情况表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四、财政拨款收支总体情况表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五、一般公共预算支出情况表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六、一般公共预算基本支出情况表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七、</w:t>
      </w:r>
      <w:r>
        <w:rPr>
          <w:rFonts w:hint="eastAsia"/>
          <w:sz w:val="32"/>
          <w:szCs w:val="32"/>
          <w:lang w:val="en-US" w:eastAsia="zh-CN"/>
        </w:rPr>
        <w:t>财政拨款</w:t>
      </w:r>
      <w:r>
        <w:rPr>
          <w:rFonts w:hint="eastAsia"/>
          <w:sz w:val="32"/>
          <w:szCs w:val="32"/>
        </w:rPr>
        <w:t>三公经费支出情况表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八、政府性基金预算支出情况表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九、国有资本经营预算支出情况表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lang w:eastAsia="zh-CN"/>
        </w:rPr>
      </w:pPr>
      <w:r>
        <w:rPr>
          <w:rFonts w:hint="eastAsia"/>
          <w:sz w:val="32"/>
          <w:szCs w:val="32"/>
        </w:rPr>
        <w:t>十、2024年度预算项目绩效目标公开表</w:t>
      </w:r>
    </w:p>
    <w:p>
      <w:pPr>
        <w:pStyle w:val="19"/>
        <w:pageBreakBefore w:val="0"/>
        <w:kinsoku/>
        <w:wordWrap/>
        <w:overflowPunct/>
        <w:topLinePunct w:val="0"/>
        <w:autoSpaceDE/>
        <w:autoSpaceDN/>
        <w:bidi w:val="0"/>
        <w:adjustRightInd/>
        <w:snapToGrid/>
        <w:spacing w:line="360" w:lineRule="auto"/>
        <w:textAlignment w:val="auto"/>
        <w:rPr>
          <w:sz w:val="32"/>
          <w:szCs w:val="32"/>
          <w:lang w:eastAsia="zh-CN"/>
        </w:rPr>
        <w:sectPr>
          <w:headerReference r:id="rId7" w:type="default"/>
          <w:footerReference r:id="rId8" w:type="default"/>
          <w:pgSz w:w="11900" w:h="16840"/>
          <w:pgMar w:top="1508" w:right="1674" w:bottom="1508" w:left="1851" w:header="1080" w:footer="3" w:gutter="0"/>
          <w:pgNumType w:fmt="decimal"/>
          <w:cols w:space="720" w:num="1"/>
          <w:docGrid w:linePitch="360" w:charSpace="0"/>
        </w:sectPr>
      </w:pPr>
    </w:p>
    <w:p>
      <w:pPr>
        <w:pStyle w:val="15"/>
        <w:keepNext/>
        <w:keepLines/>
        <w:pageBreakBefore w:val="0"/>
        <w:kinsoku/>
        <w:wordWrap/>
        <w:overflowPunct/>
        <w:topLinePunct w:val="0"/>
        <w:autoSpaceDE/>
        <w:autoSpaceDN/>
        <w:bidi w:val="0"/>
        <w:adjustRightInd/>
        <w:snapToGrid/>
        <w:spacing w:after="560" w:line="360" w:lineRule="auto"/>
        <w:jc w:val="both"/>
        <w:textAlignment w:val="auto"/>
        <w:rPr>
          <w:sz w:val="32"/>
          <w:szCs w:val="32"/>
        </w:rPr>
      </w:pPr>
      <w:bookmarkStart w:id="3" w:name="bookmark14"/>
      <w:bookmarkStart w:id="4" w:name="bookmark13"/>
      <w:bookmarkStart w:id="5" w:name="bookmark12"/>
    </w:p>
    <w:p>
      <w:pPr>
        <w:pStyle w:val="15"/>
        <w:keepNext/>
        <w:keepLines/>
        <w:pageBreakBefore w:val="0"/>
        <w:kinsoku/>
        <w:wordWrap/>
        <w:overflowPunct/>
        <w:topLinePunct w:val="0"/>
        <w:autoSpaceDE/>
        <w:autoSpaceDN/>
        <w:bidi w:val="0"/>
        <w:adjustRightInd/>
        <w:snapToGrid/>
        <w:spacing w:after="560" w:line="360" w:lineRule="auto"/>
        <w:textAlignment w:val="auto"/>
        <w:rPr>
          <w:b/>
          <w:bCs/>
          <w:sz w:val="32"/>
          <w:szCs w:val="32"/>
        </w:rPr>
      </w:pPr>
      <w:r>
        <w:rPr>
          <w:rFonts w:hint="eastAsia" w:ascii="黑体" w:hAnsi="黑体" w:eastAsia="黑体" w:cs="黑体"/>
          <w:b w:val="0"/>
          <w:bCs w:val="0"/>
          <w:sz w:val="32"/>
          <w:szCs w:val="32"/>
        </w:rPr>
        <w:t>第一部分：</w:t>
      </w:r>
      <w:bookmarkEnd w:id="3"/>
      <w:bookmarkEnd w:id="4"/>
      <w:bookmarkEnd w:id="5"/>
      <w:r>
        <w:rPr>
          <w:rFonts w:ascii="黑体" w:hAnsi="黑体" w:eastAsia="黑体" w:cs="黑体"/>
          <w:sz w:val="32"/>
          <w:u w:color="auto"/>
        </w:rPr>
        <w:t>全州县特殊教育学校概况</w:t>
      </w:r>
    </w:p>
    <w:p>
      <w:pPr>
        <w:pStyle w:val="19"/>
        <w:keepNext w:val="0"/>
        <w:keepLines w:val="0"/>
        <w:pageBreakBefore w:val="0"/>
        <w:widowControl w:val="0"/>
        <w:kinsoku/>
        <w:wordWrap/>
        <w:overflowPunct/>
        <w:topLinePunct w:val="0"/>
        <w:autoSpaceDE/>
        <w:autoSpaceDN/>
        <w:bidi w:val="0"/>
        <w:adjustRightInd/>
        <w:snapToGrid/>
        <w:spacing w:before="361" w:beforeLines="100" w:after="181" w:afterLines="50" w:line="360" w:lineRule="auto"/>
        <w:ind w:firstLine="618"/>
        <w:textAlignment w:val="auto"/>
        <w:rPr>
          <w:b/>
          <w:bCs/>
          <w:sz w:val="32"/>
          <w:szCs w:val="32"/>
        </w:rPr>
      </w:pPr>
      <w:r>
        <w:rPr>
          <w:rFonts w:hint="eastAsia"/>
          <w:b/>
          <w:bCs/>
          <w:sz w:val="32"/>
          <w:szCs w:val="32"/>
          <w:lang w:val="en-US"/>
        </w:rPr>
        <w:t>一、</w:t>
      </w:r>
      <w:r>
        <w:rPr>
          <w:b/>
          <w:bCs/>
          <w:sz w:val="32"/>
          <w:szCs w:val="32"/>
        </w:rPr>
        <w:t>主要</w:t>
      </w:r>
      <w:r>
        <w:rPr>
          <w:rFonts w:hint="eastAsia"/>
          <w:b/>
          <w:bCs/>
          <w:sz w:val="32"/>
          <w:szCs w:val="32"/>
          <w:lang w:val="en-US" w:eastAsia="zh-CN"/>
        </w:rPr>
        <w:t>职能</w:t>
      </w:r>
      <w:r>
        <w:rPr>
          <w:b/>
          <w:bCs/>
          <w:sz w:val="32"/>
          <w:szCs w:val="32"/>
        </w:rPr>
        <w:t>职责</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1、努力做好在校特殊教育教学、对残疾学生送教上门管理，加强学生的思想品德教育、心理健康教育、艺术教育等，特别注意培养残疾学生生活自理能力，促进学生均衡发展。</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2、实行财政预算，决算与预算相同。</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3、努力改善办学条件，加强学校教育信息化，提高教学质量，指导残疾学生社会实践工作。</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18"/>
        <w:textAlignment w:val="auto"/>
        <w:rPr>
          <w:b/>
          <w:bCs/>
          <w:sz w:val="32"/>
          <w:szCs w:val="32"/>
        </w:rPr>
      </w:pPr>
      <w:bookmarkStart w:id="6" w:name="bookmark24"/>
      <w:r>
        <w:rPr>
          <w:b/>
          <w:bCs/>
          <w:sz w:val="32"/>
          <w:szCs w:val="32"/>
        </w:rPr>
        <w:t>二</w:t>
      </w:r>
      <w:bookmarkEnd w:id="6"/>
      <w:r>
        <w:rPr>
          <w:b/>
          <w:bCs/>
          <w:sz w:val="32"/>
          <w:szCs w:val="32"/>
        </w:rPr>
        <w:t>、</w:t>
      </w:r>
      <w:r>
        <w:rPr>
          <w:b/>
          <w:bCs/>
          <w:sz w:val="32"/>
          <w:szCs w:val="32"/>
        </w:rPr>
        <w:tab/>
      </w:r>
      <w:r>
        <w:rPr>
          <w:rFonts w:hint="eastAsia"/>
          <w:b/>
          <w:bCs/>
          <w:sz w:val="32"/>
          <w:szCs w:val="32"/>
        </w:rPr>
        <w:t>机构设置</w:t>
      </w:r>
      <w:r>
        <w:rPr>
          <w:rFonts w:hint="eastAsia"/>
          <w:b/>
          <w:bCs/>
          <w:color w:val="auto"/>
          <w:sz w:val="32"/>
          <w:szCs w:val="32"/>
          <w:lang w:eastAsia="zh-CN"/>
        </w:rPr>
        <w:t>（</w:t>
      </w:r>
      <w:r>
        <w:rPr>
          <w:rFonts w:hint="default"/>
          <w:b/>
          <w:bCs/>
          <w:color w:val="auto"/>
          <w:sz w:val="32"/>
          <w:szCs w:val="32"/>
        </w:rPr>
        <w:t>本级和二层单位</w:t>
      </w:r>
      <w:r>
        <w:rPr>
          <w:rFonts w:hint="eastAsia"/>
          <w:b/>
          <w:bCs/>
          <w:color w:val="auto"/>
          <w:sz w:val="32"/>
          <w:szCs w:val="32"/>
          <w:lang w:val="en-US" w:eastAsia="zh-CN"/>
        </w:rPr>
        <w:t>构成</w:t>
      </w:r>
      <w:r>
        <w:rPr>
          <w:rFonts w:hint="eastAsia"/>
          <w:b/>
          <w:bCs/>
          <w:color w:val="auto"/>
          <w:sz w:val="32"/>
          <w:szCs w:val="32"/>
          <w:lang w:eastAsia="zh-CN"/>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rPr>
      </w:pPr>
      <w:r>
        <w:rPr>
          <w:rFonts w:hint="eastAsia"/>
          <w:sz w:val="32"/>
          <w:szCs w:val="32"/>
          <w:lang w:val="en-US"/>
        </w:rPr>
        <w:t>2024年我校部门预算编制全额拨款事业单位共1个，实行校长负责制，下设办公室，教务处，后勤处，财务室，教研组，团委，工会等中层机构，管理学校的教育教学、日常生活、财务等各项工作。</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hint="eastAsia"/>
          <w:b/>
          <w:bCs/>
          <w:color w:val="auto"/>
          <w:sz w:val="32"/>
          <w:szCs w:val="32"/>
          <w:lang w:eastAsia="zh-CN"/>
        </w:rPr>
      </w:pPr>
      <w:r>
        <w:rPr>
          <w:rFonts w:hint="eastAsia"/>
          <w:b/>
          <w:bCs/>
          <w:color w:val="auto"/>
          <w:sz w:val="32"/>
          <w:szCs w:val="32"/>
          <w:lang w:val="en-US" w:eastAsia="zh-CN"/>
        </w:rPr>
        <w:t>三、</w:t>
      </w:r>
      <w:r>
        <w:rPr>
          <w:rFonts w:hint="default"/>
          <w:b/>
          <w:bCs/>
          <w:color w:val="auto"/>
          <w:sz w:val="32"/>
          <w:szCs w:val="32"/>
        </w:rPr>
        <w:t>编制现状及人员构成</w:t>
      </w:r>
      <w:r>
        <w:rPr>
          <w:rFonts w:hint="eastAsia"/>
          <w:b/>
          <w:bCs/>
          <w:color w:val="auto"/>
          <w:sz w:val="32"/>
          <w:szCs w:val="32"/>
          <w:lang w:eastAsia="zh-CN"/>
        </w:rPr>
        <w:t>（</w:t>
      </w:r>
      <w:r>
        <w:rPr>
          <w:rFonts w:hint="default"/>
          <w:b/>
          <w:bCs/>
          <w:color w:val="auto"/>
          <w:sz w:val="32"/>
          <w:szCs w:val="32"/>
        </w:rPr>
        <w:t>本级和二层单位</w:t>
      </w:r>
      <w:r>
        <w:rPr>
          <w:rFonts w:hint="eastAsia"/>
          <w:b/>
          <w:bCs/>
          <w:color w:val="auto"/>
          <w:sz w:val="32"/>
          <w:szCs w:val="32"/>
          <w:lang w:eastAsia="zh-CN"/>
        </w:rPr>
        <w:t>）</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default" w:cs="宋体"/>
          <w:color w:val="auto"/>
          <w:sz w:val="32"/>
          <w:szCs w:val="32"/>
          <w:lang w:val="en-US" w:eastAsia="zh-CN" w:bidi="zh-TW"/>
        </w:rPr>
      </w:pPr>
      <w:r>
        <w:rPr>
          <w:rFonts w:hint="eastAsia" w:ascii="宋体" w:hAnsi="宋体" w:eastAsia="宋体" w:cs="宋体"/>
          <w:color w:val="auto"/>
          <w:sz w:val="32"/>
          <w:szCs w:val="32"/>
          <w:lang w:val="en-US" w:eastAsia="zh-TW" w:bidi="zh-TW"/>
        </w:rPr>
        <w:t>全州县特殊教育学校核定编制人数28人，实有编制人数28人。全额事业在职人员28人，离休人员0人，退休人员4人。</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hint="default" w:ascii="宋体" w:hAnsi="宋体" w:eastAsia="宋体" w:cs="宋体"/>
          <w:b/>
          <w:bCs/>
          <w:color w:val="auto"/>
          <w:kern w:val="0"/>
          <w:sz w:val="32"/>
          <w:szCs w:val="32"/>
          <w:lang w:val="zh-TW" w:eastAsia="zh-TW" w:bidi="zh-TW"/>
        </w:rPr>
      </w:pPr>
      <w:r>
        <w:rPr>
          <w:rFonts w:hint="eastAsia" w:cs="宋体"/>
          <w:b/>
          <w:bCs/>
          <w:color w:val="auto"/>
          <w:kern w:val="0"/>
          <w:sz w:val="32"/>
          <w:szCs w:val="32"/>
          <w:lang w:val="en-US" w:eastAsia="zh-CN" w:bidi="zh-TW"/>
        </w:rPr>
        <w:t>四、</w:t>
      </w:r>
      <w:r>
        <w:rPr>
          <w:rFonts w:hint="default" w:ascii="宋体" w:hAnsi="宋体" w:eastAsia="宋体" w:cs="宋体"/>
          <w:b/>
          <w:bCs/>
          <w:color w:val="auto"/>
          <w:kern w:val="0"/>
          <w:sz w:val="32"/>
          <w:szCs w:val="32"/>
          <w:lang w:val="zh-TW" w:eastAsia="zh-TW" w:bidi="zh-TW"/>
        </w:rPr>
        <w:t>年度主要工作任务</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eastAsia" w:cs="宋体"/>
          <w:color w:val="auto"/>
          <w:sz w:val="32"/>
          <w:szCs w:val="32"/>
          <w:lang w:val="en-US" w:eastAsia="zh-CN" w:bidi="zh-TW"/>
        </w:rPr>
      </w:pPr>
      <w:r>
        <w:rPr>
          <w:rFonts w:hint="eastAsia" w:ascii="宋体" w:hAnsi="宋体" w:eastAsia="宋体" w:cs="宋体"/>
          <w:color w:val="auto"/>
          <w:sz w:val="32"/>
          <w:szCs w:val="32"/>
          <w:lang w:val="en-US" w:eastAsia="zh-TW" w:bidi="zh-TW"/>
        </w:rPr>
        <w:t>1、全面贯彻国家教育方针，教书育人，办好人民满意特殊教育。</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eastAsia" w:cs="宋体"/>
          <w:color w:val="auto"/>
          <w:sz w:val="32"/>
          <w:szCs w:val="32"/>
          <w:lang w:val="en-US" w:eastAsia="zh-CN" w:bidi="zh-TW"/>
        </w:rPr>
      </w:pPr>
      <w:r>
        <w:rPr>
          <w:rFonts w:hint="eastAsia" w:ascii="宋体" w:hAnsi="宋体" w:eastAsia="宋体" w:cs="宋体"/>
          <w:color w:val="auto"/>
          <w:sz w:val="32"/>
          <w:szCs w:val="32"/>
          <w:lang w:val="en-US" w:eastAsia="zh-TW" w:bidi="zh-TW"/>
        </w:rPr>
        <w:t>2、努力改善办学条件，提高残疾学生教学质量，强化学生“五项管理”，特别培养学生生活自理能力。</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eastAsia" w:cs="宋体"/>
          <w:color w:val="auto"/>
          <w:sz w:val="32"/>
          <w:szCs w:val="32"/>
          <w:lang w:val="en-US" w:eastAsia="zh-CN" w:bidi="zh-TW"/>
        </w:rPr>
      </w:pPr>
      <w:r>
        <w:rPr>
          <w:rFonts w:hint="eastAsia" w:ascii="宋体" w:hAnsi="宋体" w:eastAsia="宋体" w:cs="宋体"/>
          <w:color w:val="auto"/>
          <w:sz w:val="32"/>
          <w:szCs w:val="32"/>
          <w:lang w:val="en-US" w:eastAsia="zh-TW" w:bidi="zh-TW"/>
        </w:rPr>
        <w:t>3、加大学校教师培训，强化教师管理，提高教师队伍建设，培养高素质教师人才。</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eastAsia" w:cs="宋体"/>
          <w:color w:val="auto"/>
          <w:sz w:val="32"/>
          <w:szCs w:val="32"/>
          <w:lang w:val="en-US" w:eastAsia="zh-CN" w:bidi="zh-TW"/>
        </w:rPr>
      </w:pPr>
      <w:r>
        <w:rPr>
          <w:rFonts w:hint="eastAsia" w:ascii="宋体" w:hAnsi="宋体" w:eastAsia="宋体" w:cs="宋体"/>
          <w:color w:val="auto"/>
          <w:sz w:val="32"/>
          <w:szCs w:val="32"/>
          <w:lang w:val="en-US" w:eastAsia="zh-TW" w:bidi="zh-TW"/>
        </w:rPr>
        <w:t>4、加强学校安全卫生工作，切实维护学生人身安全，防止校园欺凌。</w:t>
      </w:r>
    </w:p>
    <w:p>
      <w:pPr>
        <w:rPr>
          <w:rFonts w:hint="eastAsia" w:cs="宋体"/>
          <w:color w:val="auto"/>
          <w:sz w:val="32"/>
          <w:szCs w:val="32"/>
          <w:lang w:val="en-US" w:eastAsia="zh-CN" w:bidi="zh-TW"/>
        </w:rPr>
      </w:pPr>
      <w:r>
        <w:br w:type="page"/>
      </w:r>
    </w:p>
    <w:p>
      <w:pPr>
        <w:pStyle w:val="15"/>
        <w:keepNext/>
        <w:keepLines/>
        <w:pageBreakBefore w:val="0"/>
        <w:kinsoku/>
        <w:wordWrap/>
        <w:overflowPunct/>
        <w:topLinePunct w:val="0"/>
        <w:autoSpaceDE/>
        <w:autoSpaceDN/>
        <w:bidi w:val="0"/>
        <w:adjustRightInd/>
        <w:snapToGrid/>
        <w:spacing w:before="120" w:after="0" w:line="360" w:lineRule="auto"/>
        <w:textAlignment w:val="auto"/>
        <w:rPr>
          <w:rFonts w:hint="eastAsia" w:ascii="黑体" w:hAnsi="黑体" w:eastAsia="黑体" w:cs="黑体"/>
          <w:b/>
          <w:bCs/>
          <w:sz w:val="32"/>
          <w:szCs w:val="32"/>
        </w:rPr>
      </w:pPr>
      <w:bookmarkStart w:id="7" w:name="bookmark70"/>
      <w:bookmarkStart w:id="8" w:name="bookmark68"/>
      <w:bookmarkStart w:id="9" w:name="bookmark69"/>
      <w:bookmarkStart w:id="10" w:name="bookmark26"/>
      <w:bookmarkStart w:id="11" w:name="bookmark28"/>
      <w:bookmarkStart w:id="12" w:name="bookmark27"/>
      <w:r>
        <w:rPr>
          <w:rFonts w:hint="eastAsia" w:ascii="黑体" w:hAnsi="黑体" w:eastAsia="黑体" w:cs="黑体"/>
          <w:b/>
          <w:bCs/>
          <w:sz w:val="32"/>
          <w:szCs w:val="32"/>
        </w:rPr>
        <w:t>第</w:t>
      </w:r>
      <w:r>
        <w:rPr>
          <w:rFonts w:hint="eastAsia" w:ascii="黑体" w:hAnsi="黑体" w:eastAsia="黑体" w:cs="黑体"/>
          <w:b/>
          <w:bCs/>
          <w:sz w:val="32"/>
          <w:szCs w:val="32"/>
          <w:lang w:val="en-US" w:eastAsia="zh-CN"/>
        </w:rPr>
        <w:t>二</w:t>
      </w:r>
      <w:r>
        <w:rPr>
          <w:rFonts w:hint="eastAsia" w:ascii="黑体" w:hAnsi="黑体" w:eastAsia="黑体" w:cs="黑体"/>
          <w:b/>
          <w:bCs/>
          <w:sz w:val="32"/>
          <w:szCs w:val="32"/>
        </w:rPr>
        <w:t>部分</w:t>
      </w:r>
      <w:r>
        <w:rPr>
          <w:rFonts w:hint="eastAsia" w:ascii="黑体" w:hAnsi="黑体" w:eastAsia="黑体" w:cs="黑体"/>
          <w:b/>
          <w:bCs/>
          <w:sz w:val="32"/>
          <w:szCs w:val="32"/>
          <w:lang w:eastAsia="zh-CN"/>
        </w:rPr>
        <w:t>：</w:t>
      </w:r>
      <w:bookmarkEnd w:id="7"/>
      <w:bookmarkEnd w:id="8"/>
      <w:bookmarkEnd w:id="9"/>
      <w:r>
        <w:rPr>
          <w:rFonts w:hint="eastAsia" w:ascii="黑体" w:hAnsi="黑体" w:eastAsia="黑体" w:cs="黑体"/>
          <w:b/>
          <w:bCs/>
          <w:sz w:val="32"/>
          <w:szCs w:val="32"/>
          <w:lang w:eastAsia="zh-CN"/>
        </w:rPr>
        <w:t>全州县特殊教育学校</w:t>
      </w:r>
      <w:r>
        <w:rPr>
          <w:rFonts w:ascii="黑体" w:hAnsi="黑体" w:eastAsia="黑体" w:cs="黑体"/>
          <w:b/>
          <w:sz w:val="32"/>
          <w:u w:color="auto"/>
        </w:rPr>
        <w:t>2024年部门预算情况说明</w:t>
      </w:r>
    </w:p>
    <w:p>
      <w:pPr>
        <w:pStyle w:val="19"/>
        <w:keepNext w:val="0"/>
        <w:keepLines w:val="0"/>
        <w:pageBreakBefore w:val="0"/>
        <w:widowControl w:val="0"/>
        <w:tabs>
          <w:tab w:val="left" w:pos="1235"/>
        </w:tabs>
        <w:kinsoku/>
        <w:wordWrap/>
        <w:overflowPunct/>
        <w:topLinePunct w:val="0"/>
        <w:autoSpaceDE/>
        <w:autoSpaceDN/>
        <w:bidi w:val="0"/>
        <w:adjustRightInd/>
        <w:snapToGrid/>
        <w:spacing w:before="361" w:beforeLines="100" w:after="181" w:afterLines="50" w:line="360" w:lineRule="auto"/>
        <w:ind w:firstLine="578"/>
        <w:textAlignment w:val="auto"/>
        <w:rPr>
          <w:b/>
          <w:bCs/>
          <w:sz w:val="32"/>
          <w:szCs w:val="32"/>
        </w:rPr>
      </w:pPr>
      <w:bookmarkStart w:id="13" w:name="bookmark71"/>
      <w:r>
        <w:rPr>
          <w:b/>
          <w:bCs/>
          <w:sz w:val="32"/>
          <w:szCs w:val="32"/>
        </w:rPr>
        <w:t>一</w:t>
      </w:r>
      <w:bookmarkEnd w:id="13"/>
      <w:r>
        <w:rPr>
          <w:b/>
          <w:bCs/>
          <w:sz w:val="32"/>
          <w:szCs w:val="32"/>
        </w:rPr>
        <w:t>、</w:t>
      </w:r>
      <w:r>
        <w:rPr>
          <w:b/>
          <w:bCs/>
          <w:sz w:val="32"/>
          <w:szCs w:val="32"/>
        </w:rPr>
        <w:tab/>
      </w:r>
      <w:r>
        <w:rPr>
          <w:b/>
          <w:bCs/>
          <w:sz w:val="32"/>
          <w:szCs w:val="32"/>
        </w:rPr>
        <w:t>部门收支总体情况说明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ascii="Times New Roman" w:hAnsi="Times New Roman" w:cs="Times New Roman"/>
          <w:b/>
          <w:bCs/>
          <w:sz w:val="32"/>
          <w:szCs w:val="32"/>
          <w:lang w:val="en-US"/>
        </w:rPr>
      </w:pPr>
      <w:r>
        <w:rPr>
          <w:rFonts w:hint="eastAsia"/>
          <w:sz w:val="32"/>
          <w:szCs w:val="32"/>
        </w:rPr>
        <w:t>我部门总收入</w:t>
      </w:r>
      <w:r>
        <w:rPr>
          <w:rFonts w:hint="eastAsia"/>
          <w:sz w:val="32"/>
          <w:szCs w:val="32"/>
          <w:lang w:val="en-US" w:eastAsia="zh-CN"/>
        </w:rPr>
        <w:t>484.93</w:t>
      </w:r>
      <w:r>
        <w:rPr>
          <w:rFonts w:hint="eastAsia"/>
          <w:sz w:val="32"/>
          <w:szCs w:val="32"/>
        </w:rPr>
        <w:t>万元，总支出</w:t>
      </w:r>
      <w:r>
        <w:rPr>
          <w:rFonts w:hint="eastAsia"/>
          <w:sz w:val="32"/>
          <w:szCs w:val="32"/>
          <w:lang w:val="en-US" w:eastAsia="zh-CN"/>
        </w:rPr>
        <w:t>484.93</w:t>
      </w:r>
      <w:r>
        <w:rPr>
          <w:rFonts w:hint="eastAsia"/>
          <w:sz w:val="32"/>
          <w:szCs w:val="32"/>
        </w:rPr>
        <w:t>万元（不含财政拨款上年未列支结转收支数）。总收入较</w:t>
      </w:r>
      <w:r>
        <w:rPr>
          <w:rFonts w:hint="eastAsia"/>
          <w:sz w:val="32"/>
          <w:szCs w:val="32"/>
          <w:lang w:eastAsia="zh-CN"/>
        </w:rPr>
        <w:t>上</w:t>
      </w:r>
      <w:r>
        <w:rPr>
          <w:rFonts w:hint="eastAsia"/>
          <w:sz w:val="32"/>
          <w:szCs w:val="32"/>
        </w:rPr>
        <w:t>年度预算数</w:t>
      </w:r>
      <w:r>
        <w:rPr>
          <w:rFonts w:hint="eastAsia"/>
          <w:sz w:val="32"/>
          <w:szCs w:val="32"/>
          <w:lang w:val="en-US"/>
        </w:rPr>
        <w:t>532.19</w:t>
      </w:r>
      <w:r>
        <w:rPr>
          <w:rFonts w:hint="eastAsia"/>
          <w:sz w:val="32"/>
          <w:szCs w:val="32"/>
        </w:rPr>
        <w:t>万元，</w:t>
      </w:r>
      <w:r>
        <w:rPr>
          <w:sz w:val="32"/>
          <w:u w:color="auto"/>
        </w:rPr>
        <w:t>减少47.26万元，下降8.88%，主要原因是</w:t>
      </w:r>
      <w:r>
        <w:rPr>
          <w:rFonts w:hint="eastAsia"/>
          <w:sz w:val="32"/>
          <w:szCs w:val="32"/>
          <w:lang w:val="en-US"/>
        </w:rPr>
        <w:t>1、特殊教育收入减小47.16万元，下降11.89%</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ascii="Times New Roman" w:hAnsi="Times New Roman" w:cs="Times New Roman"/>
          <w:b/>
          <w:bCs/>
          <w:sz w:val="32"/>
          <w:szCs w:val="32"/>
          <w:lang w:val="en-US"/>
        </w:rPr>
      </w:pPr>
      <w:r>
        <w:rPr>
          <w:rFonts w:hint="eastAsia"/>
          <w:sz w:val="32"/>
          <w:szCs w:val="32"/>
          <w:lang w:val="en-US"/>
        </w:rPr>
        <w:t>2、卫生健康收入减小4.21万元，下降15.42%</w:t>
      </w:r>
      <w:r>
        <w:rPr>
          <w:rFonts w:hint="eastAsia"/>
          <w:sz w:val="32"/>
          <w:szCs w:val="32"/>
        </w:rPr>
        <w:t>。总支出较</w:t>
      </w:r>
      <w:r>
        <w:rPr>
          <w:rFonts w:hint="eastAsia"/>
          <w:sz w:val="32"/>
          <w:szCs w:val="32"/>
          <w:lang w:eastAsia="zh-CN"/>
        </w:rPr>
        <w:t>上</w:t>
      </w:r>
      <w:r>
        <w:rPr>
          <w:rFonts w:hint="eastAsia"/>
          <w:sz w:val="32"/>
          <w:szCs w:val="32"/>
        </w:rPr>
        <w:t>年度预算数</w:t>
      </w:r>
      <w:r>
        <w:rPr>
          <w:rFonts w:hint="eastAsia"/>
          <w:sz w:val="32"/>
          <w:szCs w:val="32"/>
          <w:lang w:val="en-US"/>
        </w:rPr>
        <w:t>532.19</w:t>
      </w:r>
      <w:r>
        <w:rPr>
          <w:rFonts w:hint="eastAsia"/>
          <w:sz w:val="32"/>
          <w:szCs w:val="32"/>
        </w:rPr>
        <w:t>万元，</w:t>
      </w:r>
      <w:r>
        <w:rPr>
          <w:sz w:val="32"/>
          <w:u w:color="auto"/>
        </w:rPr>
        <w:t>减少47.26万元，下降8.88%，主要原因是</w:t>
      </w:r>
      <w:r>
        <w:rPr>
          <w:rFonts w:hint="eastAsia"/>
          <w:sz w:val="32"/>
          <w:szCs w:val="32"/>
          <w:lang w:val="en-US"/>
        </w:rPr>
        <w:t>1、特殊教育支出减小47.16万元，下降11.89%</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ascii="Times New Roman" w:hAnsi="Times New Roman" w:cs="Times New Roman"/>
          <w:b/>
          <w:bCs/>
          <w:sz w:val="32"/>
          <w:szCs w:val="32"/>
          <w:lang w:val="en-US"/>
        </w:rPr>
      </w:pPr>
      <w:r>
        <w:rPr>
          <w:rFonts w:hint="eastAsia"/>
          <w:sz w:val="32"/>
          <w:szCs w:val="32"/>
          <w:lang w:val="en-US"/>
        </w:rPr>
        <w:t>2、卫生健康支出减小4.21万元，下降15.42%</w:t>
      </w:r>
      <w:r>
        <w:rPr>
          <w:rFonts w:hint="eastAsia"/>
          <w:sz w:val="32"/>
          <w:szCs w:val="32"/>
        </w:rPr>
        <w:t>。</w:t>
      </w:r>
    </w:p>
    <w:p>
      <w:pPr>
        <w:pStyle w:val="19"/>
        <w:keepNext w:val="0"/>
        <w:keepLines w:val="0"/>
        <w:pageBreakBefore w:val="0"/>
        <w:widowControl w:val="0"/>
        <w:numPr>
          <w:ilvl w:val="0"/>
          <w:numId w:val="0"/>
        </w:numPr>
        <w:tabs>
          <w:tab w:val="left" w:pos="1235"/>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ascii="Times New Roman" w:hAnsi="Times New Roman" w:cs="Times New Roman"/>
          <w:sz w:val="32"/>
          <w:szCs w:val="32"/>
          <w:lang w:val="en-US" w:eastAsia="zh-CN"/>
        </w:rPr>
      </w:pPr>
      <w:r>
        <w:rPr>
          <w:rFonts w:hint="eastAsia"/>
          <w:b/>
          <w:bCs/>
          <w:sz w:val="32"/>
          <w:szCs w:val="32"/>
          <w:lang w:val="en-US" w:eastAsia="zh-CN"/>
        </w:rPr>
        <w:t>二、</w:t>
      </w:r>
      <w:r>
        <w:rPr>
          <w:b/>
          <w:bCs/>
          <w:sz w:val="32"/>
          <w:szCs w:val="32"/>
        </w:rPr>
        <w:t>部门收入总体情况说明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lang w:eastAsia="zh-CN"/>
        </w:rPr>
        <w:t>2024</w:t>
      </w:r>
      <w:r>
        <w:rPr>
          <w:rFonts w:hint="eastAsia"/>
          <w:sz w:val="32"/>
          <w:szCs w:val="32"/>
        </w:rPr>
        <w:t>年我部门总收入</w:t>
      </w:r>
      <w:r>
        <w:rPr>
          <w:rFonts w:hint="eastAsia"/>
          <w:sz w:val="32"/>
          <w:szCs w:val="32"/>
          <w:lang w:val="en-US" w:eastAsia="zh-CN"/>
        </w:rPr>
        <w:t>484.93</w:t>
      </w:r>
      <w:r>
        <w:rPr>
          <w:rFonts w:hint="eastAsia"/>
          <w:sz w:val="32"/>
          <w:szCs w:val="32"/>
        </w:rPr>
        <w:t>万元，</w:t>
      </w:r>
      <w:r>
        <w:rPr>
          <w:rFonts w:hint="eastAsia"/>
          <w:sz w:val="32"/>
          <w:szCs w:val="32"/>
          <w:lang w:val="en-US" w:eastAsia="zh-CN"/>
        </w:rPr>
        <w:t>同比</w:t>
      </w:r>
      <w:r>
        <w:rPr>
          <w:rFonts w:hint="eastAsia"/>
          <w:sz w:val="32"/>
          <w:szCs w:val="32"/>
        </w:rPr>
        <w:t>减少47.26万元，</w:t>
      </w:r>
      <w:r>
        <w:rPr>
          <w:sz w:val="32"/>
          <w:u w:color="auto"/>
        </w:rPr>
        <w:t>下降8.88%</w:t>
      </w:r>
      <w:r>
        <w:rPr>
          <w:rFonts w:hint="eastAsia"/>
          <w:sz w:val="32"/>
          <w:szCs w:val="32"/>
          <w:lang w:eastAsia="zh-CN"/>
        </w:rPr>
        <w:t>。其中：一般公共预算</w:t>
      </w:r>
      <w:r>
        <w:rPr>
          <w:rFonts w:hint="eastAsia" w:ascii="宋体" w:hAnsi="宋体" w:eastAsia="宋体"/>
          <w:sz w:val="32"/>
          <w:szCs w:val="32"/>
          <w:lang w:eastAsia="zh-CN"/>
        </w:rPr>
        <w:t>484.93</w:t>
      </w:r>
      <w:r>
        <w:rPr>
          <w:rFonts w:hint="eastAsia"/>
          <w:sz w:val="32"/>
          <w:szCs w:val="32"/>
          <w:lang w:eastAsia="zh-CN"/>
        </w:rPr>
        <w:t>万元，占收入总预算</w:t>
      </w:r>
      <w:r>
        <w:rPr>
          <w:rFonts w:hint="eastAsia" w:ascii="宋体" w:hAnsi="宋体" w:eastAsia="宋体"/>
          <w:sz w:val="32"/>
          <w:szCs w:val="32"/>
          <w:lang w:eastAsia="zh-CN"/>
        </w:rPr>
        <w:t>100.00%</w:t>
      </w:r>
      <w:r>
        <w:rPr>
          <w:rFonts w:hint="eastAsia"/>
          <w:sz w:val="32"/>
          <w:szCs w:val="32"/>
          <w:lang w:eastAsia="zh-CN"/>
        </w:rPr>
        <w:t>，同比</w:t>
      </w:r>
      <w:r>
        <w:rPr>
          <w:rFonts w:hint="eastAsia" w:ascii="宋体" w:hAnsi="宋体" w:eastAsia="宋体"/>
          <w:sz w:val="32"/>
          <w:szCs w:val="32"/>
          <w:lang w:eastAsia="zh-CN"/>
        </w:rPr>
        <w:t>减少47.26</w:t>
      </w:r>
      <w:r>
        <w:rPr>
          <w:rFonts w:hint="eastAsia"/>
          <w:sz w:val="32"/>
          <w:szCs w:val="32"/>
          <w:lang w:eastAsia="zh-CN"/>
        </w:rPr>
        <w:t>万元，</w:t>
      </w:r>
      <w:r>
        <w:rPr>
          <w:rFonts w:hint="eastAsia" w:ascii="宋体" w:hAnsi="宋体" w:eastAsia="宋体"/>
          <w:sz w:val="32"/>
          <w:szCs w:val="32"/>
          <w:lang w:eastAsia="zh-CN"/>
        </w:rPr>
        <w:t>下降8.88%</w:t>
      </w:r>
      <w:r>
        <w:rPr>
          <w:rFonts w:hint="eastAsia"/>
          <w:sz w:val="32"/>
          <w:szCs w:val="32"/>
          <w:lang w:eastAsia="zh-CN"/>
        </w:rPr>
        <w:t>，</w:t>
      </w:r>
      <w:r>
        <w:rPr>
          <w:rFonts w:hint="eastAsia"/>
          <w:sz w:val="32"/>
          <w:szCs w:val="32"/>
        </w:rPr>
        <w:t>主要原因是</w:t>
      </w:r>
      <w:r>
        <w:rPr>
          <w:rFonts w:hint="eastAsia"/>
          <w:sz w:val="32"/>
          <w:szCs w:val="32"/>
          <w:lang w:eastAsia="zh-CN"/>
        </w:rPr>
        <w:t>：</w:t>
      </w:r>
      <w:r>
        <w:rPr>
          <w:rFonts w:hint="eastAsia"/>
          <w:sz w:val="32"/>
          <w:szCs w:val="32"/>
          <w:lang w:val="en-US" w:eastAsia="zh-CN"/>
        </w:rPr>
        <w:t>1、特殊教育收入349.35万元，占收入总预算72.05%，同比减小47.16万元，下降11.89%</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lang w:val="en-US" w:eastAsia="zh-CN"/>
        </w:rPr>
        <w:t>2、社会保障和就业收入74.48万元，占收入总预算15.36%，同比增加1.74万元，增长2.39%</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lang w:val="en-US" w:eastAsia="zh-CN"/>
        </w:rPr>
        <w:t>3、卫生健康收入23.10万元，占收入总预算4.76%，同比减少4.21万元，下降15.42%</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lang w:val="en-US" w:eastAsia="zh-CN"/>
        </w:rPr>
        <w:t>4、住房保障收入37.99万元，占收入总预算7.83%，同比增加2.36万元，增长6.62%</w:t>
      </w:r>
      <w:r>
        <w:rPr>
          <w:rFonts w:hint="eastAsia"/>
          <w:sz w:val="32"/>
          <w:szCs w:val="32"/>
          <w:lang w:eastAsia="zh-CN"/>
        </w:rPr>
        <w:t>；政府性基金预算</w:t>
      </w:r>
      <w:r>
        <w:rPr>
          <w:rFonts w:hint="eastAsia" w:ascii="宋体" w:hAnsi="宋体" w:eastAsia="宋体"/>
          <w:sz w:val="32"/>
          <w:szCs w:val="32"/>
          <w:lang w:eastAsia="zh-CN"/>
        </w:rPr>
        <w:t>0.00</w:t>
      </w:r>
      <w:r>
        <w:rPr>
          <w:rFonts w:hint="eastAsia"/>
          <w:sz w:val="32"/>
          <w:szCs w:val="32"/>
          <w:lang w:eastAsia="zh-CN"/>
        </w:rPr>
        <w:t>万元，占收入总预算</w:t>
      </w:r>
      <w:r>
        <w:rPr>
          <w:rFonts w:hint="eastAsia" w:ascii="宋体" w:hAnsi="宋体" w:eastAsia="宋体"/>
          <w:sz w:val="32"/>
          <w:szCs w:val="32"/>
          <w:lang w:eastAsia="zh-CN"/>
        </w:rPr>
        <w:t>0.00%</w:t>
      </w:r>
      <w:r>
        <w:rPr>
          <w:rFonts w:hint="eastAsia"/>
          <w:sz w:val="32"/>
          <w:szCs w:val="32"/>
          <w:lang w:eastAsia="zh-CN"/>
        </w:rPr>
        <w:t>，同比</w:t>
      </w:r>
      <w:r>
        <w:rPr>
          <w:rFonts w:hint="eastAsia" w:ascii="宋体" w:hAnsi="宋体" w:eastAsia="宋体"/>
          <w:sz w:val="32"/>
          <w:szCs w:val="32"/>
          <w:lang w:eastAsia="zh-CN"/>
        </w:rPr>
        <w:t>增加0.00</w:t>
      </w:r>
      <w:r>
        <w:rPr>
          <w:rFonts w:hint="eastAsia"/>
          <w:sz w:val="32"/>
          <w:szCs w:val="32"/>
          <w:lang w:eastAsia="zh-CN"/>
        </w:rPr>
        <w:t>万元，</w:t>
      </w:r>
      <w:r>
        <w:rPr>
          <w:rFonts w:hint="eastAsia" w:ascii="宋体" w:hAnsi="宋体" w:eastAsia="宋体"/>
          <w:sz w:val="32"/>
          <w:szCs w:val="32"/>
          <w:lang w:eastAsia="zh-CN"/>
        </w:rPr>
        <w:t>增长0%</w:t>
      </w:r>
      <w:r>
        <w:rPr>
          <w:rFonts w:hint="eastAsia"/>
          <w:sz w:val="32"/>
          <w:szCs w:val="32"/>
          <w:lang w:eastAsia="zh-CN"/>
        </w:rPr>
        <w:t>，</w:t>
      </w:r>
      <w:r>
        <w:rPr>
          <w:rFonts w:hint="eastAsia"/>
          <w:sz w:val="32"/>
          <w:szCs w:val="32"/>
        </w:rPr>
        <w:t>主要原因是</w:t>
      </w:r>
      <w:r>
        <w:rPr>
          <w:rFonts w:hint="eastAsia"/>
          <w:sz w:val="32"/>
          <w:szCs w:val="32"/>
          <w:lang w:val="en-US" w:eastAsia="zh-CN"/>
        </w:rPr>
        <w:t>同比无变化</w:t>
      </w:r>
      <w:r>
        <w:rPr>
          <w:rFonts w:hint="eastAsia"/>
          <w:sz w:val="32"/>
          <w:szCs w:val="32"/>
        </w:rPr>
        <w:t>。</w:t>
      </w:r>
    </w:p>
    <w:p>
      <w:pPr>
        <w:pStyle w:val="19"/>
        <w:keepNext w:val="0"/>
        <w:keepLines w:val="0"/>
        <w:pageBreakBefore w:val="0"/>
        <w:widowControl w:val="0"/>
        <w:numPr>
          <w:ilvl w:val="0"/>
          <w:numId w:val="0"/>
        </w:numPr>
        <w:tabs>
          <w:tab w:val="left" w:pos="1237"/>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ascii="Times New Roman" w:hAnsi="Times New Roman" w:eastAsia="Times New Roman" w:cs="Times New Roman"/>
          <w:sz w:val="32"/>
          <w:szCs w:val="32"/>
        </w:rPr>
      </w:pPr>
      <w:r>
        <w:rPr>
          <w:rFonts w:hint="eastAsia"/>
          <w:b/>
          <w:bCs/>
          <w:sz w:val="32"/>
          <w:szCs w:val="32"/>
          <w:lang w:val="en-US" w:eastAsia="zh-CN"/>
        </w:rPr>
        <w:t>三、</w:t>
      </w:r>
      <w:r>
        <w:rPr>
          <w:b/>
          <w:bCs/>
          <w:sz w:val="32"/>
          <w:szCs w:val="32"/>
        </w:rPr>
        <w:t>部门支出总体情况说明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lang w:val="en-US" w:eastAsia="zh-CN"/>
        </w:rPr>
      </w:pPr>
      <w:r>
        <w:rPr>
          <w:rFonts w:hint="eastAsia"/>
          <w:sz w:val="32"/>
          <w:szCs w:val="32"/>
        </w:rPr>
        <w:t>2024</w:t>
      </w:r>
      <w:r>
        <w:rPr>
          <w:sz w:val="32"/>
          <w:u w:color="auto"/>
        </w:rPr>
        <w:t>年我部门总支出</w:t>
      </w:r>
      <w:r>
        <w:rPr>
          <w:rFonts w:hint="eastAsia"/>
          <w:sz w:val="32"/>
          <w:szCs w:val="32"/>
          <w:lang w:val="en-US"/>
        </w:rPr>
        <w:t>484.93</w:t>
      </w:r>
      <w:r>
        <w:rPr>
          <w:rFonts w:hint="eastAsia"/>
          <w:sz w:val="32"/>
          <w:szCs w:val="32"/>
        </w:rPr>
        <w:t>万元，</w:t>
      </w:r>
      <w:r>
        <w:rPr>
          <w:rFonts w:hint="eastAsia"/>
          <w:sz w:val="32"/>
          <w:szCs w:val="32"/>
          <w:lang w:val="en-US" w:eastAsia="zh-CN"/>
        </w:rPr>
        <w:t>同比</w:t>
      </w:r>
      <w:r>
        <w:rPr>
          <w:rFonts w:hint="eastAsia"/>
          <w:sz w:val="32"/>
          <w:szCs w:val="32"/>
        </w:rPr>
        <w:t>减少47.26万元，</w:t>
      </w:r>
      <w:r>
        <w:rPr>
          <w:sz w:val="32"/>
          <w:u w:color="auto"/>
        </w:rPr>
        <w:t>下降8.88%</w:t>
      </w:r>
      <w:r>
        <w:rPr>
          <w:rFonts w:hint="eastAsia" w:ascii="Times New Roman" w:hAnsi="Times New Roman" w:cs="Times New Roman"/>
          <w:sz w:val="32"/>
          <w:szCs w:val="32"/>
        </w:rPr>
        <w:t>。</w:t>
      </w:r>
      <w:r>
        <w:rPr>
          <w:rFonts w:hint="eastAsia"/>
          <w:sz w:val="32"/>
          <w:szCs w:val="32"/>
          <w:lang w:val="en-US" w:eastAsia="zh-CN"/>
        </w:rPr>
        <w:t>其中：</w:t>
      </w:r>
      <w:r>
        <w:rPr>
          <w:rFonts w:hint="eastAsia"/>
          <w:sz w:val="32"/>
          <w:szCs w:val="32"/>
        </w:rPr>
        <w:t>基本支出预算</w:t>
      </w:r>
      <w:r>
        <w:rPr>
          <w:rFonts w:hint="eastAsia"/>
          <w:sz w:val="32"/>
          <w:szCs w:val="32"/>
          <w:lang w:val="en-US"/>
        </w:rPr>
        <w:t>484.93</w:t>
      </w:r>
      <w:r>
        <w:rPr>
          <w:rFonts w:hint="eastAsia"/>
          <w:sz w:val="32"/>
          <w:szCs w:val="32"/>
        </w:rPr>
        <w:t>万元，占支出预算</w:t>
      </w:r>
      <w:r>
        <w:rPr>
          <w:sz w:val="32"/>
          <w:u w:color="auto"/>
        </w:rPr>
        <w:t>100.00%,</w:t>
      </w:r>
      <w:r>
        <w:rPr>
          <w:rFonts w:hint="eastAsia"/>
          <w:sz w:val="32"/>
          <w:szCs w:val="32"/>
          <w:lang w:val="en-US" w:eastAsia="zh-CN"/>
        </w:rPr>
        <w:t>同比</w:t>
      </w:r>
      <w:r>
        <w:rPr>
          <w:rFonts w:hint="eastAsia"/>
          <w:sz w:val="32"/>
          <w:szCs w:val="32"/>
        </w:rPr>
        <w:t>增加21.73</w:t>
      </w:r>
      <w:r>
        <w:rPr>
          <w:sz w:val="32"/>
          <w:u w:color="auto"/>
        </w:rPr>
        <w:t>万元，增长4.69%</w:t>
      </w:r>
      <w:r>
        <w:rPr>
          <w:sz w:val="32"/>
          <w:szCs w:val="32"/>
        </w:rPr>
        <w:t>。</w:t>
      </w:r>
      <w:r>
        <w:rPr>
          <w:rFonts w:hint="eastAsia"/>
          <w:sz w:val="32"/>
          <w:szCs w:val="32"/>
        </w:rPr>
        <w:t>主要原因是</w:t>
      </w:r>
      <w:r>
        <w:rPr>
          <w:sz w:val="32"/>
          <w:szCs w:val="32"/>
        </w:rPr>
        <w:t>：</w:t>
      </w:r>
      <w:r>
        <w:rPr>
          <w:rFonts w:hint="eastAsia"/>
          <w:sz w:val="32"/>
          <w:szCs w:val="32"/>
          <w:lang w:val="en-US" w:eastAsia="zh-CN"/>
        </w:rPr>
        <w:t>1、特殊教育基本支出349.35万元，占支出预算72.05%，同比增加21.83万元，增长6.66%</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lang w:val="en-US" w:eastAsia="zh-CN"/>
        </w:rPr>
      </w:pPr>
      <w:r>
        <w:rPr>
          <w:rFonts w:hint="eastAsia"/>
          <w:sz w:val="32"/>
          <w:szCs w:val="32"/>
          <w:lang w:val="en-US" w:eastAsia="zh-CN"/>
        </w:rPr>
        <w:t>2、社会保障和就业支出74.48万元，占支出预算15.36%，同比增加1.74万元，增长2.39%</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lang w:val="en-US" w:eastAsia="zh-CN"/>
        </w:rPr>
      </w:pPr>
      <w:r>
        <w:rPr>
          <w:rFonts w:hint="eastAsia"/>
          <w:sz w:val="32"/>
          <w:szCs w:val="32"/>
          <w:lang w:val="en-US" w:eastAsia="zh-CN"/>
        </w:rPr>
        <w:t>3、卫生健康支出23.10万元，占支出预算4.76%，同比减少4.21万元，下降15.42%</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lang w:val="en-US" w:eastAsia="zh-CN"/>
        </w:rPr>
      </w:pPr>
      <w:r>
        <w:rPr>
          <w:rFonts w:hint="eastAsia"/>
          <w:sz w:val="32"/>
          <w:szCs w:val="32"/>
          <w:lang w:val="en-US" w:eastAsia="zh-CN"/>
        </w:rPr>
        <w:t>4、住房保障支出37.99万元，占支出预算7.83%，同比增加2.36万元，增长6.62%</w:t>
      </w:r>
      <w:r>
        <w:rPr>
          <w:rFonts w:hint="eastAsia"/>
          <w:sz w:val="32"/>
          <w:szCs w:val="32"/>
          <w:lang w:val="en-US"/>
        </w:rPr>
        <w:t>。</w:t>
      </w:r>
      <w:r>
        <w:rPr>
          <w:rFonts w:hint="eastAsia"/>
          <w:sz w:val="32"/>
          <w:szCs w:val="32"/>
        </w:rPr>
        <w:t>项目支出预算</w:t>
      </w:r>
      <w:r>
        <w:rPr>
          <w:rFonts w:hint="eastAsia"/>
          <w:sz w:val="32"/>
          <w:szCs w:val="32"/>
          <w:lang w:val="en-US"/>
        </w:rPr>
        <w:t>0.00</w:t>
      </w:r>
      <w:r>
        <w:rPr>
          <w:rFonts w:hint="eastAsia"/>
          <w:sz w:val="32"/>
          <w:szCs w:val="32"/>
        </w:rPr>
        <w:t>万元，占支出预算</w:t>
      </w:r>
      <w:r>
        <w:rPr>
          <w:sz w:val="32"/>
          <w:u w:color="auto"/>
        </w:rPr>
        <w:t>0.00%</w:t>
      </w:r>
      <w:r>
        <w:rPr>
          <w:rFonts w:hint="eastAsia"/>
          <w:sz w:val="32"/>
          <w:szCs w:val="32"/>
        </w:rPr>
        <w:t>,</w:t>
      </w:r>
      <w:r>
        <w:rPr>
          <w:rFonts w:hint="eastAsia"/>
          <w:sz w:val="32"/>
          <w:szCs w:val="32"/>
          <w:lang w:val="en-US" w:eastAsia="zh-CN"/>
        </w:rPr>
        <w:t>同比</w:t>
      </w:r>
      <w:r>
        <w:rPr>
          <w:rFonts w:hint="eastAsia"/>
          <w:sz w:val="32"/>
          <w:szCs w:val="32"/>
        </w:rPr>
        <w:t>减少68.99万元，</w:t>
      </w:r>
      <w:r>
        <w:rPr>
          <w:sz w:val="32"/>
          <w:u w:color="auto"/>
        </w:rPr>
        <w:t>下降100.00%</w:t>
      </w:r>
      <w:r>
        <w:rPr>
          <w:sz w:val="32"/>
          <w:szCs w:val="32"/>
        </w:rPr>
        <w:t>。</w:t>
      </w:r>
      <w:r>
        <w:rPr>
          <w:rFonts w:hint="eastAsia"/>
          <w:sz w:val="32"/>
          <w:szCs w:val="32"/>
        </w:rPr>
        <w:t>主要原因是</w:t>
      </w:r>
      <w:r>
        <w:rPr>
          <w:sz w:val="32"/>
          <w:szCs w:val="32"/>
        </w:rPr>
        <w:t>：</w:t>
      </w:r>
      <w:r>
        <w:rPr>
          <w:rFonts w:hint="eastAsia"/>
          <w:sz w:val="32"/>
          <w:szCs w:val="32"/>
          <w:lang w:val="en-US" w:eastAsia="zh-CN"/>
        </w:rPr>
        <w:t>学校校园文化建设项目支出减少。</w:t>
      </w:r>
    </w:p>
    <w:p>
      <w:pPr>
        <w:pStyle w:val="19"/>
        <w:keepNext w:val="0"/>
        <w:keepLines w:val="0"/>
        <w:pageBreakBefore w:val="0"/>
        <w:widowControl w:val="0"/>
        <w:numPr>
          <w:ilvl w:val="0"/>
          <w:numId w:val="0"/>
        </w:numPr>
        <w:tabs>
          <w:tab w:val="left" w:pos="1238"/>
        </w:tabs>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val="en-US" w:eastAsia="zh-CN"/>
        </w:rPr>
      </w:pPr>
      <w:r>
        <w:rPr>
          <w:rFonts w:hint="eastAsia"/>
          <w:b/>
          <w:bCs/>
          <w:sz w:val="32"/>
          <w:szCs w:val="32"/>
          <w:lang w:val="en-US" w:eastAsia="zh-CN"/>
        </w:rPr>
        <w:t>四、</w:t>
      </w:r>
      <w:r>
        <w:rPr>
          <w:b/>
          <w:bCs/>
          <w:sz w:val="32"/>
          <w:szCs w:val="32"/>
        </w:rPr>
        <w:t>财政拨款收支总体情况说明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lang w:eastAsia="zh-CN"/>
        </w:rPr>
        <w:t>2024</w:t>
      </w:r>
      <w:r>
        <w:rPr>
          <w:rFonts w:hint="eastAsia"/>
          <w:sz w:val="32"/>
          <w:szCs w:val="32"/>
        </w:rPr>
        <w:t>年财政拨款收入预算</w:t>
      </w:r>
      <w:r>
        <w:rPr>
          <w:rFonts w:hint="eastAsia"/>
          <w:sz w:val="32"/>
          <w:szCs w:val="32"/>
          <w:lang w:val="en-US" w:eastAsia="zh-CN"/>
        </w:rPr>
        <w:t>484.93</w:t>
      </w:r>
      <w:r>
        <w:rPr>
          <w:rFonts w:hint="eastAsia"/>
          <w:sz w:val="32"/>
          <w:szCs w:val="32"/>
        </w:rPr>
        <w:t>万元，</w:t>
      </w:r>
      <w:r>
        <w:rPr>
          <w:rFonts w:hint="eastAsia"/>
          <w:sz w:val="32"/>
          <w:szCs w:val="32"/>
          <w:lang w:val="en-US" w:eastAsia="zh-CN"/>
        </w:rPr>
        <w:t>同比</w:t>
      </w:r>
      <w:r>
        <w:rPr>
          <w:rFonts w:hint="eastAsia"/>
          <w:sz w:val="32"/>
          <w:szCs w:val="32"/>
        </w:rPr>
        <w:t>减少47.26万元，</w:t>
      </w:r>
      <w:r>
        <w:rPr>
          <w:sz w:val="32"/>
          <w:u w:color="auto"/>
        </w:rPr>
        <w:t>下降8.88%</w:t>
      </w:r>
      <w:r>
        <w:rPr>
          <w:rFonts w:hint="eastAsia"/>
          <w:sz w:val="32"/>
          <w:szCs w:val="32"/>
          <w:lang w:eastAsia="zh-CN"/>
        </w:rPr>
        <w:t>。其中：一般公共预算</w:t>
      </w:r>
      <w:r>
        <w:rPr>
          <w:rFonts w:hint="eastAsia" w:ascii="宋体" w:hAnsi="宋体" w:eastAsia="宋体"/>
          <w:sz w:val="32"/>
          <w:szCs w:val="32"/>
          <w:lang w:eastAsia="zh-CN"/>
        </w:rPr>
        <w:t>484.93</w:t>
      </w:r>
      <w:r>
        <w:rPr>
          <w:rFonts w:hint="eastAsia"/>
          <w:sz w:val="32"/>
          <w:szCs w:val="32"/>
          <w:lang w:eastAsia="zh-CN"/>
        </w:rPr>
        <w:t>万元，占收入总预算</w:t>
      </w:r>
      <w:r>
        <w:rPr>
          <w:rFonts w:hint="eastAsia" w:ascii="宋体" w:hAnsi="宋体" w:eastAsia="宋体"/>
          <w:sz w:val="32"/>
          <w:szCs w:val="32"/>
          <w:lang w:eastAsia="zh-CN"/>
        </w:rPr>
        <w:t>100.00%</w:t>
      </w:r>
      <w:r>
        <w:rPr>
          <w:rFonts w:hint="eastAsia"/>
          <w:sz w:val="32"/>
          <w:szCs w:val="32"/>
          <w:lang w:eastAsia="zh-CN"/>
        </w:rPr>
        <w:t>，同比</w:t>
      </w:r>
      <w:r>
        <w:rPr>
          <w:rFonts w:hint="eastAsia" w:ascii="宋体" w:hAnsi="宋体" w:eastAsia="宋体"/>
          <w:sz w:val="32"/>
          <w:szCs w:val="32"/>
          <w:lang w:eastAsia="zh-CN"/>
        </w:rPr>
        <w:t>减少47.26</w:t>
      </w:r>
      <w:r>
        <w:rPr>
          <w:rFonts w:hint="eastAsia"/>
          <w:sz w:val="32"/>
          <w:szCs w:val="32"/>
          <w:lang w:eastAsia="zh-CN"/>
        </w:rPr>
        <w:t>万元，</w:t>
      </w:r>
      <w:r>
        <w:rPr>
          <w:rFonts w:hint="eastAsia" w:ascii="宋体" w:hAnsi="宋体" w:eastAsia="宋体"/>
          <w:sz w:val="32"/>
          <w:szCs w:val="32"/>
          <w:lang w:eastAsia="zh-CN"/>
        </w:rPr>
        <w:t>下降8.88%</w:t>
      </w:r>
      <w:r>
        <w:rPr>
          <w:rFonts w:hint="eastAsia"/>
          <w:sz w:val="32"/>
          <w:szCs w:val="32"/>
          <w:lang w:eastAsia="zh-CN"/>
        </w:rPr>
        <w:t>，</w:t>
      </w:r>
      <w:r>
        <w:rPr>
          <w:rFonts w:hint="eastAsia"/>
          <w:sz w:val="32"/>
          <w:szCs w:val="32"/>
        </w:rPr>
        <w:t>主要原因是</w:t>
      </w:r>
      <w:r>
        <w:rPr>
          <w:rFonts w:hint="eastAsia"/>
          <w:sz w:val="32"/>
          <w:szCs w:val="32"/>
          <w:lang w:eastAsia="zh-CN"/>
        </w:rPr>
        <w:t>：</w:t>
      </w:r>
      <w:r>
        <w:rPr>
          <w:rFonts w:hint="eastAsia"/>
          <w:sz w:val="32"/>
          <w:szCs w:val="32"/>
          <w:lang w:val="en-US" w:eastAsia="zh-CN"/>
        </w:rPr>
        <w:t>1、特殊教育收入349.35万元，占收入总预算72.05%，同比减小47.16万元，下降11.89%</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lang w:val="en-US" w:eastAsia="zh-CN"/>
        </w:rPr>
        <w:t>2、社会保障和就业收入74.48万元，占收入总预算15.36%，同比增加1.74万元，增长2.39%</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lang w:val="en-US" w:eastAsia="zh-CN"/>
        </w:rPr>
        <w:t>3、卫生健康收入23.10万元，占收入总预算4.76%，同比减少4.21万元，下降15.42%</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lang w:val="en-US" w:eastAsia="zh-CN"/>
        </w:rPr>
        <w:t>4、住房保障收入37.99万元，占收入总预算7.83%，同比增加2.36万元，增长6.62%</w:t>
      </w:r>
      <w:r>
        <w:rPr>
          <w:rFonts w:hint="eastAsia"/>
          <w:sz w:val="32"/>
          <w:szCs w:val="32"/>
          <w:lang w:eastAsia="zh-CN"/>
        </w:rPr>
        <w:t>；政府性基金预算</w:t>
      </w:r>
      <w:r>
        <w:rPr>
          <w:rFonts w:hint="eastAsia" w:ascii="宋体" w:hAnsi="宋体" w:eastAsia="宋体"/>
          <w:sz w:val="32"/>
          <w:szCs w:val="32"/>
          <w:lang w:eastAsia="zh-CN"/>
        </w:rPr>
        <w:t>0.00</w:t>
      </w:r>
      <w:r>
        <w:rPr>
          <w:rFonts w:hint="eastAsia"/>
          <w:sz w:val="32"/>
          <w:szCs w:val="32"/>
          <w:lang w:eastAsia="zh-CN"/>
        </w:rPr>
        <w:t>万元，占收入总预算</w:t>
      </w:r>
      <w:r>
        <w:rPr>
          <w:rFonts w:hint="eastAsia" w:ascii="宋体" w:hAnsi="宋体" w:eastAsia="宋体"/>
          <w:sz w:val="32"/>
          <w:szCs w:val="32"/>
          <w:lang w:eastAsia="zh-CN"/>
        </w:rPr>
        <w:t>0.00%</w:t>
      </w:r>
      <w:r>
        <w:rPr>
          <w:rFonts w:hint="eastAsia"/>
          <w:sz w:val="32"/>
          <w:szCs w:val="32"/>
          <w:lang w:eastAsia="zh-CN"/>
        </w:rPr>
        <w:t>，同比</w:t>
      </w:r>
      <w:r>
        <w:rPr>
          <w:rFonts w:hint="eastAsia" w:ascii="宋体" w:hAnsi="宋体" w:eastAsia="宋体"/>
          <w:sz w:val="32"/>
          <w:szCs w:val="32"/>
          <w:lang w:eastAsia="zh-CN"/>
        </w:rPr>
        <w:t>增加0.00</w:t>
      </w:r>
      <w:r>
        <w:rPr>
          <w:rFonts w:hint="eastAsia"/>
          <w:sz w:val="32"/>
          <w:szCs w:val="32"/>
          <w:lang w:eastAsia="zh-CN"/>
        </w:rPr>
        <w:t>万元，</w:t>
      </w:r>
      <w:r>
        <w:rPr>
          <w:rFonts w:hint="eastAsia" w:ascii="宋体" w:hAnsi="宋体" w:eastAsia="宋体"/>
          <w:sz w:val="32"/>
          <w:szCs w:val="32"/>
          <w:lang w:eastAsia="zh-CN"/>
        </w:rPr>
        <w:t>增长0%</w:t>
      </w:r>
      <w:r>
        <w:rPr>
          <w:rFonts w:hint="eastAsia"/>
          <w:sz w:val="32"/>
          <w:szCs w:val="32"/>
          <w:lang w:eastAsia="zh-CN"/>
        </w:rPr>
        <w:t>，</w:t>
      </w:r>
      <w:r>
        <w:rPr>
          <w:rFonts w:hint="eastAsia"/>
          <w:sz w:val="32"/>
          <w:szCs w:val="32"/>
        </w:rPr>
        <w:t>主要原因是</w:t>
      </w:r>
      <w:r>
        <w:rPr>
          <w:rFonts w:hint="eastAsia" w:ascii="Arial" w:hAnsi="Arial" w:cs="Arial"/>
          <w:sz w:val="32"/>
          <w:szCs w:val="32"/>
          <w:lang w:eastAsia="zh-CN"/>
        </w:rPr>
        <w:t>：</w:t>
      </w:r>
      <w:r>
        <w:rPr>
          <w:rFonts w:hint="eastAsia"/>
          <w:sz w:val="32"/>
          <w:szCs w:val="32"/>
          <w:lang w:val="en-US" w:eastAsia="zh-CN"/>
        </w:rPr>
        <w:t>同比无变化</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val="zh-TW" w:eastAsia="zh-TW"/>
        </w:rPr>
        <w:t>2024年财政拨款支出预算</w:t>
      </w:r>
      <w:r>
        <w:rPr>
          <w:rFonts w:hint="eastAsia"/>
          <w:sz w:val="32"/>
          <w:szCs w:val="32"/>
          <w:lang w:val="en-US" w:eastAsia="zh-CN"/>
        </w:rPr>
        <w:t>484.93</w:t>
      </w:r>
      <w:r>
        <w:rPr>
          <w:rFonts w:hint="eastAsia"/>
          <w:sz w:val="32"/>
          <w:szCs w:val="32"/>
          <w:lang w:val="zh-TW" w:eastAsia="zh-TW"/>
        </w:rPr>
        <w:t>万元，同比</w:t>
      </w:r>
      <w:r>
        <w:rPr>
          <w:rFonts w:hint="eastAsia"/>
          <w:sz w:val="32"/>
          <w:szCs w:val="32"/>
          <w:lang w:val="en-US" w:eastAsia="zh-TW"/>
        </w:rPr>
        <w:t>减少47.26</w:t>
      </w:r>
      <w:r>
        <w:rPr>
          <w:rFonts w:hint="eastAsia"/>
          <w:sz w:val="32"/>
          <w:szCs w:val="32"/>
          <w:lang w:val="zh-TW" w:eastAsia="zh-TW"/>
        </w:rPr>
        <w:t>万元，</w:t>
      </w:r>
      <w:r>
        <w:rPr>
          <w:sz w:val="32"/>
          <w:u w:color="auto"/>
        </w:rPr>
        <w:t>下降8.88%</w:t>
      </w:r>
      <w:r>
        <w:rPr>
          <w:rFonts w:hint="eastAsia"/>
          <w:sz w:val="32"/>
          <w:szCs w:val="32"/>
          <w:lang w:val="zh-TW" w:eastAsia="zh-CN"/>
        </w:rPr>
        <w:t>，</w:t>
      </w:r>
      <w:r>
        <w:rPr>
          <w:rFonts w:hint="eastAsia"/>
          <w:sz w:val="32"/>
          <w:szCs w:val="32"/>
        </w:rPr>
        <w:t>主要原因是</w:t>
      </w:r>
      <w:r>
        <w:rPr>
          <w:rFonts w:hint="eastAsia"/>
          <w:sz w:val="32"/>
          <w:szCs w:val="32"/>
          <w:lang w:val="zh-TW" w:eastAsia="zh-TW"/>
        </w:rPr>
        <w:t>：</w:t>
      </w:r>
      <w:r>
        <w:rPr>
          <w:rFonts w:hint="eastAsia"/>
          <w:sz w:val="32"/>
          <w:szCs w:val="32"/>
          <w:lang w:val="en-US" w:eastAsia="zh-CN"/>
        </w:rPr>
        <w:t>1、特殊教育支出349.35万元，占支出预算72.05%，同比减小47.16万元，下降11.89%</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val="en-US" w:eastAsia="zh-CN"/>
        </w:rPr>
        <w:t>2、社会保障和就业支出74.48万元，占支出预算15.36%，同比增加1.74万元，增长2.39%</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val="en-US" w:eastAsia="zh-CN"/>
        </w:rPr>
        <w:t>3、卫生健康支出23.10万元，占支出预算4.76%，同比减少4.21万元，下降15.42%</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val="en-US" w:eastAsia="zh-CN"/>
        </w:rPr>
        <w:t>4、住房保障支出37.99万元，占支出预算7.83%，同比增加2.36万元，增长6.62%。</w:t>
      </w:r>
    </w:p>
    <w:p>
      <w:pPr>
        <w:pStyle w:val="19"/>
        <w:keepNext w:val="0"/>
        <w:keepLines w:val="0"/>
        <w:pageBreakBefore w:val="0"/>
        <w:widowControl w:val="0"/>
        <w:numPr>
          <w:ilvl w:val="0"/>
          <w:numId w:val="0"/>
        </w:numPr>
        <w:tabs>
          <w:tab w:val="left" w:pos="1238"/>
        </w:tabs>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eastAsia="zh-CN"/>
        </w:rPr>
      </w:pPr>
      <w:r>
        <w:rPr>
          <w:rFonts w:hint="eastAsia"/>
          <w:b/>
          <w:bCs/>
          <w:sz w:val="32"/>
          <w:szCs w:val="32"/>
          <w:lang w:val="en-US" w:eastAsia="zh-CN"/>
        </w:rPr>
        <w:t>五、</w:t>
      </w:r>
      <w:r>
        <w:rPr>
          <w:b/>
          <w:bCs/>
          <w:sz w:val="32"/>
          <w:szCs w:val="32"/>
        </w:rPr>
        <w:t>一般公共预算支出情况说明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2024</w:t>
      </w:r>
      <w:r>
        <w:rPr>
          <w:sz w:val="32"/>
          <w:u w:color="auto"/>
        </w:rPr>
        <w:t>年一般公共预算支出共484.93万元，同比减少47.26万元，下降8.88%，按支出功能分类科目划分，共分为4类，其中：</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1)</w:t>
      </w:r>
      <w:r>
        <w:rPr>
          <w:rFonts w:hint="eastAsia"/>
          <w:sz w:val="32"/>
          <w:szCs w:val="32"/>
        </w:rPr>
        <w:t>教育支出</w:t>
      </w:r>
      <w:r>
        <w:rPr>
          <w:rFonts w:hint="eastAsia"/>
          <w:sz w:val="32"/>
          <w:szCs w:val="32"/>
          <w:lang w:val="en-US" w:eastAsia="zh-CN"/>
        </w:rPr>
        <w:t>科目</w:t>
      </w:r>
      <w:r>
        <w:rPr>
          <w:rFonts w:hint="eastAsia"/>
          <w:sz w:val="32"/>
          <w:szCs w:val="32"/>
        </w:rPr>
        <w:t>349.35万元，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72.04%</w:t>
      </w:r>
      <w:r>
        <w:rPr>
          <w:rFonts w:hint="eastAsia"/>
          <w:sz w:val="32"/>
          <w:szCs w:val="32"/>
        </w:rPr>
        <w:t>，</w:t>
      </w:r>
      <w:r>
        <w:rPr>
          <w:rFonts w:hint="eastAsia"/>
          <w:sz w:val="32"/>
          <w:szCs w:val="32"/>
          <w:lang w:val="en-US" w:eastAsia="zh-CN"/>
        </w:rPr>
        <w:t>同比</w:t>
      </w:r>
      <w:r>
        <w:rPr>
          <w:rFonts w:hint="eastAsia"/>
          <w:sz w:val="32"/>
          <w:szCs w:val="32"/>
        </w:rPr>
        <w:t>减少47.16万元，</w:t>
      </w:r>
      <w:r>
        <w:rPr>
          <w:sz w:val="32"/>
          <w:u w:color="auto"/>
        </w:rPr>
        <w:t>下降11.89%</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特殊学校教育</w:t>
      </w:r>
      <w:r>
        <w:rPr>
          <w:rFonts w:hint="eastAsia"/>
          <w:sz w:val="32"/>
          <w:szCs w:val="32"/>
          <w:lang w:val="en-US" w:eastAsia="zh-CN"/>
        </w:rPr>
        <w:t>科目</w:t>
      </w:r>
      <w:r>
        <w:rPr>
          <w:rFonts w:hint="eastAsia"/>
          <w:sz w:val="32"/>
          <w:szCs w:val="32"/>
        </w:rPr>
        <w:t>349.35万元，</w:t>
      </w:r>
      <w:r>
        <w:rPr>
          <w:rFonts w:hint="eastAsia"/>
          <w:sz w:val="32"/>
          <w:szCs w:val="32"/>
          <w:lang w:val="en-US" w:eastAsia="zh-CN"/>
        </w:rPr>
        <w:t>同比</w:t>
      </w:r>
      <w:r>
        <w:rPr>
          <w:rFonts w:hint="eastAsia"/>
          <w:sz w:val="32"/>
          <w:szCs w:val="32"/>
        </w:rPr>
        <w:t>增加21.83万元，</w:t>
      </w:r>
      <w:r>
        <w:rPr>
          <w:sz w:val="32"/>
          <w:u w:color="auto"/>
        </w:rPr>
        <w:t>增长6.67%</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根据国家规定的基本工资和津补贴标准等安排的人员经费支出，按县级公用经费定额标准安排的办公费、邮电费、水电费、差旅费、培训费等日常公用经费支出</w:t>
      </w: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2)</w:t>
      </w:r>
      <w:r>
        <w:rPr>
          <w:rFonts w:hint="eastAsia"/>
          <w:sz w:val="32"/>
          <w:szCs w:val="32"/>
        </w:rPr>
        <w:t>社会保障和就业支出</w:t>
      </w:r>
      <w:r>
        <w:rPr>
          <w:rFonts w:hint="eastAsia"/>
          <w:sz w:val="32"/>
          <w:szCs w:val="32"/>
          <w:lang w:val="en-US" w:eastAsia="zh-CN"/>
        </w:rPr>
        <w:t>科目</w:t>
      </w:r>
      <w:r>
        <w:rPr>
          <w:rFonts w:hint="eastAsia"/>
          <w:sz w:val="32"/>
          <w:szCs w:val="32"/>
        </w:rPr>
        <w:t>74.48万元，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15.36%</w:t>
      </w:r>
      <w:r>
        <w:rPr>
          <w:rFonts w:hint="eastAsia"/>
          <w:sz w:val="32"/>
          <w:szCs w:val="32"/>
        </w:rPr>
        <w:t>，</w:t>
      </w:r>
      <w:r>
        <w:rPr>
          <w:rFonts w:hint="eastAsia"/>
          <w:sz w:val="32"/>
          <w:szCs w:val="32"/>
          <w:lang w:val="en-US" w:eastAsia="zh-CN"/>
        </w:rPr>
        <w:t>同比</w:t>
      </w:r>
      <w:r>
        <w:rPr>
          <w:rFonts w:hint="eastAsia"/>
          <w:sz w:val="32"/>
          <w:szCs w:val="32"/>
        </w:rPr>
        <w:t>增加1.74万元，</w:t>
      </w:r>
      <w:r>
        <w:rPr>
          <w:sz w:val="32"/>
          <w:u w:color="auto"/>
        </w:rPr>
        <w:t>增长2.39%</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机关事业单位基本养老保险缴费支出</w:t>
      </w:r>
      <w:r>
        <w:rPr>
          <w:rFonts w:hint="eastAsia"/>
          <w:sz w:val="32"/>
          <w:szCs w:val="32"/>
          <w:lang w:val="en-US" w:eastAsia="zh-CN"/>
        </w:rPr>
        <w:t>科目</w:t>
      </w:r>
      <w:r>
        <w:rPr>
          <w:rFonts w:hint="eastAsia"/>
          <w:sz w:val="32"/>
          <w:szCs w:val="32"/>
        </w:rPr>
        <w:t>48.64万元，</w:t>
      </w:r>
      <w:r>
        <w:rPr>
          <w:rFonts w:hint="eastAsia"/>
          <w:sz w:val="32"/>
          <w:szCs w:val="32"/>
          <w:lang w:val="en-US" w:eastAsia="zh-CN"/>
        </w:rPr>
        <w:t>同比</w:t>
      </w:r>
      <w:r>
        <w:rPr>
          <w:rFonts w:hint="eastAsia"/>
          <w:sz w:val="32"/>
          <w:szCs w:val="32"/>
        </w:rPr>
        <w:t>增加1.14万元，</w:t>
      </w:r>
      <w:r>
        <w:rPr>
          <w:sz w:val="32"/>
          <w:u w:color="auto"/>
        </w:rPr>
        <w:t>增长2.40%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单位在职职工养老保险缴费</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机关事业单位职业年金缴费支出</w:t>
      </w:r>
      <w:r>
        <w:rPr>
          <w:rFonts w:hint="eastAsia"/>
          <w:sz w:val="32"/>
          <w:szCs w:val="32"/>
          <w:lang w:val="en-US" w:eastAsia="zh-CN"/>
        </w:rPr>
        <w:t>科目</w:t>
      </w:r>
      <w:r>
        <w:rPr>
          <w:rFonts w:hint="eastAsia"/>
          <w:sz w:val="32"/>
          <w:szCs w:val="32"/>
        </w:rPr>
        <w:t>24.32万元，</w:t>
      </w:r>
      <w:r>
        <w:rPr>
          <w:rFonts w:hint="eastAsia"/>
          <w:sz w:val="32"/>
          <w:szCs w:val="32"/>
          <w:lang w:val="en-US" w:eastAsia="zh-CN"/>
        </w:rPr>
        <w:t>同比</w:t>
      </w:r>
      <w:r>
        <w:rPr>
          <w:rFonts w:hint="eastAsia"/>
          <w:sz w:val="32"/>
          <w:szCs w:val="32"/>
        </w:rPr>
        <w:t>增加0.57万元，</w:t>
      </w:r>
      <w:r>
        <w:rPr>
          <w:sz w:val="32"/>
          <w:u w:color="auto"/>
        </w:rPr>
        <w:t>增长2.40%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单位在职职工职业年金缴费</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其他社会保障和就业支出</w:t>
      </w:r>
      <w:r>
        <w:rPr>
          <w:rFonts w:hint="eastAsia"/>
          <w:sz w:val="32"/>
          <w:szCs w:val="32"/>
          <w:lang w:val="en-US" w:eastAsia="zh-CN"/>
        </w:rPr>
        <w:t>科目</w:t>
      </w:r>
      <w:r>
        <w:rPr>
          <w:rFonts w:hint="eastAsia"/>
          <w:sz w:val="32"/>
          <w:szCs w:val="32"/>
        </w:rPr>
        <w:t>1.52万元，</w:t>
      </w:r>
      <w:r>
        <w:rPr>
          <w:rFonts w:hint="eastAsia"/>
          <w:sz w:val="32"/>
          <w:szCs w:val="32"/>
          <w:lang w:val="en-US" w:eastAsia="zh-CN"/>
        </w:rPr>
        <w:t>同比</w:t>
      </w:r>
      <w:r>
        <w:rPr>
          <w:rFonts w:hint="eastAsia"/>
          <w:sz w:val="32"/>
          <w:szCs w:val="32"/>
        </w:rPr>
        <w:t>增加0.04万元，</w:t>
      </w:r>
      <w:r>
        <w:rPr>
          <w:sz w:val="32"/>
          <w:u w:color="auto"/>
        </w:rPr>
        <w:t>增长2.70%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单位在职职工失业保险缴费</w:t>
      </w: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3)</w:t>
      </w:r>
      <w:r>
        <w:rPr>
          <w:rFonts w:hint="eastAsia"/>
          <w:sz w:val="32"/>
          <w:szCs w:val="32"/>
        </w:rPr>
        <w:t>卫生健康支出</w:t>
      </w:r>
      <w:r>
        <w:rPr>
          <w:rFonts w:hint="eastAsia"/>
          <w:sz w:val="32"/>
          <w:szCs w:val="32"/>
          <w:lang w:val="en-US" w:eastAsia="zh-CN"/>
        </w:rPr>
        <w:t>科目</w:t>
      </w:r>
      <w:r>
        <w:rPr>
          <w:rFonts w:hint="eastAsia"/>
          <w:sz w:val="32"/>
          <w:szCs w:val="32"/>
        </w:rPr>
        <w:t>23.10万元，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4.76%</w:t>
      </w:r>
      <w:r>
        <w:rPr>
          <w:rFonts w:hint="eastAsia"/>
          <w:sz w:val="32"/>
          <w:szCs w:val="32"/>
        </w:rPr>
        <w:t>，</w:t>
      </w:r>
      <w:r>
        <w:rPr>
          <w:rFonts w:hint="eastAsia"/>
          <w:sz w:val="32"/>
          <w:szCs w:val="32"/>
          <w:lang w:val="en-US" w:eastAsia="zh-CN"/>
        </w:rPr>
        <w:t>同比</w:t>
      </w:r>
      <w:r>
        <w:rPr>
          <w:rFonts w:hint="eastAsia"/>
          <w:sz w:val="32"/>
          <w:szCs w:val="32"/>
        </w:rPr>
        <w:t>减少4.21万元，</w:t>
      </w:r>
      <w:r>
        <w:rPr>
          <w:sz w:val="32"/>
          <w:u w:color="auto"/>
        </w:rPr>
        <w:t>下降15.42%</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事业单位医疗</w:t>
      </w:r>
      <w:r>
        <w:rPr>
          <w:rFonts w:hint="eastAsia"/>
          <w:sz w:val="32"/>
          <w:szCs w:val="32"/>
          <w:lang w:val="en-US" w:eastAsia="zh-CN"/>
        </w:rPr>
        <w:t>科目</w:t>
      </w:r>
      <w:r>
        <w:rPr>
          <w:rFonts w:hint="eastAsia"/>
          <w:sz w:val="32"/>
          <w:szCs w:val="32"/>
        </w:rPr>
        <w:t>22.50万元，</w:t>
      </w:r>
      <w:r>
        <w:rPr>
          <w:rFonts w:hint="eastAsia"/>
          <w:sz w:val="32"/>
          <w:szCs w:val="32"/>
          <w:lang w:val="en-US" w:eastAsia="zh-CN"/>
        </w:rPr>
        <w:t>同比</w:t>
      </w:r>
      <w:r>
        <w:rPr>
          <w:rFonts w:hint="eastAsia"/>
          <w:sz w:val="32"/>
          <w:szCs w:val="32"/>
        </w:rPr>
        <w:t>减少4.22万元，</w:t>
      </w:r>
      <w:r>
        <w:rPr>
          <w:sz w:val="32"/>
          <w:u w:color="auto"/>
        </w:rPr>
        <w:t>下降15.79%</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按事业单位在职职工工资总额的一定比例缴纳的基本医疗保险支出</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其他行政事业单位医疗支出</w:t>
      </w:r>
      <w:r>
        <w:rPr>
          <w:rFonts w:hint="eastAsia"/>
          <w:sz w:val="32"/>
          <w:szCs w:val="32"/>
          <w:lang w:val="en-US" w:eastAsia="zh-CN"/>
        </w:rPr>
        <w:t>科目</w:t>
      </w:r>
      <w:r>
        <w:rPr>
          <w:rFonts w:hint="eastAsia"/>
          <w:sz w:val="32"/>
          <w:szCs w:val="32"/>
        </w:rPr>
        <w:t>0.61万元，</w:t>
      </w:r>
      <w:r>
        <w:rPr>
          <w:rFonts w:hint="eastAsia"/>
          <w:sz w:val="32"/>
          <w:szCs w:val="32"/>
          <w:lang w:val="en-US" w:eastAsia="zh-CN"/>
        </w:rPr>
        <w:t>同比</w:t>
      </w:r>
      <w:r>
        <w:rPr>
          <w:rFonts w:hint="eastAsia"/>
          <w:sz w:val="32"/>
          <w:szCs w:val="32"/>
        </w:rPr>
        <w:t>增加0.02万元，</w:t>
      </w:r>
      <w:r>
        <w:rPr>
          <w:sz w:val="32"/>
          <w:u w:color="auto"/>
        </w:rPr>
        <w:t>增长3.39%</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按事业单位在职职工工资总额的一定比例缴纳的工伤保险支出</w:t>
      </w: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4)</w:t>
      </w:r>
      <w:r>
        <w:rPr>
          <w:rFonts w:hint="eastAsia"/>
          <w:sz w:val="32"/>
          <w:szCs w:val="32"/>
        </w:rPr>
        <w:t>住房保障支出</w:t>
      </w:r>
      <w:r>
        <w:rPr>
          <w:rFonts w:hint="eastAsia"/>
          <w:sz w:val="32"/>
          <w:szCs w:val="32"/>
          <w:lang w:val="en-US" w:eastAsia="zh-CN"/>
        </w:rPr>
        <w:t>科目</w:t>
      </w:r>
      <w:r>
        <w:rPr>
          <w:rFonts w:hint="eastAsia"/>
          <w:sz w:val="32"/>
          <w:szCs w:val="32"/>
        </w:rPr>
        <w:t>37.99万元，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7.83%</w:t>
      </w:r>
      <w:r>
        <w:rPr>
          <w:rFonts w:hint="eastAsia"/>
          <w:sz w:val="32"/>
          <w:szCs w:val="32"/>
        </w:rPr>
        <w:t>，</w:t>
      </w:r>
      <w:r>
        <w:rPr>
          <w:rFonts w:hint="eastAsia"/>
          <w:sz w:val="32"/>
          <w:szCs w:val="32"/>
          <w:lang w:val="en-US" w:eastAsia="zh-CN"/>
        </w:rPr>
        <w:t>同比</w:t>
      </w:r>
      <w:r>
        <w:rPr>
          <w:rFonts w:hint="eastAsia"/>
          <w:sz w:val="32"/>
          <w:szCs w:val="32"/>
        </w:rPr>
        <w:t>增加2.36万元，</w:t>
      </w:r>
      <w:r>
        <w:rPr>
          <w:sz w:val="32"/>
          <w:u w:color="auto"/>
        </w:rPr>
        <w:t>增长6.62%</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住房公积金</w:t>
      </w:r>
      <w:r>
        <w:rPr>
          <w:rFonts w:hint="eastAsia"/>
          <w:sz w:val="32"/>
          <w:szCs w:val="32"/>
          <w:lang w:val="en-US" w:eastAsia="zh-CN"/>
        </w:rPr>
        <w:t>科目</w:t>
      </w:r>
      <w:r>
        <w:rPr>
          <w:rFonts w:hint="eastAsia"/>
          <w:sz w:val="32"/>
          <w:szCs w:val="32"/>
        </w:rPr>
        <w:t>37.99万元，</w:t>
      </w:r>
      <w:r>
        <w:rPr>
          <w:rFonts w:hint="eastAsia"/>
          <w:sz w:val="32"/>
          <w:szCs w:val="32"/>
          <w:lang w:val="en-US" w:eastAsia="zh-CN"/>
        </w:rPr>
        <w:t>同比</w:t>
      </w:r>
      <w:r>
        <w:rPr>
          <w:rFonts w:hint="eastAsia"/>
          <w:sz w:val="32"/>
          <w:szCs w:val="32"/>
        </w:rPr>
        <w:t>增加2.36万元，</w:t>
      </w:r>
      <w:r>
        <w:rPr>
          <w:sz w:val="32"/>
          <w:u w:color="auto"/>
        </w:rPr>
        <w:t>增长6.62%</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为事业单位职工缴纳的住房公积金支出</w:t>
      </w:r>
      <w:r>
        <w:rPr>
          <w:sz w:val="32"/>
          <w:u w:color="auto"/>
        </w:rPr>
        <w:t>。</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val="en-US" w:eastAsia="zh-CN"/>
        </w:rPr>
      </w:pPr>
      <w:r>
        <w:rPr>
          <w:rFonts w:hint="eastAsia"/>
          <w:b/>
          <w:bCs/>
          <w:sz w:val="32"/>
          <w:szCs w:val="32"/>
          <w:lang w:val="en-US" w:eastAsia="zh-CN"/>
        </w:rPr>
        <w:t>六、</w:t>
      </w:r>
      <w:r>
        <w:rPr>
          <w:b/>
          <w:bCs/>
          <w:sz w:val="32"/>
          <w:szCs w:val="32"/>
        </w:rPr>
        <w:t>一般公共预算基本支出情况说明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lang w:val="en-US"/>
        </w:rPr>
      </w:pPr>
      <w:r>
        <w:rPr>
          <w:rFonts w:hint="eastAsia"/>
          <w:sz w:val="32"/>
          <w:szCs w:val="32"/>
          <w:lang w:val="en-US" w:eastAsia="zh-CN"/>
        </w:rPr>
        <w:t>2024</w:t>
      </w:r>
      <w:r>
        <w:rPr>
          <w:sz w:val="32"/>
          <w:u w:color="auto"/>
        </w:rPr>
        <w:t>年</w:t>
      </w:r>
      <w:r>
        <w:rPr>
          <w:rFonts w:hint="eastAsia"/>
          <w:sz w:val="32"/>
          <w:szCs w:val="32"/>
        </w:rPr>
        <w:t>一般公共预算基本支出共</w:t>
      </w:r>
      <w:r>
        <w:rPr>
          <w:rFonts w:hint="eastAsia"/>
          <w:sz w:val="32"/>
          <w:szCs w:val="32"/>
          <w:lang w:val="en-US" w:eastAsia="zh-CN"/>
        </w:rPr>
        <w:t>484.93</w:t>
      </w:r>
      <w:r>
        <w:rPr>
          <w:rFonts w:hint="eastAsia"/>
          <w:sz w:val="32"/>
          <w:szCs w:val="32"/>
        </w:rPr>
        <w:t>万元，</w:t>
      </w:r>
      <w:r>
        <w:rPr>
          <w:rFonts w:hint="eastAsia"/>
          <w:sz w:val="32"/>
          <w:szCs w:val="32"/>
          <w:lang w:val="en-US" w:eastAsia="zh-CN"/>
        </w:rPr>
        <w:t>增加21.73</w:t>
      </w:r>
      <w:r>
        <w:rPr>
          <w:rFonts w:hint="eastAsia"/>
          <w:sz w:val="32"/>
          <w:szCs w:val="32"/>
        </w:rPr>
        <w:t>万元，</w:t>
      </w:r>
      <w:r>
        <w:rPr>
          <w:rFonts w:hint="eastAsia"/>
          <w:sz w:val="32"/>
          <w:szCs w:val="32"/>
          <w:lang w:val="en-US" w:eastAsia="zh-CN"/>
        </w:rPr>
        <w:t>增长4.69%</w:t>
      </w:r>
      <w:r>
        <w:rPr>
          <w:rFonts w:hint="eastAsia"/>
          <w:sz w:val="32"/>
          <w:szCs w:val="32"/>
        </w:rPr>
        <w:t>，主要原因是</w:t>
      </w:r>
      <w:r>
        <w:rPr>
          <w:rFonts w:hint="eastAsia"/>
          <w:sz w:val="32"/>
          <w:szCs w:val="32"/>
          <w:lang w:val="en-US" w:eastAsia="zh-CN"/>
        </w:rPr>
        <w:t>工资福利支出和对个人和家庭的补助支出增加</w:t>
      </w:r>
      <w:r>
        <w:rPr>
          <w:rFonts w:hint="eastAsia"/>
          <w:sz w:val="32"/>
          <w:szCs w:val="32"/>
        </w:rPr>
        <w:t>。</w:t>
      </w:r>
      <w:r>
        <w:rPr>
          <w:rFonts w:hint="default" w:ascii="Arial" w:hAnsi="Arial" w:cs="Arial"/>
          <w:sz w:val="32"/>
          <w:szCs w:val="32"/>
        </w:rPr>
        <w:t>其中</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工资福利支出</w:t>
      </w:r>
      <w:r>
        <w:rPr>
          <w:sz w:val="32"/>
          <w:u w:color="auto"/>
        </w:rPr>
        <w:t>480.93万元，增长20.13万元，增长4.37%，主要原因是：在职教师工资总额增加。</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对个人和家庭的补助</w:t>
      </w:r>
      <w:r>
        <w:rPr>
          <w:sz w:val="32"/>
          <w:u w:color="auto"/>
        </w:rPr>
        <w:t>4.00万元，增长1.60万元，增长66.67%，主要原因是：退休人员生活补助增加。</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eastAsia="zh-CN"/>
        </w:rPr>
      </w:pPr>
      <w:r>
        <w:rPr>
          <w:rFonts w:hint="eastAsia"/>
          <w:sz w:val="32"/>
          <w:szCs w:val="32"/>
          <w:lang w:val="en-US" w:eastAsia="zh-CN"/>
        </w:rPr>
        <w:t>工资福利支出</w:t>
      </w:r>
      <w:r>
        <w:rPr>
          <w:rFonts w:hint="eastAsia"/>
          <w:sz w:val="32"/>
          <w:szCs w:val="32"/>
          <w:lang w:eastAsia="zh-CN"/>
        </w:rPr>
        <w:t>包括以下内容：</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TW"/>
        </w:rPr>
      </w:pPr>
      <w:r>
        <w:rPr>
          <w:rFonts w:hint="eastAsia"/>
          <w:sz w:val="32"/>
          <w:szCs w:val="32"/>
          <w:lang w:val="en-US" w:eastAsia="zh-CN"/>
        </w:rPr>
        <w:t>基本工资170.17万元,津贴补贴64.52万元,奖金39.48万元,绩效工资71.19万元,机关事业单位基本养老保险缴费48.64万元,职业年金缴费24.32万元,职工基本医疗保险缴费22.50万元,其他社会保障缴费2.13万元,住房公积金37.99万元</w:t>
      </w:r>
      <w:r>
        <w:rPr>
          <w:sz w:val="32"/>
          <w:u w:color="auto"/>
        </w:rPr>
        <w:t>。</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eastAsia="zh-CN"/>
        </w:rPr>
      </w:pPr>
      <w:r>
        <w:rPr>
          <w:rFonts w:hint="eastAsia"/>
          <w:sz w:val="32"/>
          <w:szCs w:val="32"/>
          <w:lang w:val="en-US" w:eastAsia="zh-CN"/>
        </w:rPr>
        <w:t>对个人和家庭的补助</w:t>
      </w:r>
      <w:r>
        <w:rPr>
          <w:rFonts w:hint="eastAsia"/>
          <w:sz w:val="32"/>
          <w:szCs w:val="32"/>
          <w:lang w:eastAsia="zh-CN"/>
        </w:rPr>
        <w:t>包括以下内容：</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TW"/>
        </w:rPr>
      </w:pPr>
      <w:r>
        <w:rPr>
          <w:rFonts w:hint="eastAsia"/>
          <w:sz w:val="32"/>
          <w:szCs w:val="32"/>
          <w:lang w:val="en-US" w:eastAsia="zh-CN"/>
        </w:rPr>
        <w:t>退休费4.00万元</w:t>
      </w:r>
      <w:r>
        <w:rPr>
          <w:sz w:val="32"/>
          <w:u w:color="auto"/>
        </w:rPr>
        <w:t>。</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highlight w:val="yellow"/>
          <w:lang w:val="en-US" w:eastAsia="zh-CN"/>
        </w:rPr>
      </w:pPr>
      <w:r>
        <w:rPr>
          <w:rFonts w:hint="eastAsia"/>
          <w:b/>
          <w:bCs/>
          <w:sz w:val="32"/>
          <w:szCs w:val="32"/>
          <w:lang w:val="en-US" w:eastAsia="zh-CN"/>
        </w:rPr>
        <w:t>七、</w:t>
      </w:r>
      <w:r>
        <w:rPr>
          <w:rFonts w:hint="default" w:ascii="宋体" w:hAnsi="宋体" w:cs="宋体"/>
          <w:b/>
          <w:bCs/>
          <w:sz w:val="32"/>
          <w:szCs w:val="32"/>
        </w:rPr>
        <w:t>财政拨款三公两费支出情况说明</w:t>
      </w:r>
    </w:p>
    <w:p>
      <w:pPr>
        <w:pStyle w:val="19"/>
        <w:pageBreakBefore w:val="0"/>
        <w:tabs>
          <w:tab w:val="left" w:pos="1253"/>
        </w:tabs>
        <w:kinsoku/>
        <w:wordWrap/>
        <w:overflowPunct/>
        <w:topLinePunct w:val="0"/>
        <w:autoSpaceDE/>
        <w:autoSpaceDN/>
        <w:bidi w:val="0"/>
        <w:adjustRightInd/>
        <w:snapToGrid/>
        <w:spacing w:after="0" w:line="360" w:lineRule="auto"/>
        <w:ind w:firstLine="600"/>
        <w:textAlignment w:val="auto"/>
        <w:rPr>
          <w:rFonts w:hint="eastAsia"/>
          <w:sz w:val="32"/>
          <w:szCs w:val="32"/>
          <w:lang w:eastAsia="zh-CN"/>
        </w:rPr>
      </w:pPr>
      <w:bookmarkStart w:id="14" w:name="bookmark90"/>
      <w:r>
        <w:rPr>
          <w:rFonts w:hint="eastAsia"/>
          <w:sz w:val="32"/>
          <w:szCs w:val="32"/>
          <w:lang w:eastAsia="zh-CN"/>
        </w:rPr>
        <w:t>（</w:t>
      </w:r>
      <w:r>
        <w:rPr>
          <w:rFonts w:hint="eastAsia"/>
          <w:sz w:val="32"/>
          <w:szCs w:val="32"/>
          <w:lang w:val="en-US" w:eastAsia="zh-CN"/>
        </w:rPr>
        <w:t>一</w:t>
      </w:r>
      <w:r>
        <w:rPr>
          <w:rFonts w:hint="eastAsia"/>
          <w:sz w:val="32"/>
          <w:szCs w:val="32"/>
          <w:lang w:eastAsia="zh-CN"/>
        </w:rPr>
        <w:t>）</w:t>
      </w:r>
      <w:r>
        <w:rPr>
          <w:sz w:val="32"/>
          <w:u w:color="auto"/>
        </w:rPr>
        <w:t>2024年</w:t>
      </w:r>
      <w:r>
        <w:rPr>
          <w:rFonts w:hint="eastAsia"/>
          <w:sz w:val="32"/>
          <w:szCs w:val="32"/>
          <w:lang w:val="en-US" w:eastAsia="zh-CN"/>
        </w:rPr>
        <w:t>一般公共</w:t>
      </w:r>
      <w:r>
        <w:rPr>
          <w:rFonts w:hint="eastAsia"/>
          <w:sz w:val="32"/>
          <w:szCs w:val="32"/>
          <w:lang w:eastAsia="zh-CN"/>
        </w:rPr>
        <w:t>预算共安排</w:t>
      </w:r>
      <w:r>
        <w:rPr>
          <w:rFonts w:hint="eastAsia"/>
          <w:sz w:val="32"/>
          <w:szCs w:val="32"/>
          <w:lang w:val="zh-CN" w:eastAsia="zh-CN"/>
        </w:rPr>
        <w:t>“三公</w:t>
      </w:r>
      <w:r>
        <w:rPr>
          <w:rFonts w:hint="eastAsia"/>
          <w:sz w:val="32"/>
          <w:szCs w:val="32"/>
          <w:lang w:val="en-US" w:eastAsia="zh-CN"/>
        </w:rPr>
        <w:t>”</w:t>
      </w:r>
      <w:r>
        <w:rPr>
          <w:rFonts w:hint="eastAsia"/>
          <w:sz w:val="32"/>
          <w:szCs w:val="32"/>
          <w:lang w:eastAsia="zh-CN"/>
        </w:rPr>
        <w:t>经费支出预算</w:t>
      </w:r>
      <w:r>
        <w:rPr>
          <w:rFonts w:hint="eastAsia"/>
          <w:sz w:val="32"/>
          <w:szCs w:val="32"/>
          <w:lang w:val="en-US" w:eastAsia="zh-CN"/>
        </w:rPr>
        <w:t>0.00</w:t>
      </w:r>
      <w:r>
        <w:rPr>
          <w:rFonts w:hint="eastAsia"/>
          <w:sz w:val="32"/>
          <w:szCs w:val="32"/>
          <w:lang w:eastAsia="zh-CN"/>
        </w:rPr>
        <w:t>万元，</w:t>
      </w:r>
      <w:r>
        <w:rPr>
          <w:sz w:val="32"/>
          <w:u w:color="auto"/>
        </w:rPr>
        <w:t>减少6.00万元，下降100.00%</w:t>
      </w:r>
      <w:r>
        <w:rPr>
          <w:rFonts w:hint="eastAsia" w:ascii="宋体" w:hAnsi="宋体" w:cs="宋体"/>
          <w:sz w:val="32"/>
          <w:szCs w:val="32"/>
          <w:lang w:eastAsia="zh-CN"/>
        </w:rPr>
        <w:t>。具体如下</w:t>
      </w:r>
      <w:r>
        <w:rPr>
          <w:rFonts w:hint="eastAsia"/>
          <w:sz w:val="32"/>
          <w:szCs w:val="32"/>
          <w:lang w:eastAsia="zh-CN"/>
        </w:rPr>
        <w:t>：</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lang w:val="en-US" w:eastAsia="zh-CN"/>
        </w:rPr>
        <w:t>1、</w:t>
      </w:r>
      <w:r>
        <w:rPr>
          <w:rFonts w:hint="eastAsia"/>
          <w:sz w:val="32"/>
          <w:szCs w:val="32"/>
          <w:highlight w:val="none"/>
          <w:lang w:val="en-US" w:eastAsia="zh-CN"/>
        </w:rPr>
        <w:t>因公出国（境）经费无预算安排，同比无变化</w:t>
      </w:r>
      <w:r>
        <w:rPr>
          <w:rFonts w:hint="eastAsia"/>
          <w:sz w:val="32"/>
          <w:szCs w:val="32"/>
          <w:lang w:eastAsia="zh-CN"/>
        </w:rPr>
        <w:t>。</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highlight w:val="none"/>
          <w:lang w:eastAsia="zh-CN"/>
        </w:rPr>
      </w:pPr>
      <w:r>
        <w:rPr>
          <w:rFonts w:hint="eastAsia"/>
          <w:sz w:val="32"/>
          <w:szCs w:val="32"/>
          <w:lang w:val="en-US" w:eastAsia="zh-CN"/>
        </w:rPr>
        <w:t>2、</w:t>
      </w:r>
      <w:r>
        <w:rPr>
          <w:rFonts w:hint="eastAsia"/>
          <w:sz w:val="32"/>
          <w:szCs w:val="32"/>
          <w:lang w:eastAsia="zh-CN"/>
        </w:rPr>
        <w:t>公务接待费预算</w:t>
      </w:r>
      <w:r>
        <w:rPr>
          <w:rFonts w:hint="eastAsia"/>
          <w:sz w:val="32"/>
          <w:szCs w:val="32"/>
          <w:lang w:val="en-US" w:eastAsia="zh-CN"/>
        </w:rPr>
        <w:t>0.00</w:t>
      </w:r>
      <w:r>
        <w:rPr>
          <w:rFonts w:hint="eastAsia"/>
          <w:sz w:val="32"/>
          <w:szCs w:val="32"/>
          <w:lang w:eastAsia="zh-CN"/>
        </w:rPr>
        <w:t>万元，</w:t>
      </w:r>
      <w:r>
        <w:rPr>
          <w:rFonts w:hint="eastAsia"/>
          <w:sz w:val="32"/>
          <w:szCs w:val="32"/>
        </w:rPr>
        <w:t>减少6.00</w:t>
      </w:r>
      <w:r>
        <w:rPr>
          <w:sz w:val="32"/>
          <w:u w:color="auto"/>
        </w:rPr>
        <w:t>万元，下降100.00%</w:t>
      </w:r>
      <w:r>
        <w:rPr>
          <w:rFonts w:hint="eastAsia" w:ascii="宋体" w:hAnsi="宋体" w:cs="宋体"/>
          <w:sz w:val="32"/>
          <w:szCs w:val="32"/>
          <w:highlight w:val="none"/>
          <w:lang w:eastAsia="zh-CN"/>
        </w:rPr>
        <w:t>。</w:t>
      </w:r>
      <w:r>
        <w:rPr>
          <w:rFonts w:hint="eastAsia" w:cs="宋体"/>
          <w:sz w:val="32"/>
          <w:szCs w:val="32"/>
          <w:highlight w:val="none"/>
          <w:lang w:val="en-US" w:eastAsia="zh-CN"/>
        </w:rPr>
        <w:t>主要原因：</w:t>
      </w:r>
      <w:r>
        <w:rPr>
          <w:rFonts w:hint="eastAsia"/>
          <w:sz w:val="32"/>
          <w:szCs w:val="32"/>
          <w:highlight w:val="none"/>
          <w:lang w:val="en-US" w:eastAsia="zh-CN"/>
        </w:rPr>
        <w:t>我单位认真贯彻落实中央</w:t>
      </w:r>
      <w:bookmarkStart w:id="20" w:name="_GoBack"/>
      <w:r>
        <w:rPr>
          <w:rFonts w:hint="eastAsia"/>
          <w:sz w:val="32"/>
          <w:szCs w:val="32"/>
          <w:highlight w:val="none"/>
          <w:lang w:val="en-US" w:eastAsia="zh-CN"/>
        </w:rPr>
        <w:t>八项规定</w:t>
      </w:r>
      <w:bookmarkEnd w:id="20"/>
      <w:r>
        <w:rPr>
          <w:rFonts w:hint="eastAsia"/>
          <w:sz w:val="32"/>
          <w:szCs w:val="32"/>
          <w:highlight w:val="none"/>
          <w:lang w:val="en-US" w:eastAsia="zh-CN"/>
        </w:rPr>
        <w:t>要求，严格执行公务接待管理办法；</w:t>
      </w:r>
      <w:r>
        <w:rPr>
          <w:rFonts w:hint="eastAsia" w:ascii="宋体" w:hAnsi="宋体" w:cs="宋体"/>
          <w:sz w:val="32"/>
          <w:szCs w:val="32"/>
          <w:highlight w:val="none"/>
          <w:lang w:eastAsia="zh-CN"/>
        </w:rPr>
        <w:t>主要用于单位按规定开支的各类公务接待费用。</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highlight w:val="none"/>
          <w:lang w:val="en-US" w:eastAsia="zh-CN"/>
        </w:rPr>
        <w:t>3、公务用车购置及运行费支出预算</w:t>
      </w:r>
      <w:r>
        <w:rPr>
          <w:sz w:val="32"/>
          <w:u w:color="auto"/>
        </w:rPr>
        <w:t>0.00万元，增加0.00万元，增长0%</w:t>
      </w:r>
      <w:r>
        <w:rPr>
          <w:rFonts w:hint="default"/>
          <w:sz w:val="32"/>
          <w:szCs w:val="32"/>
          <w:highlight w:val="none"/>
          <w:lang w:val="en-US" w:eastAsia="zh-CN"/>
        </w:rPr>
        <w:t>。</w:t>
      </w:r>
      <w:r>
        <w:rPr>
          <w:rFonts w:hint="eastAsia"/>
          <w:sz w:val="32"/>
          <w:szCs w:val="32"/>
          <w:highlight w:val="none"/>
          <w:lang w:val="en-US" w:eastAsia="zh-CN"/>
        </w:rPr>
        <w:t>其中：公务用车购置费</w:t>
      </w:r>
      <w:r>
        <w:rPr>
          <w:sz w:val="32"/>
          <w:u w:color="auto"/>
        </w:rPr>
        <w:t>0.00万元，增加0.00万元，增长0%，主要原因：同比无变化；主要用于单位执行公务活动所</w:t>
      </w:r>
      <w:r>
        <w:rPr>
          <w:rFonts w:hint="eastAsia"/>
          <w:sz w:val="32"/>
          <w:szCs w:val="32"/>
          <w:lang w:val="en-US" w:eastAsia="zh-CN"/>
        </w:rPr>
        <w:t>发生的公务用车燃料费、维修费、过桥过路费、保险费等支出。</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lang w:val="en-US" w:eastAsia="en-US"/>
        </w:rPr>
        <w:t>4、会议费预算</w:t>
      </w:r>
      <w:r>
        <w:rPr>
          <w:rFonts w:hint="eastAsia"/>
          <w:sz w:val="32"/>
          <w:szCs w:val="32"/>
          <w:lang w:val="en-US" w:eastAsia="zh-CN"/>
        </w:rPr>
        <w:t>0.00</w:t>
      </w:r>
      <w:r>
        <w:rPr>
          <w:rFonts w:hint="eastAsia"/>
          <w:sz w:val="32"/>
          <w:szCs w:val="32"/>
          <w:lang w:val="en-US" w:eastAsia="en-US"/>
        </w:rPr>
        <w:t>万元，</w:t>
      </w:r>
      <w:r>
        <w:rPr>
          <w:rFonts w:hint="eastAsia"/>
          <w:sz w:val="32"/>
          <w:szCs w:val="32"/>
          <w:lang w:val="en-US" w:eastAsia="zh-CN"/>
        </w:rPr>
        <w:t>增加0.00</w:t>
      </w:r>
      <w:r>
        <w:rPr>
          <w:rFonts w:hint="eastAsia"/>
          <w:sz w:val="32"/>
          <w:szCs w:val="32"/>
          <w:lang w:val="en-US" w:eastAsia="en-US"/>
        </w:rPr>
        <w:t>万元，</w:t>
      </w:r>
      <w:r>
        <w:rPr>
          <w:rFonts w:hint="eastAsia"/>
          <w:sz w:val="32"/>
          <w:szCs w:val="32"/>
          <w:lang w:val="en-US" w:eastAsia="zh-CN"/>
        </w:rPr>
        <w:t>增长0%</w:t>
      </w:r>
      <w:r>
        <w:rPr>
          <w:rFonts w:hint="eastAsia"/>
          <w:sz w:val="32"/>
          <w:szCs w:val="32"/>
          <w:lang w:val="en-US" w:eastAsia="en-US"/>
        </w:rPr>
        <w:t>，主要原因是</w:t>
      </w:r>
      <w:r>
        <w:rPr>
          <w:rFonts w:hint="eastAsia"/>
          <w:sz w:val="32"/>
          <w:szCs w:val="32"/>
          <w:lang w:val="en-US" w:eastAsia="zh-CN"/>
        </w:rPr>
        <w:t>同比无变化</w:t>
      </w:r>
      <w:r>
        <w:rPr>
          <w:rFonts w:hint="eastAsia"/>
          <w:sz w:val="32"/>
          <w:szCs w:val="32"/>
          <w:lang w:val="en-US" w:eastAsia="en-US"/>
        </w:rPr>
        <w:t>；培训费预算</w:t>
      </w:r>
      <w:r>
        <w:rPr>
          <w:rFonts w:hint="eastAsia"/>
          <w:sz w:val="32"/>
          <w:szCs w:val="32"/>
          <w:lang w:val="en-US" w:eastAsia="zh-CN"/>
        </w:rPr>
        <w:t>0.00</w:t>
      </w:r>
      <w:r>
        <w:rPr>
          <w:rFonts w:hint="eastAsia"/>
          <w:sz w:val="32"/>
          <w:szCs w:val="32"/>
          <w:lang w:val="en-US" w:eastAsia="en-US"/>
        </w:rPr>
        <w:t>万元，</w:t>
      </w:r>
      <w:r>
        <w:rPr>
          <w:rFonts w:hint="eastAsia"/>
          <w:sz w:val="32"/>
          <w:szCs w:val="32"/>
          <w:lang w:val="en-US" w:eastAsia="zh-CN"/>
        </w:rPr>
        <w:t>增加0.00</w:t>
      </w:r>
      <w:r>
        <w:rPr>
          <w:rFonts w:hint="eastAsia"/>
          <w:sz w:val="32"/>
          <w:szCs w:val="32"/>
          <w:lang w:val="en-US" w:eastAsia="en-US"/>
        </w:rPr>
        <w:t>万元，</w:t>
      </w:r>
      <w:r>
        <w:rPr>
          <w:rFonts w:hint="eastAsia"/>
          <w:sz w:val="32"/>
          <w:szCs w:val="32"/>
          <w:lang w:val="en-US" w:eastAsia="zh-CN"/>
        </w:rPr>
        <w:t>增长0%</w:t>
      </w:r>
      <w:r>
        <w:rPr>
          <w:rFonts w:hint="eastAsia"/>
          <w:sz w:val="32"/>
          <w:szCs w:val="32"/>
          <w:lang w:val="en-US" w:eastAsia="en-US"/>
        </w:rPr>
        <w:t>，主要原因是</w:t>
      </w:r>
      <w:r>
        <w:rPr>
          <w:rFonts w:hint="eastAsia"/>
          <w:sz w:val="32"/>
          <w:szCs w:val="32"/>
          <w:lang w:val="en-US" w:eastAsia="zh-CN"/>
        </w:rPr>
        <w:t>同比无变化</w:t>
      </w:r>
      <w:r>
        <w:rPr>
          <w:rFonts w:hint="eastAsia"/>
          <w:sz w:val="32"/>
          <w:szCs w:val="32"/>
          <w:lang w:val="en-US" w:eastAsia="en-US"/>
        </w:rPr>
        <w:t>。</w:t>
      </w:r>
      <w:bookmarkEnd w:id="14"/>
    </w:p>
    <w:p>
      <w:pPr>
        <w:pStyle w:val="19"/>
        <w:keepNext w:val="0"/>
        <w:keepLines w:val="0"/>
        <w:pageBreakBefore w:val="0"/>
        <w:widowControl w:val="0"/>
        <w:numPr>
          <w:ilvl w:val="0"/>
          <w:numId w:val="0"/>
        </w:numPr>
        <w:tabs>
          <w:tab w:val="left" w:pos="1253"/>
        </w:tabs>
        <w:kinsoku/>
        <w:wordWrap/>
        <w:overflowPunct/>
        <w:topLinePunct w:val="0"/>
        <w:autoSpaceDE/>
        <w:autoSpaceDN/>
        <w:bidi w:val="0"/>
        <w:adjustRightInd/>
        <w:snapToGrid/>
        <w:spacing w:before="361" w:beforeLines="100" w:after="181" w:afterLines="50" w:line="360" w:lineRule="auto"/>
        <w:ind w:firstLine="641" w:firstLineChars="200"/>
        <w:textAlignment w:val="auto"/>
        <w:rPr>
          <w:b/>
          <w:bCs/>
          <w:sz w:val="32"/>
          <w:szCs w:val="32"/>
        </w:rPr>
      </w:pPr>
      <w:r>
        <w:rPr>
          <w:rFonts w:hint="eastAsia"/>
          <w:b/>
          <w:bCs/>
          <w:sz w:val="32"/>
          <w:szCs w:val="32"/>
          <w:lang w:val="en-US" w:eastAsia="zh-CN"/>
        </w:rPr>
        <w:t>八、</w:t>
      </w:r>
      <w:r>
        <w:rPr>
          <w:b/>
          <w:bCs/>
          <w:sz w:val="32"/>
          <w:szCs w:val="32"/>
        </w:rPr>
        <w:t>政府性基金预算支出情况说明</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default"/>
          <w:sz w:val="32"/>
          <w:szCs w:val="32"/>
          <w:lang w:val="en-US" w:eastAsia="en-US"/>
        </w:rPr>
      </w:pPr>
      <w:r>
        <w:rPr>
          <w:rFonts w:hint="eastAsia"/>
          <w:sz w:val="32"/>
          <w:szCs w:val="32"/>
          <w:lang w:val="en-US" w:eastAsia="zh-CN"/>
        </w:rPr>
        <w:t>1</w:t>
      </w:r>
      <w:r>
        <w:rPr>
          <w:rFonts w:hint="default"/>
          <w:sz w:val="32"/>
          <w:szCs w:val="32"/>
          <w:lang w:val="en-US" w:eastAsia="zh-CN"/>
        </w:rPr>
        <w:t>、</w:t>
      </w:r>
      <w:r>
        <w:rPr>
          <w:rFonts w:hint="default"/>
          <w:sz w:val="32"/>
          <w:szCs w:val="32"/>
          <w:lang w:val="en-US" w:eastAsia="en-US"/>
        </w:rPr>
        <w:t>总体情况说明</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en-US"/>
        </w:rPr>
      </w:pPr>
      <w:r>
        <w:rPr>
          <w:rFonts w:hint="eastAsia"/>
          <w:sz w:val="32"/>
          <w:szCs w:val="32"/>
          <w:lang w:val="en-US" w:eastAsia="en-US"/>
        </w:rPr>
        <w:t>2024</w:t>
      </w:r>
      <w:r>
        <w:rPr>
          <w:sz w:val="32"/>
          <w:u w:color="auto"/>
        </w:rPr>
        <w:t>年政府性基金预算支出共0.00万元，</w:t>
      </w:r>
      <w:r>
        <w:rPr>
          <w:rFonts w:hint="eastAsia"/>
          <w:sz w:val="32"/>
          <w:szCs w:val="32"/>
          <w:lang w:val="en-US" w:eastAsia="zh-CN"/>
        </w:rPr>
        <w:t>同比</w:t>
      </w:r>
      <w:r>
        <w:rPr>
          <w:rFonts w:hint="eastAsia"/>
          <w:sz w:val="32"/>
          <w:szCs w:val="32"/>
          <w:lang w:val="en-US" w:eastAsia="en-US"/>
        </w:rPr>
        <w:t>增加0.00</w:t>
      </w:r>
      <w:r>
        <w:rPr>
          <w:sz w:val="32"/>
          <w:u w:color="auto"/>
        </w:rPr>
        <w:t>万元，增长0%，全部为项目支出预算。</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en-US"/>
        </w:rPr>
      </w:pPr>
      <w:r>
        <w:rPr>
          <w:rFonts w:hint="default"/>
          <w:sz w:val="32"/>
          <w:szCs w:val="32"/>
          <w:lang w:val="en-US" w:eastAsia="zh-CN"/>
        </w:rPr>
        <w:t>2、</w:t>
      </w:r>
      <w:r>
        <w:rPr>
          <w:rFonts w:hint="default"/>
          <w:sz w:val="32"/>
          <w:szCs w:val="32"/>
          <w:lang w:val="en-US" w:eastAsia="en-US"/>
        </w:rPr>
        <w:t>按支出功能分类科目划分</w:t>
      </w:r>
      <w:r>
        <w:rPr>
          <w:rFonts w:hint="default"/>
          <w:sz w:val="32"/>
          <w:szCs w:val="32"/>
          <w:lang w:val="en-US" w:eastAsia="zh-CN"/>
        </w:rPr>
        <w:t>，</w:t>
      </w:r>
      <w:r>
        <w:rPr>
          <w:rFonts w:hint="default"/>
          <w:sz w:val="32"/>
          <w:szCs w:val="32"/>
          <w:lang w:val="en-US" w:eastAsia="en-US"/>
        </w:rPr>
        <w:t>共分为</w:t>
      </w:r>
      <w:r>
        <w:rPr>
          <w:rFonts w:hint="eastAsia"/>
          <w:sz w:val="32"/>
          <w:szCs w:val="32"/>
          <w:lang w:val="en-US" w:eastAsia="en-US"/>
        </w:rPr>
        <w:t>0</w:t>
      </w:r>
      <w:r>
        <w:rPr>
          <w:rFonts w:hint="default"/>
          <w:sz w:val="32"/>
          <w:szCs w:val="32"/>
          <w:lang w:val="en-US" w:eastAsia="en-US"/>
        </w:rPr>
        <w:t>类</w:t>
      </w:r>
      <w:r>
        <w:rPr>
          <w:rFonts w:hint="eastAsia"/>
          <w:sz w:val="32"/>
          <w:szCs w:val="32"/>
          <w:lang w:val="en-US" w:eastAsia="zh-CN"/>
        </w:rPr>
        <w:t>。</w:t>
      </w:r>
    </w:p>
    <w:p>
      <w:pPr>
        <w:pStyle w:val="19"/>
        <w:keepNext w:val="0"/>
        <w:keepLines w:val="0"/>
        <w:pageBreakBefore w:val="0"/>
        <w:widowControl w:val="0"/>
        <w:tabs>
          <w:tab w:val="left" w:pos="1253"/>
        </w:tabs>
        <w:kinsoku/>
        <w:wordWrap/>
        <w:overflowPunct/>
        <w:topLinePunct w:val="0"/>
        <w:autoSpaceDE/>
        <w:autoSpaceDN/>
        <w:bidi w:val="0"/>
        <w:adjustRightInd/>
        <w:snapToGrid/>
        <w:spacing w:before="361" w:beforeLines="100" w:after="181" w:afterLines="50" w:line="360" w:lineRule="auto"/>
        <w:ind w:firstLine="601"/>
        <w:textAlignment w:val="auto"/>
        <w:rPr>
          <w:b/>
          <w:bCs/>
          <w:sz w:val="32"/>
          <w:szCs w:val="32"/>
        </w:rPr>
      </w:pPr>
      <w:bookmarkStart w:id="15" w:name="bookmark91"/>
      <w:r>
        <w:rPr>
          <w:b/>
          <w:bCs/>
          <w:sz w:val="32"/>
          <w:szCs w:val="32"/>
        </w:rPr>
        <w:t>九</w:t>
      </w:r>
      <w:bookmarkEnd w:id="15"/>
      <w:r>
        <w:rPr>
          <w:b/>
          <w:bCs/>
          <w:sz w:val="32"/>
          <w:szCs w:val="32"/>
        </w:rPr>
        <w:t>、</w:t>
      </w:r>
      <w:r>
        <w:rPr>
          <w:b/>
          <w:bCs/>
          <w:sz w:val="32"/>
          <w:szCs w:val="32"/>
        </w:rPr>
        <w:tab/>
      </w:r>
      <w:r>
        <w:rPr>
          <w:b/>
          <w:bCs/>
          <w:sz w:val="32"/>
          <w:szCs w:val="32"/>
        </w:rPr>
        <w:t>国有资本经营预算支出情况说明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rPr>
        <w:t>我部门</w:t>
      </w:r>
      <w:r>
        <w:rPr>
          <w:sz w:val="32"/>
          <w:u w:color="auto"/>
        </w:rPr>
        <w:t>2024年国有资本经营预算支出共0.00万元，</w:t>
      </w:r>
      <w:r>
        <w:rPr>
          <w:rFonts w:hint="eastAsia"/>
          <w:sz w:val="32"/>
          <w:szCs w:val="32"/>
          <w:lang w:val="en-US" w:eastAsia="zh-CN"/>
        </w:rPr>
        <w:t>同比</w:t>
      </w:r>
      <w:r>
        <w:rPr>
          <w:rFonts w:hint="eastAsia"/>
          <w:sz w:val="32"/>
          <w:szCs w:val="32"/>
        </w:rPr>
        <w:t>增加0.00</w:t>
      </w:r>
      <w:r>
        <w:rPr>
          <w:sz w:val="32"/>
          <w:u w:color="auto"/>
        </w:rPr>
        <w:t>万元，增长0%</w:t>
      </w:r>
      <w:r>
        <w:rPr>
          <w:rFonts w:hint="eastAsia"/>
          <w:sz w:val="32"/>
          <w:szCs w:val="32"/>
        </w:rPr>
        <w:t>，主要原因是</w:t>
      </w:r>
      <w:r>
        <w:rPr>
          <w:rFonts w:hint="eastAsia"/>
          <w:sz w:val="32"/>
          <w:szCs w:val="32"/>
          <w:lang w:val="en-US"/>
        </w:rPr>
        <w:t>同比无变化</w:t>
      </w:r>
      <w:r>
        <w:rPr>
          <w:rFonts w:hint="eastAsia"/>
          <w:sz w:val="32"/>
          <w:szCs w:val="32"/>
        </w:rPr>
        <w:t>。</w:t>
      </w:r>
    </w:p>
    <w:p>
      <w:pPr>
        <w:pStyle w:val="19"/>
        <w:keepNext w:val="0"/>
        <w:keepLines w:val="0"/>
        <w:pageBreakBefore w:val="0"/>
        <w:widowControl w:val="0"/>
        <w:kinsoku/>
        <w:wordWrap/>
        <w:overflowPunct/>
        <w:topLinePunct w:val="0"/>
        <w:autoSpaceDE/>
        <w:autoSpaceDN/>
        <w:bidi w:val="0"/>
        <w:adjustRightInd/>
        <w:snapToGrid/>
        <w:spacing w:before="361" w:beforeLines="100" w:after="181" w:afterLines="50" w:line="360" w:lineRule="auto"/>
        <w:textAlignment w:val="auto"/>
        <w:rPr>
          <w:b/>
          <w:bCs/>
          <w:sz w:val="32"/>
          <w:szCs w:val="32"/>
        </w:rPr>
      </w:pPr>
      <w:r>
        <w:rPr>
          <w:b/>
          <w:bCs/>
          <w:sz w:val="32"/>
          <w:szCs w:val="32"/>
        </w:rPr>
        <w:t>十、其他重要事项</w:t>
      </w:r>
      <w:r>
        <w:rPr>
          <w:rFonts w:hint="eastAsia"/>
          <w:b/>
          <w:bCs/>
          <w:sz w:val="32"/>
          <w:szCs w:val="32"/>
          <w:lang w:val="en-US" w:eastAsia="zh-CN"/>
        </w:rPr>
        <w:t>情况</w:t>
      </w:r>
      <w:r>
        <w:rPr>
          <w:b/>
          <w:bCs/>
          <w:sz w:val="32"/>
          <w:szCs w:val="32"/>
        </w:rPr>
        <w:t>说明</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CN"/>
        </w:rPr>
      </w:pPr>
      <w:r>
        <w:rPr>
          <w:rFonts w:hint="eastAsia"/>
          <w:sz w:val="32"/>
          <w:szCs w:val="32"/>
          <w:lang w:eastAsia="zh-CN"/>
        </w:rPr>
        <w:t>（一）机关运行经费安排情况说明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rPr>
        <w:t>2024</w:t>
      </w:r>
      <w:r>
        <w:rPr>
          <w:sz w:val="32"/>
          <w:u w:color="auto"/>
        </w:rPr>
        <w:t>年本部门</w:t>
      </w:r>
      <w:r>
        <w:rPr>
          <w:rFonts w:hint="eastAsia"/>
          <w:sz w:val="32"/>
          <w:szCs w:val="32"/>
          <w:lang w:eastAsia="zh-CN"/>
        </w:rPr>
        <w:t>机关运行经费</w:t>
      </w:r>
      <w:r>
        <w:rPr>
          <w:rFonts w:hint="eastAsia"/>
          <w:sz w:val="32"/>
          <w:szCs w:val="32"/>
        </w:rPr>
        <w:t>预算</w:t>
      </w:r>
      <w:r>
        <w:rPr>
          <w:rFonts w:hint="eastAsia"/>
          <w:sz w:val="32"/>
          <w:szCs w:val="32"/>
          <w:lang w:val="en-US"/>
        </w:rPr>
        <w:t>0.00</w:t>
      </w:r>
      <w:r>
        <w:rPr>
          <w:rFonts w:hint="eastAsia"/>
          <w:sz w:val="32"/>
          <w:szCs w:val="32"/>
        </w:rPr>
        <w:t>万元，较2023年度预算数</w:t>
      </w:r>
      <w:r>
        <w:rPr>
          <w:rFonts w:hint="eastAsia"/>
          <w:sz w:val="32"/>
          <w:szCs w:val="32"/>
          <w:lang w:val="en-US"/>
        </w:rPr>
        <w:t>0.00</w:t>
      </w:r>
      <w:r>
        <w:rPr>
          <w:rFonts w:hint="eastAsia"/>
          <w:sz w:val="32"/>
          <w:szCs w:val="32"/>
        </w:rPr>
        <w:t>万元，</w:t>
      </w:r>
      <w:r>
        <w:rPr>
          <w:rFonts w:hint="eastAsia"/>
          <w:sz w:val="32"/>
          <w:szCs w:val="32"/>
          <w:lang w:val="en-US"/>
        </w:rPr>
        <w:t>增加0.00</w:t>
      </w:r>
      <w:r>
        <w:rPr>
          <w:rFonts w:hint="eastAsia"/>
          <w:sz w:val="32"/>
          <w:szCs w:val="32"/>
        </w:rPr>
        <w:t>万元，</w:t>
      </w:r>
      <w:r>
        <w:rPr>
          <w:rFonts w:hint="eastAsia"/>
          <w:sz w:val="32"/>
          <w:szCs w:val="32"/>
          <w:lang w:val="en-US"/>
        </w:rPr>
        <w:t>增长0%</w:t>
      </w:r>
      <w:r>
        <w:rPr>
          <w:rFonts w:hint="eastAsia"/>
          <w:sz w:val="32"/>
          <w:szCs w:val="32"/>
        </w:rPr>
        <w:t>，主要原因是：</w:t>
      </w:r>
      <w:r>
        <w:rPr>
          <w:rFonts w:hint="eastAsia"/>
          <w:sz w:val="32"/>
          <w:szCs w:val="32"/>
          <w:lang w:val="en-US"/>
        </w:rPr>
        <w:t>同比无变化</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（二）政府采购预算安排情况说明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rPr>
        <w:t>我部门2024年政府采购预算总金额</w:t>
      </w:r>
      <w:r>
        <w:rPr>
          <w:rFonts w:hint="eastAsia"/>
          <w:sz w:val="32"/>
          <w:szCs w:val="32"/>
          <w:lang w:val="en-US"/>
        </w:rPr>
        <w:t>0</w:t>
      </w:r>
      <w:r>
        <w:rPr>
          <w:rFonts w:hint="eastAsia"/>
          <w:sz w:val="32"/>
          <w:szCs w:val="32"/>
        </w:rPr>
        <w:t>万元。其中：货物类采购</w:t>
      </w:r>
      <w:r>
        <w:rPr>
          <w:rFonts w:hint="eastAsia"/>
          <w:sz w:val="32"/>
          <w:szCs w:val="32"/>
          <w:lang w:val="en-US"/>
        </w:rPr>
        <w:t>0</w:t>
      </w:r>
      <w:r>
        <w:rPr>
          <w:rFonts w:hint="eastAsia"/>
          <w:sz w:val="32"/>
          <w:szCs w:val="32"/>
        </w:rPr>
        <w:t>万元、工程类采购</w:t>
      </w:r>
      <w:r>
        <w:rPr>
          <w:rFonts w:hint="eastAsia"/>
          <w:sz w:val="32"/>
          <w:szCs w:val="32"/>
          <w:lang w:val="en-US"/>
        </w:rPr>
        <w:t>0</w:t>
      </w:r>
      <w:r>
        <w:rPr>
          <w:rFonts w:hint="eastAsia"/>
          <w:sz w:val="32"/>
          <w:szCs w:val="32"/>
        </w:rPr>
        <w:t>万元、服务类采购</w:t>
      </w:r>
      <w:r>
        <w:rPr>
          <w:rFonts w:hint="eastAsia"/>
          <w:sz w:val="32"/>
          <w:szCs w:val="32"/>
          <w:lang w:val="en-US"/>
        </w:rPr>
        <w:t>0</w:t>
      </w:r>
      <w:r>
        <w:rPr>
          <w:rFonts w:hint="eastAsia"/>
          <w:sz w:val="32"/>
          <w:szCs w:val="32"/>
        </w:rPr>
        <w:t>万元。</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highlight w:val="none"/>
          <w:lang w:eastAsia="zh-CN"/>
        </w:rPr>
      </w:pPr>
      <w:r>
        <w:rPr>
          <w:rFonts w:hint="eastAsia"/>
          <w:sz w:val="32"/>
          <w:szCs w:val="32"/>
          <w:highlight w:val="none"/>
          <w:lang w:eastAsia="zh-CN"/>
        </w:rPr>
        <w:t>（三）国有资产占用情况说明</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highlight w:val="none"/>
        </w:rPr>
      </w:pPr>
      <w:r>
        <w:rPr>
          <w:rFonts w:hint="eastAsia"/>
          <w:sz w:val="32"/>
          <w:szCs w:val="32"/>
          <w:highlight w:val="none"/>
        </w:rPr>
        <w:t>截至2023年12月31日，本部门资产总计</w:t>
      </w:r>
      <w:r>
        <w:rPr>
          <w:rFonts w:hint="eastAsia"/>
          <w:sz w:val="32"/>
          <w:szCs w:val="32"/>
          <w:highlight w:val="none"/>
          <w:lang w:val="en-US"/>
        </w:rPr>
        <w:t>591.64</w:t>
      </w:r>
      <w:r>
        <w:rPr>
          <w:rFonts w:hint="eastAsia"/>
          <w:sz w:val="32"/>
          <w:szCs w:val="32"/>
          <w:highlight w:val="none"/>
        </w:rPr>
        <w:t>万元，</w:t>
      </w:r>
      <w:r>
        <w:rPr>
          <w:rFonts w:hint="eastAsia"/>
          <w:sz w:val="32"/>
          <w:szCs w:val="32"/>
          <w:highlight w:val="none"/>
          <w:lang w:val="en-US" w:eastAsia="zh-CN"/>
        </w:rPr>
        <w:t>其中：流动资产</w:t>
      </w:r>
      <w:r>
        <w:rPr>
          <w:rFonts w:hint="eastAsia"/>
          <w:sz w:val="32"/>
          <w:szCs w:val="32"/>
          <w:highlight w:val="none"/>
          <w:lang w:val="en-US"/>
        </w:rPr>
        <w:t>13.14</w:t>
      </w:r>
      <w:r>
        <w:rPr>
          <w:rFonts w:hint="eastAsia"/>
          <w:sz w:val="32"/>
          <w:szCs w:val="32"/>
          <w:highlight w:val="none"/>
        </w:rPr>
        <w:t>万元，</w:t>
      </w:r>
      <w:r>
        <w:rPr>
          <w:rFonts w:hint="eastAsia"/>
          <w:sz w:val="32"/>
          <w:szCs w:val="32"/>
          <w:highlight w:val="none"/>
          <w:lang w:val="en-US" w:eastAsia="zh-CN"/>
        </w:rPr>
        <w:t>固定资产</w:t>
      </w:r>
      <w:r>
        <w:rPr>
          <w:rFonts w:hint="eastAsia"/>
          <w:sz w:val="32"/>
          <w:szCs w:val="32"/>
          <w:highlight w:val="none"/>
          <w:lang w:val="en-US"/>
        </w:rPr>
        <w:t>578.50</w:t>
      </w:r>
      <w:r>
        <w:rPr>
          <w:rFonts w:hint="eastAsia"/>
          <w:sz w:val="32"/>
          <w:szCs w:val="32"/>
          <w:highlight w:val="none"/>
          <w:lang w:val="en-US" w:eastAsia="zh-CN"/>
        </w:rPr>
        <w:t>万元，</w:t>
      </w:r>
      <w:r>
        <w:rPr>
          <w:rFonts w:hint="eastAsia"/>
          <w:sz w:val="32"/>
          <w:szCs w:val="32"/>
          <w:highlight w:val="none"/>
        </w:rPr>
        <w:t>在建工程</w:t>
      </w:r>
      <w:r>
        <w:rPr>
          <w:rFonts w:hint="eastAsia"/>
          <w:sz w:val="32"/>
          <w:szCs w:val="32"/>
          <w:highlight w:val="none"/>
          <w:lang w:val="en-US"/>
        </w:rPr>
        <w:t>0</w:t>
      </w:r>
      <w:r>
        <w:rPr>
          <w:rFonts w:hint="eastAsia"/>
          <w:sz w:val="32"/>
          <w:szCs w:val="32"/>
          <w:highlight w:val="none"/>
        </w:rPr>
        <w:t>万元，无形资产</w:t>
      </w:r>
      <w:r>
        <w:rPr>
          <w:rFonts w:hint="eastAsia"/>
          <w:sz w:val="32"/>
          <w:szCs w:val="32"/>
          <w:highlight w:val="none"/>
          <w:lang w:val="en-US"/>
        </w:rPr>
        <w:t>0</w:t>
      </w:r>
      <w:r>
        <w:rPr>
          <w:rFonts w:hint="eastAsia"/>
          <w:sz w:val="32"/>
          <w:szCs w:val="32"/>
          <w:highlight w:val="none"/>
        </w:rPr>
        <w:t>万元。</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highlight w:val="none"/>
        </w:rPr>
        <w:t>本部门</w:t>
      </w:r>
      <w:r>
        <w:rPr>
          <w:rFonts w:hint="eastAsia"/>
          <w:sz w:val="32"/>
          <w:szCs w:val="32"/>
          <w:highlight w:val="none"/>
          <w:lang w:val="en-US" w:eastAsia="zh-CN"/>
        </w:rPr>
        <w:t>实际可调配使用</w:t>
      </w:r>
      <w:r>
        <w:rPr>
          <w:rFonts w:hint="eastAsia"/>
          <w:sz w:val="32"/>
          <w:szCs w:val="32"/>
          <w:highlight w:val="none"/>
        </w:rPr>
        <w:t>车辆</w:t>
      </w:r>
      <w:r>
        <w:rPr>
          <w:rFonts w:hint="eastAsia"/>
          <w:sz w:val="32"/>
          <w:szCs w:val="32"/>
          <w:highlight w:val="none"/>
          <w:lang w:val="en-US"/>
        </w:rPr>
        <w:t>0</w:t>
      </w:r>
      <w:r>
        <w:rPr>
          <w:rFonts w:hint="eastAsia"/>
          <w:sz w:val="32"/>
          <w:szCs w:val="32"/>
          <w:highlight w:val="none"/>
        </w:rPr>
        <w:t>辆，其中，</w:t>
      </w:r>
      <w:r>
        <w:rPr>
          <w:rFonts w:hint="eastAsia"/>
          <w:sz w:val="32"/>
          <w:szCs w:val="32"/>
          <w:highlight w:val="none"/>
          <w:lang w:val="en-US" w:eastAsia="zh-CN"/>
        </w:rPr>
        <w:t>一般公务用车辆</w:t>
      </w:r>
      <w:r>
        <w:rPr>
          <w:rFonts w:hint="eastAsia"/>
          <w:sz w:val="32"/>
          <w:szCs w:val="32"/>
          <w:highlight w:val="none"/>
          <w:lang w:val="en-US"/>
        </w:rPr>
        <w:t>0</w:t>
      </w:r>
      <w:r>
        <w:rPr>
          <w:rFonts w:hint="eastAsia"/>
          <w:sz w:val="32"/>
          <w:szCs w:val="32"/>
          <w:highlight w:val="none"/>
          <w:lang w:val="en-US" w:eastAsia="zh-CN"/>
        </w:rPr>
        <w:t>辆、</w:t>
      </w:r>
      <w:r>
        <w:rPr>
          <w:rFonts w:hint="eastAsia"/>
          <w:sz w:val="32"/>
          <w:szCs w:val="32"/>
          <w:highlight w:val="none"/>
        </w:rPr>
        <w:t>应急机要通信用车</w:t>
      </w:r>
      <w:r>
        <w:rPr>
          <w:rFonts w:hint="eastAsia"/>
          <w:sz w:val="32"/>
          <w:szCs w:val="32"/>
          <w:highlight w:val="none"/>
          <w:lang w:val="en-US"/>
        </w:rPr>
        <w:t>0</w:t>
      </w:r>
      <w:r>
        <w:rPr>
          <w:rFonts w:hint="eastAsia"/>
          <w:sz w:val="32"/>
          <w:szCs w:val="32"/>
          <w:highlight w:val="none"/>
        </w:rPr>
        <w:t>辆、一般执法执勤用车</w:t>
      </w:r>
      <w:r>
        <w:rPr>
          <w:rFonts w:hint="eastAsia"/>
          <w:sz w:val="32"/>
          <w:szCs w:val="32"/>
          <w:lang w:val="en-US"/>
        </w:rPr>
        <w:t>0</w:t>
      </w:r>
      <w:r>
        <w:rPr>
          <w:rFonts w:hint="eastAsia"/>
          <w:sz w:val="32"/>
          <w:szCs w:val="32"/>
        </w:rPr>
        <w:t>辆、特种专业技术用车</w:t>
      </w:r>
      <w:r>
        <w:rPr>
          <w:rFonts w:hint="eastAsia"/>
          <w:sz w:val="32"/>
          <w:szCs w:val="32"/>
          <w:lang w:val="en-US"/>
        </w:rPr>
        <w:t>0</w:t>
      </w:r>
      <w:r>
        <w:rPr>
          <w:rFonts w:hint="eastAsia"/>
          <w:sz w:val="32"/>
          <w:szCs w:val="32"/>
        </w:rPr>
        <w:t>辆、其他用车</w:t>
      </w:r>
      <w:r>
        <w:rPr>
          <w:rFonts w:hint="eastAsia"/>
          <w:sz w:val="32"/>
          <w:szCs w:val="32"/>
          <w:lang w:val="en-US"/>
        </w:rPr>
        <w:t>0</w:t>
      </w:r>
      <w:r>
        <w:rPr>
          <w:rFonts w:hint="eastAsia"/>
          <w:sz w:val="32"/>
          <w:szCs w:val="32"/>
        </w:rPr>
        <w:t>辆，单位价值200万元以上大型设备</w:t>
      </w:r>
      <w:r>
        <w:rPr>
          <w:rFonts w:hint="eastAsia"/>
          <w:sz w:val="32"/>
          <w:szCs w:val="32"/>
          <w:lang w:val="en-US"/>
        </w:rPr>
        <w:t>0</w:t>
      </w:r>
      <w:r>
        <w:rPr>
          <w:rFonts w:hint="eastAsia"/>
          <w:sz w:val="32"/>
          <w:szCs w:val="32"/>
        </w:rPr>
        <w:t>台（套）。</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（四）</w:t>
      </w:r>
      <w:r>
        <w:rPr>
          <w:rFonts w:hint="eastAsia"/>
          <w:sz w:val="32"/>
          <w:szCs w:val="32"/>
          <w:lang w:val="en-US" w:eastAsia="zh-CN"/>
        </w:rPr>
        <w:t>重点项目</w:t>
      </w:r>
      <w:r>
        <w:rPr>
          <w:rFonts w:hint="eastAsia"/>
          <w:sz w:val="32"/>
          <w:szCs w:val="32"/>
          <w:lang w:eastAsia="zh-CN"/>
        </w:rPr>
        <w:t>预算绩效目标</w:t>
      </w:r>
      <w:r>
        <w:rPr>
          <w:rFonts w:hint="eastAsia"/>
          <w:sz w:val="32"/>
          <w:szCs w:val="32"/>
          <w:lang w:val="en-US" w:eastAsia="zh-CN"/>
        </w:rPr>
        <w:t>等</w:t>
      </w:r>
      <w:r>
        <w:rPr>
          <w:rFonts w:hint="eastAsia"/>
          <w:sz w:val="32"/>
          <w:szCs w:val="32"/>
          <w:lang w:eastAsia="zh-CN"/>
        </w:rPr>
        <w:t>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rPr>
        <w:t>1.我部门2024年所有项目支出全面实施绩效目标管理，涉及项目</w:t>
      </w:r>
      <w:r>
        <w:rPr>
          <w:rFonts w:hint="eastAsia"/>
          <w:sz w:val="32"/>
          <w:szCs w:val="32"/>
          <w:lang w:val="en-US"/>
        </w:rPr>
        <w:t>0</w:t>
      </w:r>
      <w:r>
        <w:rPr>
          <w:rFonts w:hint="eastAsia"/>
          <w:sz w:val="32"/>
          <w:szCs w:val="32"/>
        </w:rPr>
        <w:t>个，预算资金</w:t>
      </w:r>
      <w:r>
        <w:rPr>
          <w:rFonts w:hint="eastAsia"/>
          <w:sz w:val="32"/>
          <w:szCs w:val="32"/>
          <w:lang w:val="en-US"/>
        </w:rPr>
        <w:t>0</w:t>
      </w:r>
      <w:r>
        <w:rPr>
          <w:rFonts w:hint="eastAsia"/>
          <w:sz w:val="32"/>
          <w:szCs w:val="32"/>
        </w:rPr>
        <w:t>万元。</w:t>
      </w:r>
      <w:r>
        <w:rPr>
          <w:rFonts w:hint="eastAsia"/>
          <w:sz w:val="32"/>
          <w:szCs w:val="32"/>
          <w:lang w:eastAsia="zh-CN"/>
        </w:rPr>
        <w:t>绩效目标情况详见报表（日常运转类项目、工资类人员经费项目和涉密项目等除外）。</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2.重点项目预算绩效目标说明。</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eastAsia="zh-CN"/>
          <w:woUserID w:val="1"/>
        </w:rPr>
      </w:pPr>
      <w:r>
        <w:rPr>
          <w:rFonts w:hint="eastAsia"/>
          <w:sz w:val="32"/>
          <w:szCs w:val="32"/>
          <w:lang w:val="en-US" w:eastAsia="zh-CN"/>
        </w:rPr>
        <w:t>2024年重点项目预算绩效目标公开见附件“项目支出（部门预算）绩效目标申报表”</w:t>
      </w:r>
      <w:r>
        <w:rPr>
          <w:rFonts w:hint="default"/>
          <w:sz w:val="32"/>
          <w:szCs w:val="32"/>
          <w:lang w:eastAsia="zh-CN"/>
          <w:woUserID w:val="1"/>
        </w:rPr>
        <w:t>。</w:t>
      </w:r>
    </w:p>
    <w:p>
      <w:pPr>
        <w:rPr>
          <w:rFonts w:hint="eastAsia"/>
          <w:sz w:val="32"/>
          <w:szCs w:val="32"/>
          <w:lang w:val="en-US" w:eastAsia="zh-CN"/>
        </w:rPr>
      </w:pPr>
      <w:r>
        <w:br w:type="page"/>
      </w:r>
      <w:bookmarkEnd w:id="10"/>
      <w:bookmarkEnd w:id="11"/>
      <w:bookmarkEnd w:id="12"/>
    </w:p>
    <w:p>
      <w:pPr>
        <w:pStyle w:val="15"/>
        <w:keepNext/>
        <w:keepLines/>
        <w:pageBreakBefore w:val="0"/>
        <w:kinsoku/>
        <w:wordWrap/>
        <w:overflowPunct/>
        <w:topLinePunct w:val="0"/>
        <w:autoSpaceDE/>
        <w:autoSpaceDN/>
        <w:bidi w:val="0"/>
        <w:adjustRightInd/>
        <w:snapToGrid/>
        <w:spacing w:before="200" w:after="0" w:line="360" w:lineRule="auto"/>
        <w:textAlignment w:val="auto"/>
        <w:rPr>
          <w:rFonts w:hint="eastAsia" w:ascii="黑体" w:hAnsi="黑体" w:eastAsia="黑体" w:cs="黑体"/>
          <w:sz w:val="32"/>
          <w:szCs w:val="32"/>
        </w:rPr>
      </w:pPr>
      <w:bookmarkStart w:id="16" w:name="bookmark94"/>
      <w:bookmarkStart w:id="17" w:name="bookmark96"/>
      <w:bookmarkStart w:id="18" w:name="bookmark95"/>
      <w:r>
        <w:rPr>
          <w:rFonts w:hint="eastAsia" w:ascii="黑体" w:hAnsi="黑体" w:eastAsia="黑体" w:cs="黑体"/>
          <w:sz w:val="32"/>
          <w:szCs w:val="32"/>
        </w:rPr>
        <w:t>第</w:t>
      </w:r>
      <w:r>
        <w:rPr>
          <w:rFonts w:hint="eastAsia" w:ascii="黑体" w:hAnsi="黑体" w:eastAsia="黑体" w:cs="黑体"/>
          <w:sz w:val="32"/>
          <w:szCs w:val="32"/>
          <w:lang w:val="en-US" w:eastAsia="zh-CN"/>
        </w:rPr>
        <w:t>三</w:t>
      </w:r>
      <w:r>
        <w:rPr>
          <w:rFonts w:hint="eastAsia" w:ascii="黑体" w:hAnsi="黑体" w:eastAsia="黑体" w:cs="黑体"/>
          <w:sz w:val="32"/>
          <w:szCs w:val="32"/>
        </w:rPr>
        <w:t>部分名词解释</w:t>
      </w:r>
      <w:bookmarkEnd w:id="16"/>
      <w:bookmarkEnd w:id="17"/>
      <w:bookmarkEnd w:id="18"/>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bookmarkStart w:id="19" w:name="bookmark97"/>
      <w:r>
        <w:rPr>
          <w:rFonts w:hint="default" w:ascii="Arial" w:hAnsi="Arial" w:cs="Arial"/>
          <w:sz w:val="32"/>
          <w:szCs w:val="32"/>
        </w:rPr>
        <w:t>一、财政拨款收入：指财政部门当年拨付的资金。</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二、事业收入：指事业单位开展专业业务活动及辅助活动所取得的收入。</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三、其他收入：指除上述“财政拨款收入”、“事业收入”、“经营收入”等以外的收入。</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四、基本支出：指为保障机构正常运转、完成日常工作任务而发生的人员支出和公用支出。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五、项目支出：指在基本支出之外为完成特定行政任务和事业发展目标所发生的支出。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六、一般公共服务支出：反映政府提供一般公共服务的支出。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七、社会保障和就业支出：反映政府在社会保障与就业方面的支出。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八、卫生健康支出：反映政府卫生健康方面的支出。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九、住房保障支出：集中反映政府用于住房方面的支出。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十、“三公”经费：纳入财政预决算管理的“三公”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bookmarkEnd w:id="19"/>
    </w:p>
    <w:p>
      <w:pPr>
        <w:pageBreakBefore w:val="0"/>
        <w:kinsoku/>
        <w:wordWrap/>
        <w:overflowPunct/>
        <w:topLinePunct w:val="0"/>
        <w:autoSpaceDE/>
        <w:autoSpaceDN/>
        <w:bidi w:val="0"/>
        <w:adjustRightInd/>
        <w:snapToGrid/>
        <w:spacing w:line="360" w:lineRule="auto"/>
        <w:textAlignment w:val="auto"/>
        <w:rPr>
          <w:sz w:val="32"/>
          <w:szCs w:val="32"/>
          <w:lang w:eastAsia="zh-CN"/>
        </w:rPr>
      </w:pPr>
      <w:r>
        <w:br w:type="page"/>
      </w:r>
    </w:p>
    <w:p>
      <w:pPr>
        <w:pStyle w:val="19"/>
        <w:pageBreakBefore w:val="0"/>
        <w:kinsoku/>
        <w:wordWrap/>
        <w:overflowPunct/>
        <w:topLinePunct w:val="0"/>
        <w:autoSpaceDE/>
        <w:autoSpaceDN/>
        <w:bidi w:val="0"/>
        <w:adjustRightInd/>
        <w:snapToGrid/>
        <w:spacing w:line="360" w:lineRule="auto"/>
        <w:ind w:firstLine="320" w:firstLineChars="10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部分</w:t>
      </w:r>
      <w:r>
        <w:rPr>
          <w:rFonts w:hint="eastAsia" w:ascii="黑体" w:hAnsi="黑体" w:eastAsia="黑体" w:cs="黑体"/>
          <w:b w:val="0"/>
          <w:bCs w:val="0"/>
          <w:sz w:val="32"/>
          <w:szCs w:val="32"/>
          <w:lang w:eastAsia="zh-CN"/>
        </w:rPr>
        <w:t>：</w:t>
      </w:r>
      <w:r>
        <w:rPr>
          <w:rFonts w:ascii="黑体" w:hAnsi="黑体" w:eastAsia="黑体" w:cs="黑体"/>
          <w:sz w:val="32"/>
          <w:u w:color="auto"/>
        </w:rPr>
        <w:t>全州县特殊教育学校2024</w:t>
      </w:r>
      <w:r>
        <w:rPr>
          <w:rFonts w:hint="eastAsia" w:ascii="黑体" w:hAnsi="黑体" w:eastAsia="黑体" w:cs="黑体"/>
          <w:b w:val="0"/>
          <w:bCs w:val="0"/>
          <w:sz w:val="32"/>
          <w:szCs w:val="32"/>
        </w:rPr>
        <w:t>年部门预算</w:t>
      </w:r>
      <w:r>
        <w:rPr>
          <w:rFonts w:hint="eastAsia" w:ascii="黑体" w:hAnsi="黑体" w:eastAsia="黑体" w:cs="黑体"/>
          <w:b w:val="0"/>
          <w:bCs w:val="0"/>
          <w:sz w:val="32"/>
          <w:szCs w:val="32"/>
          <w:lang w:val="en-US" w:eastAsia="zh-CN"/>
        </w:rPr>
        <w:t>报</w:t>
      </w:r>
      <w:r>
        <w:rPr>
          <w:rFonts w:hint="eastAsia" w:ascii="黑体" w:hAnsi="黑体" w:eastAsia="黑体" w:cs="黑体"/>
          <w:b w:val="0"/>
          <w:bCs w:val="0"/>
          <w:sz w:val="32"/>
          <w:szCs w:val="32"/>
        </w:rPr>
        <w:t>表</w:t>
      </w:r>
    </w:p>
    <w:p>
      <w:pPr>
        <w:pStyle w:val="19"/>
        <w:pageBreakBefore w:val="0"/>
        <w:kinsoku/>
        <w:wordWrap/>
        <w:overflowPunct/>
        <w:topLinePunct w:val="0"/>
        <w:autoSpaceDE/>
        <w:autoSpaceDN/>
        <w:bidi w:val="0"/>
        <w:adjustRightInd/>
        <w:snapToGrid/>
        <w:spacing w:line="360" w:lineRule="auto"/>
        <w:ind w:firstLine="320" w:firstLineChars="100"/>
        <w:jc w:val="center"/>
        <w:textAlignment w:val="auto"/>
        <w:rPr>
          <w:rFonts w:hint="default" w:eastAsia="宋体"/>
          <w:sz w:val="32"/>
          <w:szCs w:val="32"/>
          <w:lang w:val="en-US" w:eastAsia="zh-CN"/>
        </w:rPr>
      </w:pPr>
      <w:r>
        <w:rPr>
          <w:rFonts w:hint="eastAsia"/>
          <w:sz w:val="32"/>
          <w:szCs w:val="32"/>
          <w:lang w:eastAsia="zh-CN"/>
        </w:rPr>
        <w:t>（</w:t>
      </w:r>
      <w:r>
        <w:rPr>
          <w:rFonts w:hint="eastAsia"/>
          <w:sz w:val="32"/>
          <w:szCs w:val="32"/>
          <w:lang w:val="en-US" w:eastAsia="zh-CN"/>
        </w:rPr>
        <w:t>详见附表）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一、部门收支总体情况表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二、部门收入总体情况表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三、部门支出总体情况表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四、财政拨款收支总体情况表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五、一般公共预算支出情况表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六、一般公共预算基本支出情况表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七、财政拨款三公两费支出情况表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八、政府性基金预算支出情况表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九、国有资本经营预算支出情况表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kern w:val="0"/>
          <w:sz w:val="32"/>
          <w:szCs w:val="32"/>
          <w:lang w:val="zh-TW" w:eastAsia="zh-TW" w:bidi="zh-TW"/>
        </w:rPr>
      </w:pPr>
      <w:r>
        <w:rPr>
          <w:rFonts w:hint="eastAsia" w:ascii="宋体" w:hAnsi="宋体" w:eastAsia="宋体" w:cs="宋体"/>
          <w:kern w:val="0"/>
          <w:sz w:val="32"/>
          <w:szCs w:val="32"/>
          <w:lang w:val="zh-TW" w:eastAsia="zh-TW" w:bidi="zh-TW"/>
        </w:rPr>
        <w:t>十、2024年度预算项目绩效目标公开表</w:t>
      </w:r>
    </w:p>
    <w:p>
      <w:pPr>
        <w:pStyle w:val="21"/>
        <w:pageBreakBefore w:val="0"/>
        <w:kinsoku/>
        <w:wordWrap/>
        <w:overflowPunct/>
        <w:topLinePunct w:val="0"/>
        <w:autoSpaceDE/>
        <w:autoSpaceDN/>
        <w:bidi w:val="0"/>
        <w:adjustRightInd/>
        <w:snapToGrid/>
        <w:spacing w:line="360" w:lineRule="auto"/>
        <w:ind w:firstLine="0"/>
        <w:textAlignment w:val="auto"/>
        <w:rPr>
          <w:rFonts w:hint="eastAsia"/>
          <w:sz w:val="32"/>
          <w:szCs w:val="32"/>
        </w:rPr>
      </w:pPr>
    </w:p>
    <w:sectPr>
      <w:headerReference r:id="rId9" w:type="default"/>
      <w:footerReference r:id="rId10" w:type="default"/>
      <w:type w:val="continuous"/>
      <w:pgSz w:w="11900" w:h="16840"/>
      <w:pgMar w:top="1302" w:right="1735" w:bottom="1568" w:left="1793" w:header="874" w:footer="3"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汉仪中等线KW">
    <w:panose1 w:val="01010104010101010101"/>
    <w:charset w:val="86"/>
    <w:family w:val="auto"/>
    <w:pitch w:val="default"/>
    <w:sig w:usb0="800002BF" w:usb1="004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ge">
                <wp:posOffset>9993630</wp:posOffset>
              </wp:positionV>
              <wp:extent cx="48895" cy="76200"/>
              <wp:effectExtent l="0" t="0" r="0" b="0"/>
              <wp:wrapNone/>
              <wp:docPr id="13728" name="Shape 1"/>
              <wp:cNvGraphicFramePr/>
              <a:graphic xmlns:a="http://schemas.openxmlformats.org/drawingml/2006/main">
                <a:graphicData uri="http://schemas.microsoft.com/office/word/2010/wordprocessingShape">
                  <wps:wsp>
                    <wps:cNvSpPr/>
                    <wps:spPr>
                      <a:xfrm>
                        <a:off x="0" y="0"/>
                        <a:ext cx="48895" cy="76200"/>
                      </a:xfrm>
                      <a:prstGeom prst="rect">
                        <a:avLst/>
                      </a:prstGeom>
                      <a:noFill/>
                    </wps:spPr>
                    <wps:txbx>
                      <w:txbxContent>
                        <w:p>
                          <w:pPr>
                            <w:pStyle w:val="17"/>
                            <w:rPr>
                              <w:sz w:val="17"/>
                              <w:szCs w:val="17"/>
                            </w:rPr>
                          </w:pPr>
                          <w:r>
                            <w:fldChar w:fldCharType="begin"/>
                          </w:r>
                          <w:r>
                            <w:instrText xml:space="preserve"> PAGE \* MERGEFORMAT </w:instrText>
                          </w:r>
                          <w:r>
                            <w:fldChar w:fldCharType="separate"/>
                          </w:r>
                          <w:r>
                            <w:rPr>
                              <w:b/>
                              <w:bCs/>
                              <w:sz w:val="17"/>
                              <w:szCs w:val="17"/>
                            </w:rPr>
                            <w:t>#</w:t>
                          </w:r>
                          <w:r>
                            <w:rPr>
                              <w:b/>
                              <w:bCs/>
                              <w:sz w:val="17"/>
                              <w:szCs w:val="17"/>
                            </w:rPr>
                            <w:fldChar w:fldCharType="end"/>
                          </w:r>
                        </w:p>
                      </w:txbxContent>
                    </wps:txbx>
                    <wps:bodyPr rot="0" spcFirstLastPara="0" vertOverflow="overflow" horzOverflow="overflow" vert="horz" wrap="none" lIns="0" tIns="0" rIns="0" bIns="0" numCol="1" anchor="t" upright="0">
                      <a:spAutoFit/>
                    </wps:bodyPr>
                  </wps:wsp>
                </a:graphicData>
              </a:graphic>
            </wp:anchor>
          </w:drawing>
        </mc:Choice>
        <mc:Fallback>
          <w:pict>
            <v:rect id="Shape 1" o:spid="_x0000_s1026" o:spt="1" style="position:absolute;left:0pt;margin-top:786.9pt;height:6pt;width:3.85pt;mso-position-horizontal:center;mso-position-horizontal-relative:margin;mso-position-vertical-relative:page;mso-wrap-style:none;z-index:251659264;mso-width-relative:page;mso-height-relative:page;" filled="f" stroked="f" coordsize="21600,21600" o:gfxdata="UEsDBAoAAAAAAIdO4kAAAAAAAAAAAAAAAAAEAAAAZHJzL1BLAwQUAAAACACHTuJAxU81ZdUAAAAI AQAADwAAAGRycy9kb3ducmV2LnhtbE2PzU7DMBCE70h9B2srcaN2i0qiEKcHpEqAuDTtA7jx5kfY 6yh2m/L2bE9w3JnR7Hzl7uaduOIUh0Aa1isFAqkJdqBOw+m4f8pBxGTIGhcINfxghF21eChNYcNM B7zWqRNcQrEwGvqUxkLK2PToTVyFEYm9NkzeJD6nTtrJzFzundwo9SK9GYg/9GbEtx6b7/riNchj vZ/z2k0qfG7aL/fxfmgxaP24XKtXEAlv6S8M9/k8HSredA4XslE4DQySWN1mz0zAfpaBON+FfJuD rEr5H6D6BVBLAwQUAAAACACHTuJAS2fWoOYBAADiAwAADgAAAGRycy9lMm9Eb2MueG1srVPBbtsw DL0P2D8IujdO0q3NgjjFsCDDgGIN0O0DFFmOBViiQCqxs68fJTvp0O3Qwy4yJdGPfO9Rq4feteJk kCz4Us4mUymM11BZfyjlzx/bm4UUFJWvVAvelPJsSD6s379bdWFp5tBAWxkUDOJp2YVSNjGGZVGQ boxTNIFgPF/WgE5F3uKhqFB1jO7aYj6d3hUdYBUQtCHi081wKUdEfAsg1LXVZgP66IyPAyqaVkWm RI0NJNe527o2Oj7VNZko2lIy05hXLsLxPq3FeqWWB1ShsXpsQb2lhVecnLKei16hNioqcUT7F5Sz GoGgjhMNrhiIZEWYxWz6SpvnRgWTubDUFK6i0/+D1d9POxS24km4vZ+z9V45Nj1XFrMkTxdoyVnP YYfjjjhMXPsaXfoyC9FnSc9XSU0fhebDD4vFp49SaL65v2P7E2Lx8mtAil8NOJGCUiL7lWVUp0eK Q+olJVXysLVtm85TV0MfKYr9vh+b20N1ZkYIg9UU9NYy9qOiuFPI3rLzPP3xiZe6ha6UMEZSNIC/ /nWe8llyvpWi41kppeenIUX7zbMVaawuAV6C/SXwR/cFePhmUiivGaOUUYpjQHtocouJF4XPx8jc MuVEaGAx8mTrs2jjmKbZ+nOfs16e5vo3UEsDBAoAAAAAAIdO4kAAAAAAAAAAAAAAAAAGAAAAX3Jl bHMvUEsDBBQAAAAIAIdO4kCKFGY80QAAAJQBAAALAAAAX3JlbHMvLnJlbHOlkMFqwzAMhu+DvYPR fXGawxijTi+j0GvpHsDYimMaW0Yy2fr28w6DZfS2o36h7xP//vCZFrUiS6RsYNf1oDA78jEHA++X 49MLKKk2e7tQRgM3FDiMjw/7My62tiOZYxHVKFkMzLWWV63FzZisdFQwt81EnGxtIwddrLvagHro +2fNvxkwbpjq5A3wyQ+gLrfSzH/YKTomoal2jpKmaYruHlUHtmWO7sg24Ru5RrMcsBrwLBoHalnX fgR9X7/7p97TRz7jutV+h4zrj1dvuhy/AFBLAwQUAAAACACHTuJAfublIPcAAADhAQAAEwAAAFtD b250ZW50X1R5cGVzXS54bWyVkUFOwzAQRfdI3MHyFiVOu0AIJemCtEtAqBxgZE8Si2RseUxob4+T thtEkVjaM/+/J7vcHMZBTBjYOqrkKi+kQNLOWOoq+b7fZQ9ScAQyMDjCSh6R5aa+vSn3R48sUpq4 kn2M/lEp1j2OwLnzSGnSujBCTMfQKQ/6AzpU66K4V9pRRIpZnDtkXTbYwucQxfaQrk8mAQeW4um0 OLMqCd4PVkNMpmoi84OSnQl5Si473FvPd0lDql8J8+Q64Jx7SU8TrEHxCiE+w5g0lAmsjPuigFP+ d8lsOXLm2tZqzJvATYq94XSxutaOa9c4/d/y7ZK6dKvlg+pvUEsBAhQAFAAAAAgAh07iQH7m5SD3 AAAA4QEAABMAAAAAAAAAAQAgAAAAVAQAAFtDb250ZW50X1R5cGVzXS54bWxQSwECFAAKAAAAAACH TuJAAAAAAAAAAAAAAAAABgAAAAAAAAAAABAAAAA2AwAAX3JlbHMvUEsBAhQAFAAAAAgAh07iQIoU ZjzRAAAAlAEAAAsAAAAAAAAAAQAgAAAAWgMAAF9yZWxzLy5yZWxzUEsBAhQACgAAAAAAh07iQAAA AAAAAAAAAAAAAAQAAAAAAAAAAAAQAAAAAAAAAGRycy9QSwECFAAUAAAACACHTuJAxU81ZdUAAAAI AQAADwAAAAAAAAABACAAAAAiAAAAZHJzL2Rvd25yZXYueG1sUEsBAhQAFAAAAAgAh07iQEtn1qDm AQAA4gMAAA4AAAAAAAAAAQAgAAAAJAEAAGRycy9lMm9Eb2MueG1sUEsFBgAAAAAGAAYAWQEAAHwF AAAAAA== ">
              <v:fill on="f" focussize="0,0"/>
              <v:stroke on="f"/>
              <v:imagedata o:title=""/>
              <o:lock v:ext="edit" aspectratio="f"/>
              <v:textbox inset="0mm,0mm,0mm,0mm" style="mso-fit-shape-to-text:t;">
                <w:txbxContent>
                  <w:p>
                    <w:pPr>
                      <w:pStyle w:val="17"/>
                      <w:rPr>
                        <w:sz w:val="17"/>
                        <w:szCs w:val="17"/>
                      </w:rPr>
                    </w:pPr>
                    <w:r>
                      <w:fldChar w:fldCharType="begin"/>
                    </w:r>
                    <w:r>
                      <w:instrText xml:space="preserve"> PAGE \* MERGEFORMAT </w:instrText>
                    </w:r>
                    <w:r>
                      <w:fldChar w:fldCharType="separate"/>
                    </w:r>
                    <w:r>
                      <w:rPr>
                        <w:b/>
                        <w:bCs/>
                        <w:sz w:val="17"/>
                        <w:szCs w:val="17"/>
                      </w:rPr>
                      <w:t>#</w:t>
                    </w:r>
                    <w:r>
                      <w:rPr>
                        <w:b/>
                        <w:bCs/>
                        <w:sz w:val="17"/>
                        <w:szCs w:val="17"/>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ge">
                <wp:posOffset>9993630</wp:posOffset>
              </wp:positionV>
              <wp:extent cx="200660" cy="165735"/>
              <wp:effectExtent l="0" t="0" r="0" b="0"/>
              <wp:wrapNone/>
              <wp:docPr id="13730" name="Shape 25"/>
              <wp:cNvGraphicFramePr/>
              <a:graphic xmlns:a="http://schemas.openxmlformats.org/drawingml/2006/main">
                <a:graphicData uri="http://schemas.microsoft.com/office/word/2010/wordprocessingShape">
                  <wps:wsp>
                    <wps:cNvSpPr/>
                    <wps:spPr>
                      <a:xfrm>
                        <a:off x="0" y="0"/>
                        <a:ext cx="200660" cy="165735"/>
                      </a:xfrm>
                      <a:prstGeom prst="rect">
                        <a:avLst/>
                      </a:prstGeom>
                      <a:noFill/>
                    </wps:spPr>
                    <wps:txbx>
                      <w:txbxContent>
                        <w:p>
                          <w:pPr>
                            <w:pStyle w:val="23"/>
                          </w:pPr>
                          <w:r>
                            <w:fldChar w:fldCharType="begin"/>
                          </w:r>
                          <w:r>
                            <w:instrText xml:space="preserve">PAGE   \* MERGEFORMAT</w:instrText>
                          </w:r>
                          <w:r>
                            <w:fldChar w:fldCharType="separate"/>
                          </w:r>
                          <w:r>
                            <w:rPr>
                              <w:lang w:val="zh-CN" w:eastAsia="zh-CN"/>
                            </w:rPr>
                            <w:t>1</w:t>
                          </w:r>
                          <w:r>
                            <w:fldChar w:fldCharType="end"/>
                          </w:r>
                        </w:p>
                      </w:txbxContent>
                    </wps:txbx>
                    <wps:bodyPr rot="0" spcFirstLastPara="0" vertOverflow="overflow" horzOverflow="overflow" vert="horz" wrap="square" lIns="0" tIns="0" rIns="0" bIns="0" numCol="1" anchor="t" upright="0">
                      <a:noAutofit/>
                    </wps:bodyPr>
                  </wps:wsp>
                </a:graphicData>
              </a:graphic>
            </wp:anchor>
          </w:drawing>
        </mc:Choice>
        <mc:Fallback>
          <w:pict>
            <v:rect id="Shape 25" o:spid="_x0000_s1026" o:spt="1" style="position:absolute;left:0pt;margin-top:786.9pt;height:13.05pt;width:15.8pt;mso-position-horizontal:center;mso-position-horizontal-relative:margin;mso-position-vertical-relative:page;z-index:251661312;mso-width-relative:page;mso-height-relative:page;" filled="f" stroked="f" coordsize="21600,21600" o:gfxdata="UEsDBAoAAAAAAIdO4kAAAAAAAAAAAAAAAAAEAAAAZHJzL1BLAwQUAAAACACHTuJA5CzR49gAAAAJ AQAADwAAAGRycy9kb3ducmV2LnhtbE2PzU7DMBCE70i8g7VI3KgTKkod4lSIH5VjaZEKNzdekgh7 HcVuU3h6tic47sxodr5ycfROHHCIXSAN+SQDgVQH21Gj4W3zfDUHEZMha1wg1PCNERbV+VlpChtG esXDOjWCSygWRkObUl9IGesWvYmT0COx9xkGbxKfQyPtYEYu905eZ9lMetMRf2hNjw8t1l/rvdew nPf37y/hZ2zc08dyu9qqx41KWl9e5NkdiITH9BeG03yeDhVv2oU92SicBgZJrN7cTpmA/Wk+A7E7 KUopkFUp/xNUv1BLAwQUAAAACACHTuJArAHUAegBAADnAwAADgAAAGRycy9lMm9Eb2MueG1srVNN b9swDL0P2H8QdF+cDzQdjDjFsCDDgGIN0O0HKLIUC7BEjZJjZ79+lOykQ7dDD7vIFEk/8j1Sm4fB tuysMBhwFV/M5pwpJ6E27lTxH9/3Hz5yFqJwtWjBqYpfVOAP2/fvNr0v1RIaaGuFjEBcKHtf8SZG XxZFkI2yIszAK0dBDWhFpCueihpFT+i2LZbz+broAWuPIFUI5N2NQT4h4lsAQWsj1Q5kZ5WLIyqq VkSiFBrjA9/mbrVWMj5pHVRkbcWJacwnFSH7mM5iuxHlCYVvjJxaEG9p4RUnK4yjojeonYiCdWj+ grJGIgTQcSbBFiORrAixWMxfafPcCK8yF5I6+Jvo4f/Bym/nAzJT0yas7lekihOWhp4rs+Vd0qf3 oaS0Z3/A6RbITGQHjTZ9iQYbsqaXm6ZqiEySM418TbiSQov13f0qYxYvP3sM8YsCy5JRcaSRZSXF +TFEKkip15RUy8HetG3yp77GTpIVh+MwtXeE+kKkEMZpBy/3hrAfRYgHgTReaoceQHyiQ7fQVxwm i7MG8Ne//CmfVKcoZz2tS8XDz06g4qz96mgeBBmvBl6N49Vwnf0MtIELzoSThFLxyFnn0Zya3OTI 7FMXQZtMOlEaeUxMaf5Zi2lX04L9ec9ZL+9z+xtQSwMECgAAAAAAh07iQAAAAAAAAAAAAAAAAAYA AABfcmVscy9QSwMEFAAAAAgAh07iQIoUZjzRAAAAlAEAAAsAAABfcmVscy8ucmVsc6WQwWrDMAyG 74O9g9F9cZrDGKNOL6PQa+kewNiKYxpbRjLZ+vbzDoNl9LajfqHvE//+8JkWtSJLpGxg1/WgMDvy MQcD75fj0wsoqTZ7u1BGAzcUOIyPD/szLra2I5ljEdUoWQzMtZZXrcXNmKx0VDC3zUScbG0jB12s u9qAeuj7Z82/GTBumOrkDfDJD6Aut9LMf9gpOiahqXaOkqZpiu4eVQe2ZY7uyDbhG7lGsxywGvAs GgdqWdd+BH1fv/un3tNHPuO61X6HjOuPV2+6HL8AUEsDBBQAAAAIAIdO4kB+5uUg9wAAAOEBAAAT AAAAW0NvbnRlbnRfVHlwZXNdLnhtbJWRQU7DMBBF90jcwfIWJU67QAgl6YK0S0CoHGBkTxKLZGx5 TGhvj5O2G0SRWNoz/78nu9wcxkFMGNg6quQqL6RA0s5Y6ir5vt9lD1JwBDIwOMJKHpHlpr69KfdH jyxSmriSfYz+USnWPY7AufNIadK6MEJMx9ApD/oDOlTrorhX2lFEilmcO2RdNtjC5xDF9pCuTyYB B5bi6bQ4syoJ3g9WQ0ymaiLzg5KdCXlKLjvcW893SUOqXwnz5DrgnHtJTxOsQfEKIT7DmDSUCayM +6KAU/53yWw5cuba1mrMm8BNir3hdLG61o5r1zj93/Ltkrp0q+WD6m9QSwECFAAUAAAACACHTuJA fublIPcAAADhAQAAEwAAAAAAAAABACAAAABZBAAAW0NvbnRlbnRfVHlwZXNdLnhtbFBLAQIUAAoA AAAAAIdO4kAAAAAAAAAAAAAAAAAGAAAAAAAAAAAAEAAAADsDAABfcmVscy9QSwECFAAUAAAACACH TuJAihRmPNEAAACUAQAACwAAAAAAAAABACAAAABfAwAAX3JlbHMvLnJlbHNQSwECFAAKAAAAAACH TuJAAAAAAAAAAAAAAAAABAAAAAAAAAAAABAAAAAAAAAAZHJzL1BLAQIUABQAAAAIAIdO4kDkLNHj 2AAAAAkBAAAPAAAAAAAAAAEAIAAAACIAAABkcnMvZG93bnJldi54bWxQSwECFAAUAAAACACHTuJA rAHUAegBAADnAwAADgAAAAAAAAABACAAAAAnAQAAZHJzL2Uyb0RvYy54bWxQSwUGAAAAAAYABgBZ AQAAgQUAAAAA ">
              <v:fill on="f" focussize="0,0"/>
              <v:stroke on="f"/>
              <v:imagedata o:title=""/>
              <o:lock v:ext="edit" aspectratio="f"/>
              <v:textbox inset="0mm,0mm,0mm,0mm">
                <w:txbxContent>
                  <w:p>
                    <w:pPr>
                      <w:pStyle w:val="23"/>
                    </w:pPr>
                    <w:r>
                      <w:fldChar w:fldCharType="begin"/>
                    </w:r>
                    <w:r>
                      <w:instrText xml:space="preserve">PAGE   \* MERGEFORMAT</w:instrText>
                    </w:r>
                    <w:r>
                      <w:fldChar w:fldCharType="separate"/>
                    </w:r>
                    <w:r>
                      <w:rPr>
                        <w:lang w:val="zh-CN" w:eastAsia="zh-CN"/>
                      </w:rP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3729"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3"/>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 AQAADwAAAGRycy9kb3ducmV2LnhtbE2PzU7DMBCE70i8g7VIXBC1k9KfhDg9IPWGhBo4lJubLHEg Xkex2xSenu0JbjOa0ey3xebsenHCMXSeNCQzBQKp9k1HrYa31+39GkSIhhrTe0IN3xhgU15fFSZv /EQ7PFWxFTxCITcabIxDLmWoLToTZn5A4uzDj85EtmMrm9FMPO56mSq1lM50xBesGfDJYv1VHZ2G 7cu+Q/qRu7tsPfnPOn2v7POg9e1Noh5BRDzHvzJc8BkdSmY6+CM1QfTsH+YLZo+ssmQF4lJZpKs5 iIOGVGUKZFnI/1+Uv1BLAwQUAAAACACHTuJABAGpresBAADmAwAADgAAAGRycy9lMm9Eb2MueG1s rVNNj9MwEL0j8R8s32mSokI3arpCVEVIK7bSwg9wHaexFH8w4zQpv56xk3bRwmEPXNzn8fTNvDeT zf1oOnZWgNrZiheLnDNlpau1PVX8x/f9uzVnGIStReesqvhFIb/fvn2zGXyplq51Xa2AEYnFcvAV b0PwZZahbJURuHBeWXpsHBgR6AqnrAYxELvpsmWef8gGB7UHJxUiRXfTI58Z4TWErmm0VDsne6Ns mFhBdSKQJGy1R75N3TaNkuGxaVAF1lWclIZ0UhHCx3hm240oTyB8q+XcgnhNCy80GaEtFb1R7UQQ rAf9F5XREhy6JiykM9kkJDlCKor8hTdPrfAqaSGr0d9Mx/9HK7+dD8B0TZvw/uPyjjMrDA09VWar aM/gsaSsJ3+A+YYEo9axARN/SQUbk6WXm6VqDExScLUu8uWKM0lPRX63XiXO7PnPHjB8Uc6wCCoO NLFkpDg/YKCClHpNibWs2+uui/HY19RJRGE8jnN7R1dfSBO4adjo5V4T94PAcBBA06XZ0/6HRzqa zg0VdzPirHXw61/xmE+m0ytnA21LxfFnL0Bx1n21NI64WlcAV3C8Atubz44WsOBMWEksFQ+c9R70 qU1NRmXoP/WB1CXRUdKkY1ZK409ezKsa9+vPe8p6/jy3vwFQSwMECgAAAAAAh07iQAAAAAAAAAAA AAAAAAYAAABfcmVscy9QSwMEFAAAAAgAh07iQIoUZjzRAAAAlAEAAAsAAABfcmVscy8ucmVsc6WQ wWrDMAyG74O9g9F9cZrDGKNOL6PQa+kewNiKYxpbRjLZ+vbzDoNl9LajfqHvE//+8JkWtSJLpGxg 1/WgMDvyMQcD75fj0wsoqTZ7u1BGAzcUOIyPD/szLra2I5ljEdUoWQzMtZZXrcXNmKx0VDC3zUSc bG0jB12su9qAeuj7Z82/GTBumOrkDfDJD6Aut9LMf9gpOiahqXaOkqZpiu4eVQe2ZY7uyDbhG7lG sxywGvAsGgdqWdd+BH1fv/un3tNHPuO61X6HjOuPV2+6HL8AUEsDBBQAAAAIAIdO4kB+5uUg9wAA AOEBAAATAAAAW0NvbnRlbnRfVHlwZXNdLnhtbJWRQU7DMBBF90jcwfIWJU67QAgl6YK0S0CoHGBk TxKLZGx5TGhvj5O2G0SRWNoz/78nu9wcxkFMGNg6quQqL6RA0s5Y6ir5vt9lD1JwBDIwOMJKHpHl pr69KfdHjyxSmriSfYz+USnWPY7AufNIadK6MEJMx9ApD/oDOlTrorhX2lFEilmcO2RdNtjC5xDF 9pCuTyYBB5bi6bQ4syoJ3g9WQ0ymaiLzg5KdCXlKLjvcW893SUOqXwnz5DrgnHtJTxOsQfEKIT7D mDSUCayM+6KAU/53yWw5cuba1mrMm8BNir3hdLG61o5r1zj93/Ltkrp0q+WD6m9QSwECFAAUAAAA CACHTuJAfublIPcAAADhAQAAEwAAAAAAAAABACAAAABfBAAAW0NvbnRlbnRfVHlwZXNdLnhtbFBL AQIUAAoAAAAAAIdO4kAAAAAAAAAAAAAAAAAGAAAAAAAAAAAAEAAAAEEDAABfcmVscy9QSwECFAAU AAAACACHTuJAihRmPNEAAACUAQAACwAAAAAAAAABACAAAABlAwAAX3JlbHMvLnJlbHNQSwECFAAK AAAAAACHTuJAAAAAAAAAAAAAAAAABAAAAAAAAAAAABAAAAAAAAAAZHJzL1BLAQIUABQAAAAIAIdO 4kCYwIsR2wAAAA0BAAAPAAAAAAAAAAEAIAAAACIAAABkcnMvZG93bnJldi54bWxQSwECFAAUAAAA CACHTuJABAGpresBAADmAwAADgAAAAAAAAABACAAAAAqAQAAZHJzL2Uyb0RvYy54bWxQSwUGAAAA AAYABgBZAQAAhwUAAAAA ">
              <v:fill on="f" focussize="0,0"/>
              <v:stroke on="f"/>
              <v:imagedata o:title=""/>
              <o:lock v:ext="edit" aspectratio="f"/>
              <v:textbox inset="0mm,0mm,0mm,0mm" style="mso-fit-shape-to-text:t;">
                <w:txbxContent>
                  <w:p>
                    <w:pPr>
                      <w:pStyle w:val="23"/>
                    </w:pP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1" w:edit="comments" w:salt="niqo8gpZZiTAG0uSX5DhfQ==" w:hash="Z2Dbgm0xO45FtqUN5zNVvYTYw5ksm5kajdIFN88KcGX+epYbxvj61flN7T6BiTebtBy+9KGNhvZj201kBJxS/Q==" w:cryptSpinCount="100000" w:cryptAlgorithmType="typeAny" w:cryptAlgorithmClass="hash" w:cryptProviderType="rsaAES" w:cryptAlgorithmSid="14"/>
  <w:defaultTabStop w:val="420"/>
  <w:drawingGridHorizontalSpacing w:val="181"/>
  <w:drawingGridVerticalSpacing w:val="181"/>
  <w:noPunctuationKerning w:val="1"/>
  <w:characterSpacingControl w:val="compressPunctuation"/>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iOTZkYjkwN2Q1MTBhY2U1NDI3ZmEwNzcyMDM4OGMifQ=="/>
  </w:docVars>
  <w:rsids>
    <w:rsidRoot w:val="00000000"/>
    <w:rsid w:val="7BEBC7AC"/>
    <w:rsid w:val="C2FFD4E6"/>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style>
  <w:style w:type="paragraph" w:styleId="5">
    <w:name w:val="footer"/>
    <w:basedOn w:val="1"/>
    <w:qFormat/>
    <w:uiPriority w:val="0"/>
    <w:pPr>
      <w:tabs>
        <w:tab w:val="center" w:pos="4153"/>
        <w:tab w:val="right" w:pos="8306"/>
      </w:tabs>
      <w:snapToGrid w:val="0"/>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7">
    <w:name w:val="Normal (Web)"/>
    <w:basedOn w:val="1"/>
    <w:qFormat/>
    <w:uiPriority w:val="0"/>
    <w:pPr>
      <w:spacing w:beforeAutospacing="1" w:afterAutospacing="1"/>
      <w:jc w:val="left"/>
    </w:pPr>
    <w:rPr>
      <w:rFonts w:cs="Times New Roman"/>
      <w:kern w:val="0"/>
      <w:sz w:val="24"/>
      <w:szCs w:val="24"/>
    </w:rPr>
  </w:style>
  <w:style w:type="table" w:styleId="9">
    <w:name w:val="Table Grid"/>
    <w:basedOn w:val="8"/>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annotation reference"/>
    <w:basedOn w:val="10"/>
    <w:qFormat/>
    <w:uiPriority w:val="0"/>
    <w:rPr>
      <w:sz w:val="21"/>
      <w:szCs w:val="21"/>
    </w:rPr>
  </w:style>
  <w:style w:type="character" w:customStyle="1" w:styleId="12">
    <w:name w:val="Body text|5_"/>
    <w:basedOn w:val="10"/>
    <w:qFormat/>
    <w:uiPriority w:val="0"/>
    <w:rPr>
      <w:rFonts w:ascii="宋体" w:hAnsi="宋体" w:eastAsia="宋体" w:cs="宋体"/>
      <w:sz w:val="54"/>
      <w:szCs w:val="54"/>
      <w:u w:val="none"/>
      <w:shd w:val="clear" w:color="auto" w:fill="auto"/>
      <w:lang w:val="zh-TW" w:eastAsia="zh-TW" w:bidi="zh-TW"/>
    </w:rPr>
  </w:style>
  <w:style w:type="paragraph" w:customStyle="1" w:styleId="13">
    <w:name w:val="Body text|5"/>
    <w:basedOn w:val="1"/>
    <w:qFormat/>
    <w:uiPriority w:val="0"/>
    <w:pPr>
      <w:jc w:val="center"/>
    </w:pPr>
    <w:rPr>
      <w:rFonts w:ascii="宋体" w:hAnsi="宋体" w:eastAsia="宋体" w:cs="宋体"/>
      <w:sz w:val="54"/>
      <w:szCs w:val="54"/>
      <w:lang w:val="zh-TW" w:eastAsia="zh-TW" w:bidi="zh-TW"/>
    </w:rPr>
  </w:style>
  <w:style w:type="character" w:customStyle="1" w:styleId="14">
    <w:name w:val="Heading #1|1_"/>
    <w:basedOn w:val="10"/>
    <w:qFormat/>
    <w:uiPriority w:val="0"/>
    <w:rPr>
      <w:rFonts w:ascii="宋体" w:hAnsi="宋体" w:eastAsia="宋体" w:cs="宋体"/>
      <w:sz w:val="44"/>
      <w:szCs w:val="44"/>
      <w:u w:val="none"/>
      <w:shd w:val="clear" w:color="auto" w:fill="auto"/>
      <w:lang w:val="zh-TW" w:eastAsia="zh-TW" w:bidi="zh-TW"/>
    </w:rPr>
  </w:style>
  <w:style w:type="paragraph" w:customStyle="1" w:styleId="15">
    <w:name w:val="Heading #1|1"/>
    <w:basedOn w:val="1"/>
    <w:qFormat/>
    <w:uiPriority w:val="0"/>
    <w:pPr>
      <w:spacing w:after="400"/>
      <w:jc w:val="center"/>
      <w:outlineLvl w:val="0"/>
    </w:pPr>
    <w:rPr>
      <w:rFonts w:ascii="宋体" w:hAnsi="宋体" w:eastAsia="宋体" w:cs="宋体"/>
      <w:sz w:val="44"/>
      <w:szCs w:val="44"/>
      <w:lang w:val="zh-TW" w:eastAsia="zh-TW" w:bidi="zh-TW"/>
    </w:rPr>
  </w:style>
  <w:style w:type="character" w:customStyle="1" w:styleId="16">
    <w:name w:val="Header or footer|2_"/>
    <w:basedOn w:val="10"/>
    <w:qFormat/>
    <w:uiPriority w:val="0"/>
    <w:rPr>
      <w:sz w:val="20"/>
      <w:szCs w:val="20"/>
      <w:u w:val="none"/>
      <w:shd w:val="clear" w:color="auto" w:fill="auto"/>
      <w:lang w:val="zh-TW" w:eastAsia="zh-TW" w:bidi="zh-TW"/>
    </w:rPr>
  </w:style>
  <w:style w:type="paragraph" w:customStyle="1" w:styleId="17">
    <w:name w:val="Header or footer|2"/>
    <w:basedOn w:val="1"/>
    <w:qFormat/>
    <w:uiPriority w:val="0"/>
    <w:rPr>
      <w:sz w:val="20"/>
      <w:szCs w:val="20"/>
      <w:lang w:val="zh-TW" w:eastAsia="zh-TW" w:bidi="zh-TW"/>
    </w:rPr>
  </w:style>
  <w:style w:type="character" w:customStyle="1" w:styleId="18">
    <w:name w:val="Body text|2_"/>
    <w:basedOn w:val="10"/>
    <w:qFormat/>
    <w:uiPriority w:val="0"/>
    <w:rPr>
      <w:rFonts w:ascii="宋体" w:hAnsi="宋体" w:eastAsia="宋体" w:cs="宋体"/>
      <w:sz w:val="32"/>
      <w:szCs w:val="32"/>
      <w:u w:val="none"/>
      <w:shd w:val="clear" w:color="auto" w:fill="auto"/>
      <w:lang w:val="zh-TW" w:eastAsia="zh-TW" w:bidi="zh-TW"/>
    </w:rPr>
  </w:style>
  <w:style w:type="paragraph" w:customStyle="1" w:styleId="19">
    <w:name w:val="Body text|2"/>
    <w:basedOn w:val="1"/>
    <w:qFormat/>
    <w:uiPriority w:val="0"/>
    <w:pPr>
      <w:spacing w:after="240"/>
      <w:ind w:firstLine="560"/>
    </w:pPr>
    <w:rPr>
      <w:rFonts w:ascii="宋体" w:hAnsi="宋体" w:eastAsia="宋体" w:cs="宋体"/>
      <w:sz w:val="32"/>
      <w:szCs w:val="32"/>
      <w:lang w:val="zh-TW" w:eastAsia="zh-TW" w:bidi="zh-TW"/>
    </w:rPr>
  </w:style>
  <w:style w:type="character" w:customStyle="1" w:styleId="20">
    <w:name w:val="Body text|1_"/>
    <w:basedOn w:val="10"/>
    <w:qFormat/>
    <w:uiPriority w:val="0"/>
    <w:rPr>
      <w:rFonts w:ascii="宋体" w:hAnsi="宋体" w:eastAsia="宋体" w:cs="宋体"/>
      <w:sz w:val="28"/>
      <w:szCs w:val="28"/>
      <w:u w:val="none"/>
      <w:shd w:val="clear" w:color="auto" w:fill="auto"/>
      <w:lang w:val="zh-TW" w:eastAsia="zh-TW" w:bidi="zh-TW"/>
    </w:rPr>
  </w:style>
  <w:style w:type="paragraph" w:customStyle="1" w:styleId="21">
    <w:name w:val="Body text|1"/>
    <w:basedOn w:val="1"/>
    <w:qFormat/>
    <w:uiPriority w:val="0"/>
    <w:pPr>
      <w:spacing w:line="468" w:lineRule="auto"/>
      <w:ind w:firstLine="400"/>
    </w:pPr>
    <w:rPr>
      <w:rFonts w:ascii="宋体" w:hAnsi="宋体" w:eastAsia="宋体" w:cs="宋体"/>
      <w:sz w:val="28"/>
      <w:szCs w:val="28"/>
      <w:lang w:val="zh-TW" w:eastAsia="zh-TW" w:bidi="zh-TW"/>
    </w:rPr>
  </w:style>
  <w:style w:type="character" w:customStyle="1" w:styleId="22">
    <w:name w:val="Header or footer|1_"/>
    <w:basedOn w:val="10"/>
    <w:qFormat/>
    <w:uiPriority w:val="0"/>
    <w:rPr>
      <w:b/>
      <w:bCs/>
      <w:sz w:val="17"/>
      <w:szCs w:val="17"/>
      <w:u w:val="none"/>
      <w:shd w:val="clear" w:color="auto" w:fill="auto"/>
      <w:lang w:val="zh-TW" w:eastAsia="zh-TW" w:bidi="zh-TW"/>
    </w:rPr>
  </w:style>
  <w:style w:type="paragraph" w:customStyle="1" w:styleId="23">
    <w:name w:val="Header or footer|1"/>
    <w:basedOn w:val="1"/>
    <w:qFormat/>
    <w:uiPriority w:val="0"/>
    <w:rPr>
      <w:b/>
      <w:bCs/>
      <w:sz w:val="17"/>
      <w:szCs w:val="17"/>
      <w:lang w:val="zh-TW" w:eastAsia="zh-TW" w:bidi="zh-TW"/>
    </w:rPr>
  </w:style>
  <w:style w:type="character" w:customStyle="1" w:styleId="24">
    <w:name w:val="Heading #2|1_"/>
    <w:basedOn w:val="10"/>
    <w:qFormat/>
    <w:uiPriority w:val="0"/>
    <w:rPr>
      <w:rFonts w:ascii="宋体" w:hAnsi="宋体" w:eastAsia="宋体" w:cs="宋体"/>
      <w:sz w:val="26"/>
      <w:szCs w:val="26"/>
      <w:u w:val="none"/>
      <w:shd w:val="clear" w:color="auto" w:fill="auto"/>
      <w:lang w:val="zh-TW" w:eastAsia="zh-TW" w:bidi="zh-TW"/>
    </w:rPr>
  </w:style>
  <w:style w:type="paragraph" w:customStyle="1" w:styleId="25">
    <w:name w:val="Heading #2|1"/>
    <w:basedOn w:val="1"/>
    <w:qFormat/>
    <w:uiPriority w:val="0"/>
    <w:pPr>
      <w:spacing w:after="230"/>
      <w:jc w:val="center"/>
      <w:outlineLvl w:val="1"/>
    </w:pPr>
    <w:rPr>
      <w:rFonts w:ascii="宋体" w:hAnsi="宋体" w:eastAsia="宋体" w:cs="宋体"/>
      <w:sz w:val="26"/>
      <w:szCs w:val="26"/>
      <w:lang w:val="zh-TW" w:eastAsia="zh-TW" w:bidi="zh-TW"/>
    </w:rPr>
  </w:style>
  <w:style w:type="character" w:customStyle="1" w:styleId="26">
    <w:name w:val="Other|1_"/>
    <w:basedOn w:val="10"/>
    <w:qFormat/>
    <w:uiPriority w:val="0"/>
    <w:rPr>
      <w:rFonts w:ascii="宋体" w:hAnsi="宋体" w:eastAsia="宋体" w:cs="宋体"/>
      <w:sz w:val="28"/>
      <w:szCs w:val="28"/>
      <w:u w:val="none"/>
      <w:shd w:val="clear" w:color="auto" w:fill="auto"/>
      <w:lang w:val="zh-TW" w:eastAsia="zh-TW" w:bidi="zh-TW"/>
    </w:rPr>
  </w:style>
  <w:style w:type="paragraph" w:customStyle="1" w:styleId="27">
    <w:name w:val="Other|1"/>
    <w:basedOn w:val="1"/>
    <w:qFormat/>
    <w:uiPriority w:val="0"/>
    <w:pPr>
      <w:spacing w:line="468" w:lineRule="auto"/>
      <w:ind w:firstLine="400"/>
    </w:pPr>
    <w:rPr>
      <w:rFonts w:ascii="宋体" w:hAnsi="宋体" w:eastAsia="宋体" w:cs="宋体"/>
      <w:sz w:val="28"/>
      <w:szCs w:val="28"/>
      <w:lang w:val="zh-TW" w:eastAsia="zh-TW" w:bidi="zh-TW"/>
    </w:rPr>
  </w:style>
  <w:style w:type="character" w:customStyle="1" w:styleId="28">
    <w:name w:val="Table caption|1_"/>
    <w:basedOn w:val="10"/>
    <w:qFormat/>
    <w:uiPriority w:val="0"/>
    <w:rPr>
      <w:rFonts w:ascii="宋体" w:hAnsi="宋体" w:eastAsia="宋体" w:cs="宋体"/>
      <w:sz w:val="17"/>
      <w:szCs w:val="17"/>
      <w:u w:val="none"/>
      <w:shd w:val="clear" w:color="auto" w:fill="auto"/>
      <w:lang w:val="zh-TW" w:eastAsia="zh-TW" w:bidi="zh-TW"/>
    </w:rPr>
  </w:style>
  <w:style w:type="paragraph" w:customStyle="1" w:styleId="29">
    <w:name w:val="Table caption|1"/>
    <w:basedOn w:val="1"/>
    <w:qFormat/>
    <w:uiPriority w:val="0"/>
    <w:rPr>
      <w:rFonts w:ascii="宋体" w:hAnsi="宋体" w:eastAsia="宋体" w:cs="宋体"/>
      <w:sz w:val="17"/>
      <w:szCs w:val="17"/>
      <w:lang w:val="zh-TW" w:eastAsia="zh-TW" w:bidi="zh-TW"/>
    </w:rPr>
  </w:style>
  <w:style w:type="character" w:customStyle="1" w:styleId="30">
    <w:name w:val="Body text|4_"/>
    <w:basedOn w:val="10"/>
    <w:qFormat/>
    <w:uiPriority w:val="0"/>
    <w:rPr>
      <w:rFonts w:ascii="宋体" w:hAnsi="宋体" w:eastAsia="宋体" w:cs="宋体"/>
      <w:sz w:val="17"/>
      <w:szCs w:val="17"/>
      <w:u w:val="none"/>
      <w:shd w:val="clear" w:color="auto" w:fill="auto"/>
      <w:lang w:val="zh-TW" w:eastAsia="zh-TW" w:bidi="zh-TW"/>
    </w:rPr>
  </w:style>
  <w:style w:type="paragraph" w:customStyle="1" w:styleId="31">
    <w:name w:val="Body text|4"/>
    <w:basedOn w:val="1"/>
    <w:qFormat/>
    <w:uiPriority w:val="0"/>
    <w:pPr>
      <w:ind w:firstLine="680"/>
    </w:pPr>
    <w:rPr>
      <w:rFonts w:ascii="宋体" w:hAnsi="宋体" w:eastAsia="宋体" w:cs="宋体"/>
      <w:sz w:val="17"/>
      <w:szCs w:val="17"/>
      <w:lang w:val="zh-TW" w:eastAsia="zh-TW" w:bidi="zh-TW"/>
    </w:rPr>
  </w:style>
  <w:style w:type="character" w:customStyle="1" w:styleId="32">
    <w:name w:val="Body text|3_"/>
    <w:basedOn w:val="10"/>
    <w:qFormat/>
    <w:uiPriority w:val="0"/>
    <w:rPr>
      <w:sz w:val="30"/>
      <w:szCs w:val="30"/>
      <w:u w:val="none"/>
      <w:shd w:val="clear" w:color="auto" w:fill="auto"/>
      <w:lang w:val="zh-TW" w:eastAsia="zh-TW" w:bidi="zh-TW"/>
    </w:rPr>
  </w:style>
  <w:style w:type="paragraph" w:customStyle="1" w:styleId="33">
    <w:name w:val="Body text|3"/>
    <w:basedOn w:val="1"/>
    <w:qFormat/>
    <w:uiPriority w:val="0"/>
    <w:pPr>
      <w:spacing w:after="140" w:line="336" w:lineRule="auto"/>
      <w:ind w:firstLine="370"/>
    </w:pPr>
    <w:rPr>
      <w:sz w:val="30"/>
      <w:szCs w:val="30"/>
      <w:lang w:val="zh-TW" w:eastAsia="zh-TW" w:bidi="zh-TW"/>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4.xml" Type="http://schemas.openxmlformats.org/officeDocument/2006/relationships/footer"/><Relationship Id="rId11" Target="theme/theme1.xml" Type="http://schemas.openxmlformats.org/officeDocument/2006/relationships/theme"/><Relationship Id="rId12" Target="../customXml/item1.xml" Type="http://schemas.openxmlformats.org/officeDocument/2006/relationships/customXml"/><Relationship Id="rId13" Target="../customXml/item2.xml" Type="http://schemas.openxmlformats.org/officeDocument/2006/relationships/customXml"/><Relationship Id="rId14" Target="../customXml/item3.xml" Type="http://schemas.openxmlformats.org/officeDocument/2006/relationships/customXml"/><Relationship Id="rId15" Target="../customXml/item4.xml" Type="http://schemas.openxmlformats.org/officeDocument/2006/relationships/customXml"/><Relationship Id="rId16" Target="fontTable.xml" Type="http://schemas.openxmlformats.org/officeDocument/2006/relationships/fontTable"/><Relationship Id="rId2" Target="settings.xml" Type="http://schemas.openxmlformats.org/officeDocument/2006/relationships/settings"/><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header3.xml" Type="http://schemas.openxmlformats.org/officeDocument/2006/relationships/header"/><Relationship Id="rId8" Target="footer3.xml" Type="http://schemas.openxmlformats.org/officeDocument/2006/relationships/footer"/><Relationship Id="rId9" Target="header4.xml" Type="http://schemas.openxmlformats.org/officeDocument/2006/relationships/header"/></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p:coreProperties xmlns:dc="http://purl.org/dc/elements/1.1/" xmlns:xsi="http://www.w3.org/2001/XMLSchema-instance" xmlns:cp="http://schemas.openxmlformats.org/package/2006/metadata/core-properties" xmlns:dcterms="http://purl.org/dc/terms/">
  <dcterms:created xsi:type="dcterms:W3CDTF">2023-02-07T06:11:00Z</dcterms:created>
  <dc:creator>蔡冬冬</dc:creator>
  <cp:lastModifiedBy>C D D</cp:lastModifiedBy>
  <dcterms:modified xsi:type="dcterms:W3CDTF">2024-03-29T01:48:00Z</dcterms:modified>
  <cp:revision>4</cp:revision>
</cp:coreProperties>
</file>

<file path=customXml/item3.xml><?xml version="1.0" encoding="utf-8"?>
<Properties xmlns:vt="http://schemas.openxmlformats.org/officeDocument/2006/docPropsVTypes" xmlns="http://schemas.openxmlformats.org/officeDocument/2006/extended-properties">
  <Template>Normal.dotm</Template>
  <Pages>15</Pages>
  <Words>1080</Words>
  <Characters>6158</Characters>
  <Lines>51</Lines>
  <Paragraphs>14</Paragraphs>
  <TotalTime>3</TotalTime>
  <ScaleCrop>false</ScaleCrop>
  <LinksUpToDate>false</LinksUpToDate>
  <CharactersWithSpaces>7224</CharactersWithSpaces>
  <Application>WPS Office_12.1.0.16120_F1E327BC-269C-435d-A152-05C5408002CA</Application>
  <DocSecurity>0</DocSecurity>
</Properties>
</file>

<file path=customXml/item4.xml><?xml version="1.0" encoding="utf-8"?>
<Properties xmlns:vt="http://schemas.openxmlformats.org/officeDocument/2006/docPropsVTypes" xmlns="http://schemas.openxmlformats.org/officeDocument/2006/custom-properties">
  <property fmtid="{D5CDD505-2E9C-101B-9397-08002B2CF9AE}" name="KSOProductBuildVer" pid="2">
    <vt:lpwstr>2052-12.1.0.16120</vt:lpwstr>
  </property>
  <property fmtid="{D5CDD505-2E9C-101B-9397-08002B2CF9AE}" name="ICV" pid="3">
    <vt:lpwstr>8218368D2BB04A4CB8137DC01BC0CC08_13</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146d18-6997-4c1b-9f6d-7edeb8c2f45a}">
  <ds:schemaRefs/>
</ds:datastoreItem>
</file>

<file path=customXml/itemProps3.xml><?xml version="1.0" encoding="utf-8"?>
<ds:datastoreItem xmlns:ds="http://schemas.openxmlformats.org/officeDocument/2006/customXml" ds:itemID="{4be2c00e-0893-4e4b-b46f-238454696280}">
  <ds:schemaRefs/>
</ds:datastoreItem>
</file>

<file path=customXml/itemProps4.xml><?xml version="1.0" encoding="utf-8"?>
<ds:datastoreItem xmlns:ds="http://schemas.openxmlformats.org/officeDocument/2006/customXml" ds:itemID="{7b5d4eb9-a74a-4955-af95-8dd0aafa67f9}">
  <ds:schemaRefs/>
</ds:datastoreItem>
</file>

<file path=docProps/app.xml><?xml version="1.0" encoding="utf-8"?>
<Properties xmlns="http://schemas.openxmlformats.org/officeDocument/2006/extended-properties" xmlns:vt="http://schemas.openxmlformats.org/officeDocument/2006/docPropsVTypes">
  <Pages>15</Pages>
  <Words>1080</Words>
  <Characters>6158</Characters>
  <Lines>51</Lines>
  <Paragraphs>14</Paragraphs>
  <TotalTime>3</TotalTime>
  <ScaleCrop>false</ScaleCrop>
  <LinksUpToDate>false</LinksUpToDate>
  <CharactersWithSpaces>7224</CharactersWithSpaces>
  <Application>WPS Office WWO_base_provider_20240329031516-e5c16e2e25</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2023-02-07T22:11:00Z</dcterms:created>
  <dc:creator>蔡冬冬</dc:creator>
  <cp:lastModifiedBy>C D D</cp:lastModifiedBy>
  <dcterms:modified xsi:type="dcterms:W3CDTF">2024-04-08T21:53:39Z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