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lang w:eastAsia="zh-CN"/>
        </w:rPr>
      </w:pPr>
      <w:r>
        <w:rPr>
          <w:rFonts w:hint="eastAsia" w:ascii="黑体" w:hAnsi="黑体" w:eastAsia="黑体" w:cs="黑体"/>
          <w:lang w:eastAsia="zh-CN"/>
        </w:rPr>
        <w:t>全州县投资促进局</w:t>
      </w:r>
    </w:p>
    <w:p>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szCs w:val="32"/>
        </w:rPr>
        <w:sectPr>
          <w:headerReference r:id="rId4" w:type="first"/>
          <w:footerReference r:id="rId6" w:type="first"/>
          <w:headerReference r:id="rId3" w:type="default"/>
          <w:footerReference r:id="rId5" w:type="default"/>
          <w:pgSz w:w="11900" w:h="16840"/>
          <w:pgMar w:top="4713" w:right="1913" w:bottom="4713" w:left="2020" w:header="4285" w:footer="4285" w:gutter="0"/>
          <w:pgNumType w:fmt="decimal" w:start="1"/>
          <w:cols w:space="720" w:num="1"/>
          <w:titlePg/>
          <w:docGrid w:linePitch="360" w:charSpace="0"/>
        </w:sectPr>
      </w:pPr>
      <w:r>
        <w:rPr>
          <w:rFonts w:hint="eastAsia" w:ascii="黑体" w:hAnsi="黑体" w:eastAsia="黑体" w:cs="黑体"/>
          <w:lang w:val="en-US" w:eastAsia="zh-CN"/>
        </w:rPr>
        <w:t>2024</w:t>
      </w:r>
      <w:r>
        <w:rPr>
          <w:rFonts w:hint="eastAsia" w:ascii="黑体" w:hAnsi="黑体" w:eastAsia="黑体" w:cs="黑体"/>
        </w:rPr>
        <w:t>年度部门预算</w:t>
      </w:r>
    </w:p>
    <w:p>
      <w:pPr>
        <w:pStyle w:val="15"/>
        <w:keepNext/>
        <w:keepLines/>
        <w:pageBreakBefore w:val="0"/>
        <w:kinsoku/>
        <w:wordWrap/>
        <w:overflowPunct/>
        <w:topLinePunct w:val="0"/>
        <w:autoSpaceDE/>
        <w:autoSpaceDN/>
        <w:bidi w:val="0"/>
        <w:adjustRightInd/>
        <w:snapToGrid/>
        <w:spacing w:after="240" w:line="360" w:lineRule="auto"/>
        <w:textAlignment w:val="auto"/>
        <w:rPr>
          <w:sz w:val="32"/>
          <w:szCs w:val="32"/>
        </w:rPr>
      </w:pPr>
      <w:bookmarkStart w:id="0" w:name="bookmark2"/>
      <w:bookmarkStart w:id="1" w:name="bookmark1"/>
      <w:bookmarkStart w:id="2" w:name="bookmark0"/>
      <w:r>
        <w:rPr>
          <w:sz w:val="32"/>
          <w:szCs w:val="32"/>
        </w:rPr>
        <w:t>目录</w:t>
      </w:r>
      <w:bookmarkEnd w:id="0"/>
      <w:bookmarkEnd w:id="1"/>
      <w:bookmarkEnd w:id="2"/>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eastAsia="zh-CN"/>
        </w:rPr>
        <w:t>：</w:t>
      </w:r>
      <w:r>
        <w:rPr>
          <w:rFonts w:ascii="黑体" w:hAnsi="黑体" w:eastAsia="黑体" w:cs="黑体"/>
          <w:sz w:val="32"/>
          <w:u w:color="auto"/>
        </w:rPr>
        <w:t>全州县投资促进局</w:t>
      </w:r>
      <w:r>
        <w:rPr>
          <w:rFonts w:hint="eastAsia" w:ascii="黑体" w:hAnsi="黑体" w:eastAsia="黑体" w:cs="黑体"/>
          <w:sz w:val="32"/>
          <w:szCs w:val="32"/>
        </w:rPr>
        <w:t>概况</w:t>
      </w:r>
    </w:p>
    <w:p>
      <w:pPr>
        <w:pStyle w:val="19"/>
        <w:pageBreakBefore w:val="0"/>
        <w:kinsoku/>
        <w:wordWrap/>
        <w:overflowPunct/>
        <w:topLinePunct w:val="0"/>
        <w:autoSpaceDE/>
        <w:autoSpaceDN/>
        <w:bidi w:val="0"/>
        <w:adjustRightInd/>
        <w:snapToGrid/>
        <w:spacing w:line="360" w:lineRule="auto"/>
        <w:jc w:val="left"/>
        <w:textAlignment w:val="auto"/>
        <w:rPr>
          <w:sz w:val="32"/>
          <w:szCs w:val="32"/>
        </w:rPr>
      </w:pPr>
      <w:r>
        <w:rPr>
          <w:rFonts w:hint="eastAsia"/>
          <w:sz w:val="32"/>
          <w:szCs w:val="32"/>
          <w:lang w:val="en-US" w:eastAsia="zh-CN"/>
        </w:rPr>
        <w:t>一</w:t>
      </w:r>
      <w:r>
        <w:rPr>
          <w:sz w:val="32"/>
          <w:szCs w:val="32"/>
        </w:rPr>
        <w:t>、主要</w:t>
      </w:r>
      <w:r>
        <w:rPr>
          <w:rFonts w:hint="eastAsia"/>
          <w:sz w:val="32"/>
          <w:szCs w:val="32"/>
          <w:lang w:val="en-US" w:eastAsia="zh-CN"/>
        </w:rPr>
        <w:t>职能</w:t>
      </w:r>
      <w:r>
        <w:rPr>
          <w:sz w:val="32"/>
          <w:szCs w:val="32"/>
        </w:rPr>
        <w:t>职责</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eastAsia"/>
          <w:sz w:val="32"/>
          <w:szCs w:val="32"/>
          <w:lang w:val="en-US" w:eastAsia="zh-CN"/>
        </w:rPr>
        <w:t>二、机构设置（</w:t>
      </w:r>
      <w:r>
        <w:rPr>
          <w:rFonts w:hint="default"/>
          <w:sz w:val="32"/>
          <w:szCs w:val="32"/>
          <w:lang w:val="en-US" w:eastAsia="zh-CN"/>
        </w:rPr>
        <w:t>本级和二层单位</w:t>
      </w:r>
      <w:r>
        <w:rPr>
          <w:rFonts w:hint="eastAsia"/>
          <w:sz w:val="32"/>
          <w:szCs w:val="32"/>
          <w:lang w:val="en-US" w:eastAsia="zh-CN"/>
        </w:rPr>
        <w:t>构成）</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三、编制现状及人员构成</w:t>
      </w:r>
      <w:r>
        <w:rPr>
          <w:rFonts w:hint="eastAsia"/>
          <w:sz w:val="32"/>
          <w:szCs w:val="32"/>
          <w:lang w:val="en-US" w:eastAsia="zh-CN"/>
        </w:rPr>
        <w:t>（</w:t>
      </w:r>
      <w:r>
        <w:rPr>
          <w:rFonts w:hint="default"/>
          <w:sz w:val="32"/>
          <w:szCs w:val="32"/>
          <w:lang w:val="en-US" w:eastAsia="zh-CN"/>
        </w:rPr>
        <w:t>本级和二层单位</w:t>
      </w:r>
      <w:r>
        <w:rPr>
          <w:rFonts w:hint="eastAsia"/>
          <w:sz w:val="32"/>
          <w:szCs w:val="32"/>
          <w:lang w:val="en-US" w:eastAsia="zh-CN"/>
        </w:rPr>
        <w:t>）</w:t>
      </w:r>
    </w:p>
    <w:p>
      <w:pPr>
        <w:pStyle w:val="19"/>
        <w:pageBreakBefore w:val="0"/>
        <w:kinsoku/>
        <w:wordWrap/>
        <w:overflowPunct/>
        <w:topLinePunct w:val="0"/>
        <w:autoSpaceDE/>
        <w:autoSpaceDN/>
        <w:bidi w:val="0"/>
        <w:adjustRightInd/>
        <w:snapToGrid/>
        <w:spacing w:line="360" w:lineRule="auto"/>
        <w:jc w:val="left"/>
        <w:textAlignment w:val="auto"/>
        <w:rPr>
          <w:rFonts w:hint="eastAsia"/>
          <w:sz w:val="32"/>
          <w:szCs w:val="32"/>
          <w:lang w:val="en-US" w:eastAsia="zh-CN"/>
        </w:rPr>
      </w:pPr>
      <w:r>
        <w:rPr>
          <w:rFonts w:hint="default"/>
          <w:sz w:val="32"/>
          <w:szCs w:val="32"/>
          <w:lang w:val="en-US" w:eastAsia="zh-CN"/>
        </w:rPr>
        <w:t>四、年度主要工作任务</w:t>
      </w:r>
    </w:p>
    <w:p>
      <w:pPr>
        <w:pStyle w:val="19"/>
        <w:pageBreakBefore w:val="0"/>
        <w:kinsoku/>
        <w:wordWrap/>
        <w:overflowPunct/>
        <w:topLinePunct w:val="0"/>
        <w:autoSpaceDE/>
        <w:autoSpaceDN/>
        <w:bidi w:val="0"/>
        <w:adjustRightInd/>
        <w:snapToGrid/>
        <w:spacing w:line="360" w:lineRule="auto"/>
        <w:ind w:firstLine="320" w:firstLineChars="1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第二部分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全州县投资促进局2024</w:t>
      </w:r>
      <w:r>
        <w:rPr>
          <w:rFonts w:hint="eastAsia" w:ascii="黑体" w:hAnsi="黑体" w:eastAsia="黑体" w:cs="黑体"/>
          <w:b w:val="0"/>
          <w:bCs w:val="0"/>
          <w:sz w:val="32"/>
          <w:szCs w:val="32"/>
          <w:lang w:val="en-US" w:eastAsia="zh-CN"/>
        </w:rPr>
        <w:t>年</w:t>
      </w:r>
      <w:r>
        <w:rPr>
          <w:rFonts w:hint="eastAsia" w:ascii="黑体" w:hAnsi="黑体" w:eastAsia="黑体" w:cs="黑体"/>
          <w:b w:val="0"/>
          <w:bCs w:val="0"/>
          <w:sz w:val="32"/>
          <w:szCs w:val="32"/>
        </w:rPr>
        <w:t>部门预算情况说明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一、部门收支总体情况说明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二、部门收入总体情况说明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三、部门支出总体情况说明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四、财政拨款收支总体情况说明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五、一般公共预算支出情况说明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六、一般公共预算基本支出情况说明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八、政府性基金预算支出情况说明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九、国有资本经营预算支出情况说明</w:t>
      </w:r>
    </w:p>
    <w:p>
      <w:pPr>
        <w:pStyle w:val="19"/>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rPr>
        <w:t>十、其他重要事项情况说明</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三</w:t>
      </w:r>
      <w:r>
        <w:rPr>
          <w:b/>
          <w:bCs/>
          <w:sz w:val="32"/>
          <w:szCs w:val="32"/>
        </w:rPr>
        <w:t>部分</w:t>
      </w:r>
      <w:r>
        <w:rPr>
          <w:rFonts w:hint="eastAsia"/>
          <w:b/>
          <w:bCs/>
          <w:sz w:val="32"/>
          <w:szCs w:val="32"/>
        </w:rPr>
        <w:t>：</w:t>
      </w:r>
      <w:r>
        <w:rPr>
          <w:b/>
          <w:bCs/>
          <w:sz w:val="32"/>
          <w:szCs w:val="32"/>
        </w:rPr>
        <w:t>名词</w:t>
      </w:r>
      <w:r>
        <w:rPr>
          <w:rFonts w:hint="eastAsia"/>
          <w:b/>
          <w:bCs/>
          <w:sz w:val="32"/>
          <w:szCs w:val="32"/>
          <w:lang w:val="en-US"/>
        </w:rPr>
        <w:t>解释</w:t>
      </w:r>
    </w:p>
    <w:p>
      <w:pPr>
        <w:pStyle w:val="19"/>
        <w:pageBreakBefore w:val="0"/>
        <w:kinsoku/>
        <w:wordWrap/>
        <w:overflowPunct/>
        <w:topLinePunct w:val="0"/>
        <w:autoSpaceDE/>
        <w:autoSpaceDN/>
        <w:bidi w:val="0"/>
        <w:adjustRightInd/>
        <w:snapToGrid/>
        <w:spacing w:line="360" w:lineRule="auto"/>
        <w:ind w:firstLine="320" w:firstLineChars="100"/>
        <w:textAlignment w:val="auto"/>
        <w:rPr>
          <w:b/>
          <w:bCs/>
          <w:sz w:val="32"/>
          <w:szCs w:val="32"/>
        </w:rPr>
      </w:pPr>
      <w:r>
        <w:rPr>
          <w:b/>
          <w:bCs/>
          <w:sz w:val="32"/>
          <w:szCs w:val="32"/>
        </w:rPr>
        <w:t>第</w:t>
      </w:r>
      <w:r>
        <w:rPr>
          <w:rFonts w:hint="eastAsia"/>
          <w:b/>
          <w:bCs/>
          <w:sz w:val="32"/>
          <w:szCs w:val="32"/>
          <w:lang w:val="en-US"/>
        </w:rPr>
        <w:t>四</w:t>
      </w:r>
      <w:r>
        <w:rPr>
          <w:b/>
          <w:bCs/>
          <w:sz w:val="32"/>
          <w:szCs w:val="32"/>
        </w:rPr>
        <w:t>部分</w:t>
      </w:r>
      <w:r>
        <w:rPr>
          <w:rFonts w:hint="eastAsia"/>
          <w:b/>
          <w:bCs/>
          <w:sz w:val="32"/>
          <w:szCs w:val="32"/>
        </w:rPr>
        <w:t>：</w:t>
      </w:r>
      <w:r>
        <w:rPr>
          <w:b/>
          <w:sz w:val="32"/>
          <w:u w:color="auto"/>
        </w:rPr>
        <w:t>全州县投资促进局2024</w:t>
      </w:r>
      <w:r>
        <w:rPr>
          <w:rFonts w:ascii="Times New Roman" w:hAnsi="Times New Roman" w:cs="Times New Roman"/>
          <w:b/>
          <w:bCs/>
          <w:sz w:val="32"/>
          <w:szCs w:val="32"/>
        </w:rPr>
        <w:t>年</w:t>
      </w:r>
      <w:r>
        <w:rPr>
          <w:b/>
          <w:bCs/>
          <w:sz w:val="32"/>
          <w:szCs w:val="32"/>
        </w:rPr>
        <w:t>部门预算</w:t>
      </w:r>
      <w:r>
        <w:rPr>
          <w:rFonts w:hint="eastAsia"/>
          <w:b/>
          <w:bCs/>
          <w:sz w:val="32"/>
          <w:szCs w:val="32"/>
          <w:lang w:val="en-US"/>
        </w:rPr>
        <w:t>报</w:t>
      </w:r>
      <w:r>
        <w:rPr>
          <w:b/>
          <w:bCs/>
          <w:sz w:val="32"/>
          <w:szCs w:val="32"/>
        </w:rPr>
        <w:t>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一、部门收支总体情况表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二、部门收入总体情况表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三、部门支出总体情况表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四、财政拨款收支总体情况表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五、一般公共预算支出情况表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六、一般公共预算基本支出情况表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七、</w:t>
      </w:r>
      <w:r>
        <w:rPr>
          <w:rFonts w:hint="eastAsia"/>
          <w:sz w:val="32"/>
          <w:szCs w:val="32"/>
          <w:lang w:val="en-US" w:eastAsia="zh-CN"/>
        </w:rPr>
        <w:t>财政拨款</w:t>
      </w:r>
      <w:r>
        <w:rPr>
          <w:rFonts w:hint="eastAsia"/>
          <w:sz w:val="32"/>
          <w:szCs w:val="32"/>
        </w:rPr>
        <w:t>三公经费支出情况表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八、政府性基金预算支出情况表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rPr>
      </w:pPr>
      <w:r>
        <w:rPr>
          <w:rFonts w:hint="eastAsia"/>
          <w:sz w:val="32"/>
          <w:szCs w:val="32"/>
        </w:rPr>
        <w:t>九、国有资本经营预算支出情况表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pPr>
      <w:r>
        <w:rPr>
          <w:rFonts w:hint="eastAsia"/>
          <w:sz w:val="32"/>
          <w:szCs w:val="32"/>
        </w:rPr>
        <w:t>十、2024年度预算项目绩效目标公开表</w:t>
      </w:r>
    </w:p>
    <w:p>
      <w:pPr>
        <w:pStyle w:val="19"/>
        <w:pageBreakBefore w:val="0"/>
        <w:kinsoku/>
        <w:wordWrap/>
        <w:overflowPunct/>
        <w:topLinePunct w:val="0"/>
        <w:autoSpaceDE/>
        <w:autoSpaceDN/>
        <w:bidi w:val="0"/>
        <w:adjustRightInd/>
        <w:snapToGrid/>
        <w:spacing w:line="360" w:lineRule="auto"/>
        <w:textAlignment w:val="auto"/>
        <w:rPr>
          <w:sz w:val="32"/>
          <w:szCs w:val="32"/>
          <w:lang w:eastAsia="zh-CN"/>
        </w:rPr>
        <w:sectPr>
          <w:headerReference r:id="rId7" w:type="default"/>
          <w:footerReference r:id="rId8" w:type="default"/>
          <w:pgSz w:w="11900" w:h="16840"/>
          <w:pgMar w:top="1508" w:right="1674" w:bottom="1508" w:left="1851" w:header="1080" w:footer="3" w:gutter="0"/>
          <w:pgNumType w:fmt="decimal"/>
          <w:cols w:space="720" w:num="1"/>
          <w:docGrid w:linePitch="360" w:charSpace="0"/>
        </w:sectPr>
      </w:pPr>
    </w:p>
    <w:p>
      <w:pPr>
        <w:pStyle w:val="15"/>
        <w:keepNext/>
        <w:keepLines/>
        <w:pageBreakBefore w:val="0"/>
        <w:kinsoku/>
        <w:wordWrap/>
        <w:overflowPunct/>
        <w:topLinePunct w:val="0"/>
        <w:autoSpaceDE/>
        <w:autoSpaceDN/>
        <w:bidi w:val="0"/>
        <w:adjustRightInd/>
        <w:snapToGrid/>
        <w:spacing w:after="560" w:line="360" w:lineRule="auto"/>
        <w:jc w:val="both"/>
        <w:textAlignment w:val="auto"/>
        <w:rPr>
          <w:sz w:val="32"/>
          <w:szCs w:val="32"/>
        </w:rPr>
      </w:pPr>
      <w:bookmarkStart w:id="3" w:name="bookmark14"/>
      <w:bookmarkStart w:id="4" w:name="bookmark13"/>
      <w:bookmarkStart w:id="5" w:name="bookmark12"/>
    </w:p>
    <w:p>
      <w:pPr>
        <w:pStyle w:val="15"/>
        <w:keepNext/>
        <w:keepLines/>
        <w:pageBreakBefore w:val="0"/>
        <w:kinsoku/>
        <w:wordWrap/>
        <w:overflowPunct/>
        <w:topLinePunct w:val="0"/>
        <w:autoSpaceDE/>
        <w:autoSpaceDN/>
        <w:bidi w:val="0"/>
        <w:adjustRightInd/>
        <w:snapToGrid/>
        <w:spacing w:after="560" w:line="360" w:lineRule="auto"/>
        <w:textAlignment w:val="auto"/>
        <w:rPr>
          <w:b/>
          <w:bCs/>
          <w:sz w:val="32"/>
          <w:szCs w:val="32"/>
        </w:rPr>
      </w:pPr>
      <w:r>
        <w:rPr>
          <w:rFonts w:hint="eastAsia" w:ascii="黑体" w:hAnsi="黑体" w:eastAsia="黑体" w:cs="黑体"/>
          <w:b w:val="0"/>
          <w:bCs w:val="0"/>
          <w:sz w:val="32"/>
          <w:szCs w:val="32"/>
        </w:rPr>
        <w:t>第一部分：</w:t>
      </w:r>
      <w:bookmarkEnd w:id="3"/>
      <w:bookmarkEnd w:id="4"/>
      <w:bookmarkEnd w:id="5"/>
      <w:r>
        <w:rPr>
          <w:rFonts w:ascii="黑体" w:hAnsi="黑体" w:eastAsia="黑体" w:cs="黑体"/>
          <w:sz w:val="32"/>
          <w:u w:color="auto"/>
        </w:rPr>
        <w:t>全州县投资促进局概况</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r>
        <w:rPr>
          <w:rFonts w:hint="eastAsia"/>
          <w:b/>
          <w:bCs/>
          <w:sz w:val="32"/>
          <w:szCs w:val="32"/>
          <w:lang w:val="en-US"/>
        </w:rPr>
        <w:t>一、</w:t>
      </w:r>
      <w:r>
        <w:rPr>
          <w:b/>
          <w:bCs/>
          <w:sz w:val="32"/>
          <w:szCs w:val="32"/>
        </w:rPr>
        <w:t>主要</w:t>
      </w:r>
      <w:r>
        <w:rPr>
          <w:rFonts w:hint="eastAsia"/>
          <w:b/>
          <w:bCs/>
          <w:sz w:val="32"/>
          <w:szCs w:val="32"/>
          <w:lang w:val="en-US" w:eastAsia="zh-CN"/>
        </w:rPr>
        <w:t>职能</w:t>
      </w:r>
      <w:r>
        <w:rPr>
          <w:b/>
          <w:bCs/>
          <w:sz w:val="32"/>
          <w:szCs w:val="32"/>
        </w:rPr>
        <w:t>职责</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highlight w:val="yellow"/>
          <w:lang w:val="en-US"/>
        </w:rPr>
      </w:pPr>
      <w:r>
        <w:rPr>
          <w:rFonts w:hint="eastAsia"/>
          <w:sz w:val="32"/>
          <w:szCs w:val="32"/>
          <w:lang w:val="en-US"/>
        </w:rPr>
        <w:t>全州县投资促进局主要职能为：1、贯彻执行国家、自治区、桂林市和县有关投资促进和开放招商的方针政策，承担县招商引资工作领导小组办公室日常工作，联系桂林市投资促进工作管理部门，配合乡村振兴工作2、参与研究拟订全县投资促进发展规划、计划及有关政策措施。研究提出全县投资促进目标任务，报县政府批准后分解下达并组织实施。研究、统计、分析全县投资促进工作情况。3、负责调查、研究全县产业招商、产业转移工作情况，组织、参与开展投资促进活动。建立和管理全县重点招商项目库、企业名录库、实施项目库。承担全县招商引资项目储备工作，会同相关行业主管部门策划、包装、推介招商引资项目。4、指导全县投资促进信息化建设。承担县招商引资绩效考评小组日常工作。5、承担策划、组织实施全县性重大及专题投资促进活动，开展全县产业招商工作，参与中国-东盟博览会投资促进等工作，接洽国(境)内外来访的重要投资考察团组及客商。组织参与全县国(境)内外重要招商引资项目的洽谈、签约、跟踪、服务工作。6、参与做好全县营商环境建设的有关工作，按照相关规定会同开展全县营商环境建设工作专项检查督查。承担县招商引资重点项目协调服务工作。联系指导全县建立招商引资项目代办服务工作。受理涉及全县营商环境建设投诉举报，对投诉举报事项进行分析调查，协调督促相关部门办理。7、协调、服务非公有制经济发展，提供有关咨询。组织开展国(境)内外各类重要展会投资促进工作。8、负责联系和管理驻外招商办事处、代表处，开展投资促进推广和委托招商工作。建立与国(境)内外投资促进机构、商(协)会专业机构的工作联系，构建完善招商引资网络，协调商(协)会组织开展投资促进、以商引商活动。联系、协调、指导驻全州异地商(协)会业务工作。9、贯彻执行国家、自治区有关内外贸易、外资、对外合作等工作的法律法规和政策规定。10、协助主管部门指导商贸服务业发展，提出促进商贸企业发展的政策建议；推进物流配送、电子商务等现代流通方式及商贸领域信息化发展。11、负责成品油流通、汽车流通、报废汽车管理、老旧汽车更新、再生资源回收等相关技术性、事务性工作。12、推进城乡市场发展，指导商业体系建设工作。13、负责监测分析市场运行、商品供求状况，调查分析商品价格信息，进行预测预警和信息引导。14、配合做好全县打击走私相关工作。15、完成县委、县政府交办的其他任务。</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18"/>
        <w:textAlignment w:val="auto"/>
        <w:rPr>
          <w:b/>
          <w:bCs/>
          <w:sz w:val="32"/>
          <w:szCs w:val="32"/>
        </w:rPr>
      </w:pPr>
      <w:bookmarkStart w:id="6" w:name="bookmark24"/>
      <w:r>
        <w:rPr>
          <w:b/>
          <w:bCs/>
          <w:sz w:val="32"/>
          <w:szCs w:val="32"/>
        </w:rPr>
        <w:t>二</w:t>
      </w:r>
      <w:bookmarkEnd w:id="6"/>
      <w:r>
        <w:rPr>
          <w:b/>
          <w:bCs/>
          <w:sz w:val="32"/>
          <w:szCs w:val="32"/>
        </w:rPr>
        <w:t>、</w:t>
      </w:r>
      <w:r>
        <w:rPr>
          <w:b/>
          <w:bCs/>
          <w:sz w:val="32"/>
          <w:szCs w:val="32"/>
        </w:rPr>
        <w:tab/>
      </w:r>
      <w:r>
        <w:rPr>
          <w:rFonts w:hint="eastAsia"/>
          <w:b/>
          <w:bCs/>
          <w:sz w:val="32"/>
          <w:szCs w:val="32"/>
        </w:rPr>
        <w:t>机构设置</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val="en-US" w:eastAsia="zh-CN"/>
        </w:rPr>
        <w:t>构成</w:t>
      </w:r>
      <w:r>
        <w:rPr>
          <w:rFonts w:hint="eastAsia"/>
          <w:b/>
          <w:bCs/>
          <w:color w:val="auto"/>
          <w:sz w:val="32"/>
          <w:szCs w:val="32"/>
          <w:lang w:eastAsia="zh-CN"/>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r>
        <w:rPr>
          <w:rFonts w:hint="eastAsia"/>
          <w:sz w:val="32"/>
          <w:szCs w:val="32"/>
          <w:lang w:val="en-US"/>
        </w:rPr>
        <w:t>。1、独立编制机构2个。本级：全州县投资促进局，单位性质为参照公务员法管理单位。局下属单位：全州县投促商贸服务中心，单位性质为公益一类财政全额拨款事业单位，不定机构规格。2、独立核算机构独立核算机构1个，即全州县投资促进局本级</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eastAsia"/>
          <w:b/>
          <w:bCs/>
          <w:color w:val="auto"/>
          <w:sz w:val="32"/>
          <w:szCs w:val="32"/>
          <w:lang w:eastAsia="zh-CN"/>
        </w:rPr>
      </w:pPr>
      <w:r>
        <w:rPr>
          <w:rFonts w:hint="eastAsia"/>
          <w:b/>
          <w:bCs/>
          <w:color w:val="auto"/>
          <w:sz w:val="32"/>
          <w:szCs w:val="32"/>
          <w:lang w:val="en-US" w:eastAsia="zh-CN"/>
        </w:rPr>
        <w:t>三、</w:t>
      </w:r>
      <w:r>
        <w:rPr>
          <w:rFonts w:hint="default"/>
          <w:b/>
          <w:bCs/>
          <w:color w:val="auto"/>
          <w:sz w:val="32"/>
          <w:szCs w:val="32"/>
        </w:rPr>
        <w:t>编制现状及人员构成</w:t>
      </w:r>
      <w:r>
        <w:rPr>
          <w:rFonts w:hint="eastAsia"/>
          <w:b/>
          <w:bCs/>
          <w:color w:val="auto"/>
          <w:sz w:val="32"/>
          <w:szCs w:val="32"/>
          <w:lang w:eastAsia="zh-CN"/>
        </w:rPr>
        <w:t>（</w:t>
      </w:r>
      <w:r>
        <w:rPr>
          <w:rFonts w:hint="default"/>
          <w:b/>
          <w:bCs/>
          <w:color w:val="auto"/>
          <w:sz w:val="32"/>
          <w:szCs w:val="32"/>
        </w:rPr>
        <w:t>本级和二层单位</w:t>
      </w:r>
      <w:r>
        <w:rPr>
          <w:rFonts w:hint="eastAsia"/>
          <w:b/>
          <w:bCs/>
          <w:color w:val="auto"/>
          <w:sz w:val="32"/>
          <w:szCs w:val="32"/>
          <w:lang w:eastAsia="zh-CN"/>
        </w:rPr>
        <w:t>）</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1、全州县投资促进局本级编制数10个，编制性质均为参照公务员法管理的事业编制，实有人数6人。2、下属单位全州县投促商贸服务中心编制数10个，编制性质为公益一类财政全额拨款事业编制，实有人数7人。3、退休人员1个。</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hint="default" w:ascii="宋体" w:hAnsi="宋体" w:eastAsia="宋体" w:cs="宋体"/>
          <w:b/>
          <w:bCs/>
          <w:color w:val="auto"/>
          <w:kern w:val="0"/>
          <w:sz w:val="32"/>
          <w:szCs w:val="32"/>
          <w:lang w:val="zh-TW" w:eastAsia="zh-TW" w:bidi="zh-TW"/>
        </w:rPr>
      </w:pPr>
      <w:r>
        <w:rPr>
          <w:rFonts w:hint="eastAsia" w:cs="宋体"/>
          <w:b/>
          <w:bCs/>
          <w:color w:val="auto"/>
          <w:kern w:val="0"/>
          <w:sz w:val="32"/>
          <w:szCs w:val="32"/>
          <w:lang w:val="en-US" w:eastAsia="zh-CN" w:bidi="zh-TW"/>
        </w:rPr>
        <w:t>四、</w:t>
      </w:r>
      <w:r>
        <w:rPr>
          <w:rFonts w:hint="default" w:ascii="宋体" w:hAnsi="宋体" w:eastAsia="宋体" w:cs="宋体"/>
          <w:b/>
          <w:bCs/>
          <w:color w:val="auto"/>
          <w:kern w:val="0"/>
          <w:sz w:val="32"/>
          <w:szCs w:val="32"/>
          <w:lang w:val="zh-TW" w:eastAsia="zh-TW" w:bidi="zh-TW"/>
        </w:rPr>
        <w:t>年度主要工作任务</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（一）工作目标完成情况。2023年我县任务要求新签约招商引资项目投资额127亿元，其中制造业最低占比50%；招商引资到位资金70亿元，其中制造业最低占比45%。截</w:t>
      </w:r>
      <w:r>
        <w:rPr>
          <w:rFonts w:hint="eastAsia" w:cs="宋体"/>
          <w:color w:val="auto"/>
          <w:sz w:val="32"/>
          <w:szCs w:val="32"/>
          <w:lang w:val="en-US" w:eastAsia="zh" w:bidi="zh-TW"/>
          <w:woUserID w:val="1"/>
        </w:rPr>
        <w:t>至</w:t>
      </w:r>
      <w:r>
        <w:rPr>
          <w:rFonts w:hint="eastAsia" w:ascii="宋体" w:hAnsi="宋体" w:eastAsia="宋体" w:cs="宋体"/>
          <w:color w:val="auto"/>
          <w:sz w:val="32"/>
          <w:szCs w:val="32"/>
          <w:lang w:val="en-US" w:eastAsia="zh-TW" w:bidi="zh-TW"/>
        </w:rPr>
        <w:t>目前，我县完成招商引资新签项目45个，完成新签约招商引资项目投资额129.6亿元，完成全年目标任务102%，其中制造业82.3亿元；完成招商引资到位资金71.5亿元，完成全年目标任务102.14%，其中制造业到位资金38.1亿元。（二）工作开展情况1、构建招商强大引擎。县委、县政府主要领导高度重视，亲自部署、亲力亲为抓重点招商，召开了我县近年来规模最大的招商引资工作会，县委书记、县长对招商引资工作进行全面精心的部署，明确招商引资是助力全县经济发展的强大引擎，动员全民招商，广泛发动全州籍骄子回乡创业；在全国共设立12个招商引资办事处，会上为上海市桂林商会、四川省广西商会、苏州市广西商会、重庆市广西商会、台州市广西商会、湖南省广西商会、海南省广西商会授予“全州县投资促进办事处”牌匾；构建全县18个乡镇招商引资网格化模块，拓展了全县招商版图，营造了良好招商氛围。今年以来县委书记、县长接待访问客商40余次，带队开展招商活动13次，开展推介会7次，召开项目协调推进会议22次，为招商引资重大项目协调解决问题49个，有效促进了签约项目早开工，在谈项目早签约，意向项目早落地，成效显著。</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2、紧抓工业产业链强链延链。按照县委县政府的安排部署，根据县里的实际情况重点推出高端装备制造产业园项目、生态食品产业园项目、鞋业小镇项目、农民工返乡创业园项目、金槐产业园项目、米粉特色小镇及木业科技产业园等重大产业链招商，为招商引资工作指定方向。今年引进资金8亿元建设全州县铁合金循环经济产业园，启动东丰新材料集团有限公司技改项目，打造桂林市内首家同时采用工业尾气发电和厂房光伏发电作为能源补充的工业生产企业；“双招双引”成效明显，成功引进“专精特新”全州县正丰新能源装备制造项目，为我县新能源开发提供新的技术和设备支持；为完善优化鞋产业链生态系统，加快打造世界级鞋业产业集群，近年来我县推进鞋业项目增资扩产12个，共投资13.85多亿元，其中今年9月份引进总投资4.5亿元的义泰高端鞋业生产项目，为已入驻鞋业小镇的赐佳鞋业配套下游企业，形成“以商招商”补链强链延链的良好局面，助力鞋业产业全面优化、健康发展，推动鞋业产业链有序</w:t>
      </w:r>
      <w:r>
        <w:rPr>
          <w:rFonts w:hint="eastAsia" w:cs="宋体"/>
          <w:color w:val="auto"/>
          <w:sz w:val="32"/>
          <w:szCs w:val="32"/>
          <w:lang w:val="en-US" w:eastAsia="zh" w:bidi="zh-TW"/>
          <w:woUserID w:val="1"/>
        </w:rPr>
        <w:t>连</w:t>
      </w:r>
      <w:r>
        <w:rPr>
          <w:rFonts w:hint="eastAsia" w:ascii="宋体" w:hAnsi="宋体" w:eastAsia="宋体" w:cs="宋体"/>
          <w:color w:val="auto"/>
          <w:sz w:val="32"/>
          <w:szCs w:val="32"/>
          <w:lang w:val="en-US" w:eastAsia="zh-TW" w:bidi="zh-TW"/>
        </w:rPr>
        <w:t>接、高效畅通。</w:t>
      </w:r>
    </w:p>
    <w:p>
      <w:pPr>
        <w:pStyle w:val="19"/>
        <w:keepNext w:val="0"/>
        <w:keepLines w:val="0"/>
        <w:pageBreakBefore w:val="0"/>
        <w:widowControl w:val="0"/>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auto"/>
          <w:sz w:val="32"/>
          <w:szCs w:val="32"/>
          <w:lang w:val="en-US" w:eastAsia="zh-CN" w:bidi="zh-TW"/>
        </w:rPr>
      </w:pPr>
      <w:r>
        <w:rPr>
          <w:rFonts w:hint="eastAsia" w:ascii="宋体" w:hAnsi="宋体" w:eastAsia="宋体" w:cs="宋体"/>
          <w:color w:val="auto"/>
          <w:sz w:val="32"/>
          <w:szCs w:val="32"/>
          <w:lang w:val="en-US" w:eastAsia="zh-TW" w:bidi="zh-TW"/>
        </w:rPr>
        <w:t>3、高效推进招商引资工作。一是设立全州县驻点招商引资工作领导小组，组建粤港澳大湾区、京津冀、长江经济带等4个招商小分队、6个产业链招商专班和若干驻点招商小分队常态化开展“走出去”招商、驻点招商、以商招商，招商小分队共外出招商21批次，走访企业71家，对接来访企业30批次，达成意向合作项目28个；二是充分发挥投资促进办事处作用,强化制造业、精细化工新材料等重点产业和关键产业链的对接,着力引进“三企入桂”和“双百双新”项目，今年新引进“专精特新”企业1家；三是更新制作了2023年招商引资宣传片，编制了新版招商引资手册，向全社会宣传全州的优势及各项招商引资优惠政策，增强了全州的知名度，极大地助推招商引资工作；四是全力做好招商“后半篇文章”,为企业想在先、跑在前,及时协调解决问题,千方百计把重点产业和龙头企业引进来、留下来。今年累计开展推介会9次，走访企业67家，获取有效信息113条，促成46家企业到我县实地考察。4、我县参加第二十届中国--东盟博览会项目签约成果丰硕。我县6个项目参与第20届中国--东盟博览会专场签约，总签约金额95.83亿元，签约金额位列桂林市前列，其中全州正丰新能源装备制造项目参加广西区主要领导集体接见；新引进的全州县汉华卓越储能电站项目总投资33亿元，为我县的风能发电产业延链补链，为大规模风储一体化开发场景树立了样板，为风能等可再生能源组合的大规模应用探索出一条可行道路。（三）工作亮点：1、目前全州县是广西开设有粤港澳大湾区、京津冀、长江经济带三个完整驻点招商小分队不多的县区之一。2、我县第20届中国--东盟博览会签约专场总签约金额95.83亿元，居桂林市前列。（四）存在的困难与问题1、项目落地难，有待持续改善营商环境。目前我县每对接50个企业才有1-2家企业落地，部分对接的企业反映我县土地审批手续繁琐、市场准入门槛高、水电费用高等问题，特别是企业用地难以保证，例如2022年引进拟投资5亿元的全州县桂北冷链物流分拨中心建设项目，因用地问题迟迟得不到解决，目前面临项目方撤资改建的风险。2、“专精特新”等强优企业招商工作难度较大。从目前我县新增落地企业来看，落地企业多数为加工型制造业，高科技制造行业较少，缺乏高等院校配套和人才支撑。3、外资企业招商引资落地困难。受宏观经济环境的影响，竞争加剧，利用外资的难度相应增加，针对外资企业的培育政策相对零散宽泛，财政支持政策难以充分发挥其应有效果。（五）下一步工作打算：1、紧抓工业招商。加快工业招商布局，提高招商的主动性和针对性，主攻工业、主攻沿海、主攻龙头企业，提高工业招商成功率。进一步拓宽工业招商渠道、打开产业链发展新路径，以高端装备制造、米粉产业、鞋业小镇、生物医药等产业项目扩大企业规模、促进科技成果转化、打造产业集群，坚持创新引领发展，推动创新链产业链资金链人才链深度融合，使全州县工业发展更多依靠创新驱动的内涵型增长。2、在延链补链强链上下功夫。围绕我县工业发展加快谋划上下游企业项目，形成既有大项目带动、又有中小微企业支撑的产业生态，更好发挥项目集中、企业集聚、产业集群的产业链效应。拉长产业链条，打造工业、木业、粉业、鞋业、生物制药等产业园，为本地经济注入新活力。3、强化驻点招商管理、精准招商。完善对驻点招商工作队员的培训和管理机制，培养招商队员有效梳理和筛选目标企业信息、建立完善招商项目库，围绕全县工业经济发展做大做强我县现代农业、优势工业、第三产业“三个百亿级”产业。加强与全州商会、同乡会及发达地区商会、行业协会的联系，到珠三角、长三角等地开展产业大招商活动。推进以商招商，积极联系各级各类商会，通过商人找商机、招客商，引进合作伙伴和上下游配套企业。二、商贸工作（一）2023年主要工作完成情况1、2023年1-11月全州县限上批发业累计完成4.56亿元，同比增幅37.56%；限上零售业累计完成1.776亿元，同比增幅29.551%；限上住宿业累计完成5058万元，同比增幅3.72%；限餐饮业累计完成3712万元，同比增幅20.37%。1-9月社会消费品零售总额累计完成28.45亿元，同比增幅0.75%。2、2023年全年限上批发业预计完成4.74亿元，同比增幅约27%以上；限上零售业预计完成1.99亿元，同比增幅约29%；限上住宿业预计完成5575万元，同比增幅约5%；限餐饮业预计完成4066万元，同比增幅约16%。社会消费品零售总额预计完成45.24亿元，同比增幅约4.5%。3、我县已列入2023年商业体系建设试点县，共获得1520万元上级奖励补助资金，用于全县商业体系建设项目。我局聘请第三方专业机构加强项目日常监督机制、指导验收材料收集，切实保障项目建设进度。目前已完工项目4个，其中县骏通仓储物流配送中心项目已提前完工并营业，实现数字化、标准化、全自动化包裹快递分拣，分拣规模位居桂林市县级物流中心首位。4、高度重视和紧抓安全生产工作。制定了安全生产工作方案，明确了任务和责任。我局对9家限上商贸企业（大个体）及37家加油站的安全生产状况进行全覆盖多层次的排查整治，督促企业进行自查自改。不定期</w:t>
      </w:r>
      <w:r>
        <w:rPr>
          <w:rFonts w:hint="eastAsia" w:cs="宋体"/>
          <w:color w:val="auto"/>
          <w:sz w:val="32"/>
          <w:szCs w:val="32"/>
          <w:lang w:val="en-US" w:eastAsia="zh" w:bidi="zh-TW"/>
          <w:woUserID w:val="1"/>
        </w:rPr>
        <w:t>地</w:t>
      </w:r>
      <w:r>
        <w:rPr>
          <w:rFonts w:hint="eastAsia" w:ascii="宋体" w:hAnsi="宋体" w:eastAsia="宋体" w:cs="宋体"/>
          <w:color w:val="auto"/>
          <w:sz w:val="32"/>
          <w:szCs w:val="32"/>
          <w:lang w:val="en-US" w:eastAsia="zh-TW" w:bidi="zh-TW"/>
        </w:rPr>
        <w:t>开展事故应急救援演练，提高应急人员在紧急情况下妥善处置事故的能力。另外，自6月以来，我局与城市管理监督局等相关单位组成燃气排查整治专班，对全县888燃气相关企业进行了排查整治，其中使用燃气餐饮业759家（含文旅企业一家），燃气企业3家，学校8家，医院4家，五金店113家，黑气1家。有效的防范了安全生产事故的发生。5、在县政府的积极组织下，我局做好“十四五”油站规划站点的前期工作，为县财政“开源”打基础。同时开展我县加油站（含综合能源站）2023年-2030年专项规划布点工作，适应成品油市场和新能源汽车行业发展新形势，更好地为全县加油站</w:t>
      </w:r>
      <w:bookmarkStart w:id="20" w:name="_GoBack"/>
      <w:bookmarkEnd w:id="20"/>
      <w:r>
        <w:rPr>
          <w:rFonts w:hint="eastAsia" w:ascii="宋体" w:hAnsi="宋体" w:eastAsia="宋体" w:cs="宋体"/>
          <w:color w:val="auto"/>
          <w:sz w:val="32"/>
          <w:szCs w:val="32"/>
          <w:lang w:val="en-US" w:eastAsia="zh-TW" w:bidi="zh-TW"/>
        </w:rPr>
        <w:t>行业发展和汽车行业做好综合能源服务。6、根据《全州县第十七届人民政府第29次常务会议》纪要精神，我局做好各商贸企业管理的稳定交接工作，在县委、</w:t>
      </w:r>
      <w:r>
        <w:rPr>
          <w:rFonts w:hint="eastAsia" w:cs="宋体"/>
          <w:color w:val="auto"/>
          <w:sz w:val="32"/>
          <w:szCs w:val="32"/>
          <w:lang w:val="en-US" w:eastAsia="zh" w:bidi="zh-TW"/>
          <w:woUserID w:val="1"/>
        </w:rPr>
        <w:t>县</w:t>
      </w:r>
      <w:r>
        <w:rPr>
          <w:rFonts w:hint="eastAsia" w:ascii="宋体" w:hAnsi="宋体" w:eastAsia="宋体" w:cs="宋体"/>
          <w:color w:val="auto"/>
          <w:sz w:val="32"/>
          <w:szCs w:val="32"/>
          <w:lang w:val="en-US" w:eastAsia="zh-TW" w:bidi="zh-TW"/>
        </w:rPr>
        <w:t>政府领导下，积极处理二轻机械等历史遗留问题，成立局属二层事业单位全州县投促商贸服务中心。（二）工作亮点1、2023年组织开展全州“三月三·大美全州等你来”系列活动，举办了全州“三月三”餐饮酒店美食展及美食争霸赛，举办了2023年小篮球联赛，利用节假日开展促销活动，积极协调各单位工会选购限上企业产品拉动内需，有效地促进了文旅、餐饮、住宿等行业的发展。2、培育了桂林市全州县阡陌居酒店管理有限公司等14家企业（大个体）入库限上企业，其中5家月度入库限上企业，在库限上企业数量、质量创历年新高，为明年的可持续发展增添新动力。3、全县外贸进出口总额1-10月完成8272.3万元，同比达到154.25%，已提前完成全年考核目标任务的236.35%，位居全市排名第二。</w:t>
      </w: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textAlignment w:val="auto"/>
        <w:rPr>
          <w:rFonts w:hint="default" w:ascii="宋体" w:hAnsi="宋体" w:eastAsia="宋体" w:cs="宋体"/>
          <w:b/>
          <w:bCs/>
          <w:color w:val="000000"/>
          <w:kern w:val="0"/>
          <w:sz w:val="32"/>
          <w:szCs w:val="32"/>
          <w:lang w:val="zh-TW" w:eastAsia="zh-TW" w:bidi="zh-TW"/>
        </w:rPr>
      </w:pPr>
    </w:p>
    <w:p>
      <w:pPr>
        <w:pStyle w:val="19"/>
        <w:keepNext w:val="0"/>
        <w:keepLines w:val="0"/>
        <w:pageBreakBefore w:val="0"/>
        <w:widowControl w:val="0"/>
        <w:numPr>
          <w:ilvl w:val="0"/>
          <w:numId w:val="0"/>
        </w:numPr>
        <w:tabs>
          <w:tab w:val="left" w:pos="1369"/>
        </w:tabs>
        <w:kinsoku/>
        <w:wordWrap/>
        <w:overflowPunct/>
        <w:topLinePunct w:val="0"/>
        <w:autoSpaceDE/>
        <w:autoSpaceDN/>
        <w:bidi w:val="0"/>
        <w:adjustRightInd/>
        <w:snapToGrid/>
        <w:spacing w:before="361" w:beforeLines="100" w:after="181" w:afterLines="50" w:line="360" w:lineRule="auto"/>
        <w:ind w:firstLine="640" w:firstLineChars="200"/>
        <w:textAlignment w:val="auto"/>
        <w:rPr>
          <w:rFonts w:hint="default" w:cs="宋体"/>
          <w:color w:val="000000"/>
          <w:sz w:val="32"/>
          <w:szCs w:val="32"/>
          <w:lang w:val="en-US" w:eastAsia="zh-CN" w:bidi="zh-TW"/>
        </w:rPr>
      </w:pP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Style w:val="21"/>
        <w:pageBreakBefore w:val="0"/>
        <w:kinsoku/>
        <w:wordWrap/>
        <w:overflowPunct/>
        <w:topLinePunct w:val="0"/>
        <w:autoSpaceDE/>
        <w:autoSpaceDN/>
        <w:bidi w:val="0"/>
        <w:adjustRightInd/>
        <w:snapToGrid/>
        <w:spacing w:line="360" w:lineRule="auto"/>
        <w:ind w:firstLine="1018"/>
        <w:textAlignment w:val="auto"/>
        <w:rPr>
          <w:sz w:val="32"/>
          <w:szCs w:val="32"/>
          <w:lang w:val="en-US"/>
        </w:rPr>
      </w:pPr>
    </w:p>
    <w:p>
      <w:pPr>
        <w:pageBreakBefore w:val="0"/>
        <w:kinsoku/>
        <w:wordWrap/>
        <w:overflowPunct/>
        <w:topLinePunct w:val="0"/>
        <w:autoSpaceDE/>
        <w:autoSpaceDN/>
        <w:bidi w:val="0"/>
        <w:adjustRightInd/>
        <w:snapToGrid/>
        <w:spacing w:line="360" w:lineRule="auto"/>
        <w:textAlignment w:val="auto"/>
        <w:rPr>
          <w:sz w:val="32"/>
          <w:szCs w:val="32"/>
          <w:lang w:eastAsia="zh-TW"/>
        </w:rPr>
      </w:pPr>
      <w:r>
        <w:br w:type="page"/>
      </w:r>
    </w:p>
    <w:p>
      <w:pPr>
        <w:pStyle w:val="15"/>
        <w:keepNext/>
        <w:keepLines/>
        <w:pageBreakBefore w:val="0"/>
        <w:kinsoku/>
        <w:wordWrap/>
        <w:overflowPunct/>
        <w:topLinePunct w:val="0"/>
        <w:autoSpaceDE/>
        <w:autoSpaceDN/>
        <w:bidi w:val="0"/>
        <w:adjustRightInd/>
        <w:snapToGrid/>
        <w:spacing w:before="120" w:after="0" w:line="360" w:lineRule="auto"/>
        <w:textAlignment w:val="auto"/>
        <w:rPr>
          <w:rFonts w:hint="eastAsia" w:ascii="黑体" w:hAnsi="黑体" w:eastAsia="黑体" w:cs="黑体"/>
          <w:b/>
          <w:bCs/>
          <w:sz w:val="32"/>
          <w:szCs w:val="32"/>
        </w:rPr>
      </w:pPr>
      <w:bookmarkStart w:id="7" w:name="bookmark69"/>
      <w:bookmarkStart w:id="8" w:name="bookmark70"/>
      <w:bookmarkStart w:id="9" w:name="bookmark68"/>
      <w:bookmarkStart w:id="10" w:name="bookmark28"/>
      <w:bookmarkStart w:id="11" w:name="bookmark27"/>
      <w:bookmarkStart w:id="12" w:name="bookmark26"/>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部分</w:t>
      </w:r>
      <w:r>
        <w:rPr>
          <w:rFonts w:hint="eastAsia" w:ascii="黑体" w:hAnsi="黑体" w:eastAsia="黑体" w:cs="黑体"/>
          <w:b/>
          <w:bCs/>
          <w:sz w:val="32"/>
          <w:szCs w:val="32"/>
          <w:lang w:eastAsia="zh-CN"/>
        </w:rPr>
        <w:t>：</w:t>
      </w:r>
      <w:bookmarkEnd w:id="7"/>
      <w:bookmarkEnd w:id="8"/>
      <w:bookmarkEnd w:id="9"/>
      <w:r>
        <w:rPr>
          <w:rFonts w:hint="eastAsia" w:ascii="黑体" w:hAnsi="黑体" w:eastAsia="黑体" w:cs="黑体"/>
          <w:b/>
          <w:bCs/>
          <w:sz w:val="32"/>
          <w:szCs w:val="32"/>
          <w:lang w:eastAsia="zh-CN"/>
        </w:rPr>
        <w:t>全州县投资促进局</w:t>
      </w:r>
      <w:r>
        <w:rPr>
          <w:rFonts w:ascii="黑体" w:hAnsi="黑体" w:eastAsia="黑体" w:cs="黑体"/>
          <w:b/>
          <w:sz w:val="32"/>
          <w:u w:color="auto"/>
        </w:rPr>
        <w:t>2024年部门预算情况说明</w:t>
      </w:r>
    </w:p>
    <w:p>
      <w:pPr>
        <w:pStyle w:val="19"/>
        <w:keepNext w:val="0"/>
        <w:keepLines w:val="0"/>
        <w:pageBreakBefore w:val="0"/>
        <w:widowControl w:val="0"/>
        <w:tabs>
          <w:tab w:val="left" w:pos="1235"/>
        </w:tabs>
        <w:kinsoku/>
        <w:wordWrap/>
        <w:overflowPunct/>
        <w:topLinePunct w:val="0"/>
        <w:autoSpaceDE/>
        <w:autoSpaceDN/>
        <w:bidi w:val="0"/>
        <w:adjustRightInd/>
        <w:snapToGrid/>
        <w:spacing w:before="361" w:beforeLines="100" w:after="181" w:afterLines="50" w:line="360" w:lineRule="auto"/>
        <w:ind w:firstLine="578"/>
        <w:textAlignment w:val="auto"/>
        <w:rPr>
          <w:b/>
          <w:bCs/>
          <w:sz w:val="32"/>
          <w:szCs w:val="32"/>
        </w:rPr>
      </w:pPr>
      <w:bookmarkStart w:id="13" w:name="bookmark71"/>
      <w:r>
        <w:rPr>
          <w:b/>
          <w:bCs/>
          <w:sz w:val="32"/>
          <w:szCs w:val="32"/>
        </w:rPr>
        <w:t>一</w:t>
      </w:r>
      <w:bookmarkEnd w:id="13"/>
      <w:r>
        <w:rPr>
          <w:b/>
          <w:bCs/>
          <w:sz w:val="32"/>
          <w:szCs w:val="32"/>
        </w:rPr>
        <w:t>、</w:t>
      </w:r>
      <w:r>
        <w:rPr>
          <w:b/>
          <w:bCs/>
          <w:sz w:val="32"/>
          <w:szCs w:val="32"/>
        </w:rPr>
        <w:tab/>
      </w:r>
      <w:r>
        <w:rPr>
          <w:b/>
          <w:bCs/>
          <w:sz w:val="32"/>
          <w:szCs w:val="32"/>
        </w:rPr>
        <w:t>部门收支总体情况说明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ascii="Times New Roman" w:hAnsi="Times New Roman" w:cs="Times New Roman"/>
          <w:b/>
          <w:bCs/>
          <w:sz w:val="32"/>
          <w:szCs w:val="32"/>
          <w:lang w:val="en-US"/>
        </w:rPr>
      </w:pPr>
      <w:r>
        <w:rPr>
          <w:rFonts w:hint="eastAsia"/>
          <w:sz w:val="32"/>
          <w:szCs w:val="32"/>
        </w:rPr>
        <w:t>我部门总收入</w:t>
      </w:r>
      <w:r>
        <w:rPr>
          <w:rFonts w:hint="eastAsia"/>
          <w:sz w:val="32"/>
          <w:szCs w:val="32"/>
          <w:lang w:val="en-US" w:eastAsia="zh-CN"/>
        </w:rPr>
        <w:t>359.38</w:t>
      </w:r>
      <w:r>
        <w:rPr>
          <w:rFonts w:hint="eastAsia"/>
          <w:sz w:val="32"/>
          <w:szCs w:val="32"/>
        </w:rPr>
        <w:t>万元，总支出</w:t>
      </w:r>
      <w:r>
        <w:rPr>
          <w:rFonts w:hint="eastAsia"/>
          <w:sz w:val="32"/>
          <w:szCs w:val="32"/>
          <w:lang w:val="en-US" w:eastAsia="zh-CN"/>
        </w:rPr>
        <w:t>359.38</w:t>
      </w:r>
      <w:r>
        <w:rPr>
          <w:rFonts w:hint="eastAsia"/>
          <w:sz w:val="32"/>
          <w:szCs w:val="32"/>
        </w:rPr>
        <w:t>万元（不含财政拨款上年未列支结转收支数）。总收入较</w:t>
      </w:r>
      <w:r>
        <w:rPr>
          <w:rFonts w:hint="eastAsia"/>
          <w:sz w:val="32"/>
          <w:szCs w:val="32"/>
          <w:lang w:eastAsia="zh-CN"/>
        </w:rPr>
        <w:t>上</w:t>
      </w:r>
      <w:r>
        <w:rPr>
          <w:rFonts w:hint="eastAsia"/>
          <w:sz w:val="32"/>
          <w:szCs w:val="32"/>
        </w:rPr>
        <w:t>年度预算数</w:t>
      </w:r>
      <w:r>
        <w:rPr>
          <w:rFonts w:hint="eastAsia"/>
          <w:sz w:val="32"/>
          <w:szCs w:val="32"/>
          <w:lang w:val="en-US"/>
        </w:rPr>
        <w:t>127.36</w:t>
      </w:r>
      <w:r>
        <w:rPr>
          <w:rFonts w:hint="eastAsia"/>
          <w:sz w:val="32"/>
          <w:szCs w:val="32"/>
        </w:rPr>
        <w:t>万元，</w:t>
      </w:r>
      <w:r>
        <w:rPr>
          <w:sz w:val="32"/>
          <w:u w:color="auto"/>
        </w:rPr>
        <w:t>增加232.02万元，增长182.18%，主要原因是</w:t>
      </w:r>
      <w:r>
        <w:rPr>
          <w:rFonts w:hint="eastAsia"/>
          <w:sz w:val="32"/>
          <w:szCs w:val="32"/>
          <w:lang w:val="en-US"/>
        </w:rPr>
        <w:t>根据职能划转，从2023年8月开始，原由县工业信息局负责的商贸服务业及下属所有国有工业企业、二轻集体企业、商贸企业的管理权限都划转到我局，我局成立了全州县投促商贸服务中心，编制数10个，现有人数7个，相关的所有经费相应由我局做预算</w:t>
      </w:r>
      <w:r>
        <w:rPr>
          <w:rFonts w:hint="eastAsia"/>
          <w:sz w:val="32"/>
          <w:szCs w:val="32"/>
        </w:rPr>
        <w:t>。总支出较</w:t>
      </w:r>
      <w:r>
        <w:rPr>
          <w:rFonts w:hint="eastAsia"/>
          <w:sz w:val="32"/>
          <w:szCs w:val="32"/>
          <w:lang w:eastAsia="zh-CN"/>
        </w:rPr>
        <w:t>上</w:t>
      </w:r>
      <w:r>
        <w:rPr>
          <w:rFonts w:hint="eastAsia"/>
          <w:sz w:val="32"/>
          <w:szCs w:val="32"/>
        </w:rPr>
        <w:t>年度预算数</w:t>
      </w:r>
      <w:r>
        <w:rPr>
          <w:rFonts w:hint="eastAsia"/>
          <w:sz w:val="32"/>
          <w:szCs w:val="32"/>
          <w:lang w:val="en-US"/>
        </w:rPr>
        <w:t>127.36</w:t>
      </w:r>
      <w:r>
        <w:rPr>
          <w:rFonts w:hint="eastAsia"/>
          <w:sz w:val="32"/>
          <w:szCs w:val="32"/>
        </w:rPr>
        <w:t>万元，</w:t>
      </w:r>
      <w:r>
        <w:rPr>
          <w:sz w:val="32"/>
          <w:u w:color="auto"/>
        </w:rPr>
        <w:t>增加232.02万元，增长182.18%，主要原因是</w:t>
      </w:r>
      <w:r>
        <w:rPr>
          <w:rFonts w:hint="eastAsia"/>
          <w:sz w:val="32"/>
          <w:szCs w:val="32"/>
          <w:lang w:val="en-US"/>
        </w:rPr>
        <w:t>根据职能划转，从2023年8月开始，原由县工业信息局负责的商贸服务业及下属所有国有工业企业、二轻集体企业、商贸企业的管理权限都划转到我局，我局成立了全州县投促商贸服务中心，编制数10个，现有人数7个，相关的所有经费相应由我局支出</w:t>
      </w:r>
      <w:r>
        <w:rPr>
          <w:rFonts w:hint="eastAsia"/>
          <w:sz w:val="32"/>
          <w:szCs w:val="32"/>
        </w:rPr>
        <w:t>。</w:t>
      </w:r>
    </w:p>
    <w:p>
      <w:pPr>
        <w:pStyle w:val="19"/>
        <w:keepNext w:val="0"/>
        <w:keepLines w:val="0"/>
        <w:pageBreakBefore w:val="0"/>
        <w:widowControl w:val="0"/>
        <w:numPr>
          <w:ilvl w:val="0"/>
          <w:numId w:val="0"/>
        </w:numPr>
        <w:tabs>
          <w:tab w:val="left" w:pos="1235"/>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cs="Times New Roman"/>
          <w:sz w:val="32"/>
          <w:szCs w:val="32"/>
          <w:lang w:val="en-US" w:eastAsia="zh-CN"/>
        </w:rPr>
      </w:pPr>
      <w:r>
        <w:rPr>
          <w:rFonts w:hint="eastAsia"/>
          <w:b/>
          <w:bCs/>
          <w:sz w:val="32"/>
          <w:szCs w:val="32"/>
          <w:lang w:val="en-US" w:eastAsia="zh-CN"/>
        </w:rPr>
        <w:t>二、</w:t>
      </w:r>
      <w:r>
        <w:rPr>
          <w:b/>
          <w:bCs/>
          <w:sz w:val="32"/>
          <w:szCs w:val="32"/>
        </w:rPr>
        <w:t>部门收入总体情况说明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年我部门总收入</w:t>
      </w:r>
      <w:r>
        <w:rPr>
          <w:rFonts w:hint="eastAsia"/>
          <w:sz w:val="32"/>
          <w:szCs w:val="32"/>
          <w:lang w:val="en-US" w:eastAsia="zh-CN"/>
        </w:rPr>
        <w:t>359.38</w:t>
      </w:r>
      <w:r>
        <w:rPr>
          <w:rFonts w:hint="eastAsia"/>
          <w:sz w:val="32"/>
          <w:szCs w:val="32"/>
        </w:rPr>
        <w:t>万元，</w:t>
      </w:r>
      <w:r>
        <w:rPr>
          <w:rFonts w:hint="eastAsia"/>
          <w:sz w:val="32"/>
          <w:szCs w:val="32"/>
          <w:lang w:val="en-US" w:eastAsia="zh-CN"/>
        </w:rPr>
        <w:t>同比</w:t>
      </w:r>
      <w:r>
        <w:rPr>
          <w:rFonts w:hint="eastAsia"/>
          <w:sz w:val="32"/>
          <w:szCs w:val="32"/>
        </w:rPr>
        <w:t>增加232.02万元，</w:t>
      </w:r>
      <w:r>
        <w:rPr>
          <w:sz w:val="32"/>
          <w:u w:color="auto"/>
        </w:rPr>
        <w:t>增长182.18%</w:t>
      </w:r>
      <w:r>
        <w:rPr>
          <w:rFonts w:hint="eastAsia"/>
          <w:sz w:val="32"/>
          <w:szCs w:val="32"/>
          <w:lang w:eastAsia="zh-CN"/>
        </w:rPr>
        <w:t>。其中：一般公共预算</w:t>
      </w:r>
      <w:r>
        <w:rPr>
          <w:rFonts w:hint="eastAsia" w:ascii="宋体" w:hAnsi="宋体" w:eastAsia="宋体"/>
          <w:sz w:val="32"/>
          <w:szCs w:val="32"/>
          <w:lang w:eastAsia="zh-CN"/>
        </w:rPr>
        <w:t>359.38</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增加232.02</w:t>
      </w:r>
      <w:r>
        <w:rPr>
          <w:rFonts w:hint="eastAsia"/>
          <w:sz w:val="32"/>
          <w:szCs w:val="32"/>
          <w:lang w:eastAsia="zh-CN"/>
        </w:rPr>
        <w:t>万元，</w:t>
      </w:r>
      <w:r>
        <w:rPr>
          <w:rFonts w:hint="eastAsia" w:ascii="宋体" w:hAnsi="宋体" w:eastAsia="宋体"/>
          <w:sz w:val="32"/>
          <w:szCs w:val="32"/>
          <w:lang w:eastAsia="zh-CN"/>
        </w:rPr>
        <w:t>增长182.18%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根据职能划转，从2023年8月开始，原由县工业信息局负责的商贸服务业及下属所有国有工业企业、二轻集体企业、商贸企业的管理权限都划转到我局，我局成立了全州县投促商贸服务中心，编制数10个，现有人数7个，相关的所有经费相应由我局做预算</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sz w:val="32"/>
          <w:szCs w:val="32"/>
          <w:lang w:val="en-US" w:eastAsia="zh-CN"/>
        </w:rPr>
        <w:t>没有变化</w:t>
      </w:r>
      <w:r>
        <w:rPr>
          <w:rFonts w:hint="eastAsia"/>
          <w:sz w:val="32"/>
          <w:szCs w:val="32"/>
        </w:rPr>
        <w:t>。</w:t>
      </w:r>
    </w:p>
    <w:p>
      <w:pPr>
        <w:pStyle w:val="19"/>
        <w:keepNext w:val="0"/>
        <w:keepLines w:val="0"/>
        <w:pageBreakBefore w:val="0"/>
        <w:widowControl w:val="0"/>
        <w:numPr>
          <w:ilvl w:val="0"/>
          <w:numId w:val="0"/>
        </w:numPr>
        <w:tabs>
          <w:tab w:val="left" w:pos="1237"/>
        </w:tabs>
        <w:kinsoku/>
        <w:wordWrap/>
        <w:overflowPunct/>
        <w:topLinePunct w:val="0"/>
        <w:autoSpaceDE/>
        <w:autoSpaceDN/>
        <w:bidi w:val="0"/>
        <w:adjustRightInd/>
        <w:snapToGrid/>
        <w:spacing w:before="361" w:beforeLines="100" w:after="181" w:afterLines="50" w:line="360" w:lineRule="auto"/>
        <w:ind w:firstLine="641" w:firstLineChars="200"/>
        <w:textAlignment w:val="auto"/>
        <w:rPr>
          <w:rFonts w:ascii="Times New Roman" w:hAnsi="Times New Roman" w:eastAsia="Times New Roman" w:cs="Times New Roman"/>
          <w:sz w:val="32"/>
          <w:szCs w:val="32"/>
        </w:rPr>
      </w:pPr>
      <w:r>
        <w:rPr>
          <w:rFonts w:hint="eastAsia"/>
          <w:b/>
          <w:bCs/>
          <w:sz w:val="32"/>
          <w:szCs w:val="32"/>
          <w:lang w:val="en-US" w:eastAsia="zh-CN"/>
        </w:rPr>
        <w:t>三、</w:t>
      </w:r>
      <w:r>
        <w:rPr>
          <w:b/>
          <w:bCs/>
          <w:sz w:val="32"/>
          <w:szCs w:val="32"/>
        </w:rPr>
        <w:t>部门支出总体情况说明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eastAsia="zh-CN"/>
        </w:rPr>
      </w:pPr>
      <w:r>
        <w:rPr>
          <w:rFonts w:hint="eastAsia"/>
          <w:sz w:val="32"/>
          <w:szCs w:val="32"/>
        </w:rPr>
        <w:t>2024</w:t>
      </w:r>
      <w:r>
        <w:rPr>
          <w:sz w:val="32"/>
          <w:u w:color="auto"/>
        </w:rPr>
        <w:t>年我部门总支出</w:t>
      </w:r>
      <w:r>
        <w:rPr>
          <w:rFonts w:hint="eastAsia"/>
          <w:sz w:val="32"/>
          <w:szCs w:val="32"/>
          <w:lang w:val="en-US"/>
        </w:rPr>
        <w:t>359.38</w:t>
      </w:r>
      <w:r>
        <w:rPr>
          <w:rFonts w:hint="eastAsia"/>
          <w:sz w:val="32"/>
          <w:szCs w:val="32"/>
        </w:rPr>
        <w:t>万元，</w:t>
      </w:r>
      <w:r>
        <w:rPr>
          <w:rFonts w:hint="eastAsia"/>
          <w:sz w:val="32"/>
          <w:szCs w:val="32"/>
          <w:lang w:val="en-US" w:eastAsia="zh-CN"/>
        </w:rPr>
        <w:t>同比</w:t>
      </w:r>
      <w:r>
        <w:rPr>
          <w:rFonts w:hint="eastAsia"/>
          <w:sz w:val="32"/>
          <w:szCs w:val="32"/>
        </w:rPr>
        <w:t>增加232.02万元，</w:t>
      </w:r>
      <w:r>
        <w:rPr>
          <w:sz w:val="32"/>
          <w:u w:color="auto"/>
        </w:rPr>
        <w:t>增长182.18%</w:t>
      </w:r>
      <w:r>
        <w:rPr>
          <w:rFonts w:hint="eastAsia" w:ascii="Times New Roman" w:hAnsi="Times New Roman" w:cs="Times New Roman"/>
          <w:sz w:val="32"/>
          <w:szCs w:val="32"/>
        </w:rPr>
        <w:t>。</w:t>
      </w:r>
      <w:r>
        <w:rPr>
          <w:rFonts w:hint="eastAsia"/>
          <w:sz w:val="32"/>
          <w:szCs w:val="32"/>
          <w:lang w:val="en-US" w:eastAsia="zh-CN"/>
        </w:rPr>
        <w:t>其中：</w:t>
      </w:r>
      <w:r>
        <w:rPr>
          <w:rFonts w:hint="eastAsia"/>
          <w:sz w:val="32"/>
          <w:szCs w:val="32"/>
        </w:rPr>
        <w:t>基本支出预算</w:t>
      </w:r>
      <w:r>
        <w:rPr>
          <w:rFonts w:hint="eastAsia"/>
          <w:sz w:val="32"/>
          <w:szCs w:val="32"/>
          <w:lang w:val="en-US"/>
        </w:rPr>
        <w:t>178.80</w:t>
      </w:r>
      <w:r>
        <w:rPr>
          <w:rFonts w:hint="eastAsia"/>
          <w:sz w:val="32"/>
          <w:szCs w:val="32"/>
        </w:rPr>
        <w:t>万元，占支出预算</w:t>
      </w:r>
      <w:r>
        <w:rPr>
          <w:sz w:val="32"/>
          <w:u w:color="auto"/>
        </w:rPr>
        <w:t>49.75%,</w:t>
      </w:r>
      <w:r>
        <w:rPr>
          <w:rFonts w:hint="eastAsia"/>
          <w:sz w:val="32"/>
          <w:szCs w:val="32"/>
          <w:lang w:val="en-US" w:eastAsia="zh-CN"/>
        </w:rPr>
        <w:t>同比</w:t>
      </w:r>
      <w:r>
        <w:rPr>
          <w:rFonts w:hint="eastAsia"/>
          <w:sz w:val="32"/>
          <w:szCs w:val="32"/>
        </w:rPr>
        <w:t>增加67.44</w:t>
      </w:r>
      <w:r>
        <w:rPr>
          <w:sz w:val="32"/>
          <w:u w:color="auto"/>
        </w:rPr>
        <w:t>万元，增长60.56%</w:t>
      </w:r>
      <w:r>
        <w:rPr>
          <w:sz w:val="32"/>
          <w:szCs w:val="32"/>
        </w:rPr>
        <w:t>。</w:t>
      </w:r>
      <w:r>
        <w:rPr>
          <w:rFonts w:hint="eastAsia"/>
          <w:sz w:val="32"/>
          <w:szCs w:val="32"/>
        </w:rPr>
        <w:t>主要原因是</w:t>
      </w:r>
      <w:r>
        <w:rPr>
          <w:sz w:val="32"/>
          <w:szCs w:val="32"/>
        </w:rPr>
        <w:t>：</w:t>
      </w:r>
      <w:r>
        <w:rPr>
          <w:rFonts w:hint="eastAsia"/>
          <w:sz w:val="32"/>
          <w:szCs w:val="32"/>
          <w:lang w:val="en-US" w:eastAsia="zh-CN"/>
        </w:rPr>
        <w:t>根据职能划转，我局成立了全州县投促商贸服务中心，编制数10个，现有人数7个，基本支出相应增加</w:t>
      </w:r>
      <w:r>
        <w:rPr>
          <w:rFonts w:hint="eastAsia"/>
          <w:sz w:val="32"/>
          <w:szCs w:val="32"/>
          <w:lang w:val="en-US"/>
        </w:rPr>
        <w:t>。</w:t>
      </w:r>
      <w:r>
        <w:rPr>
          <w:rFonts w:hint="eastAsia"/>
          <w:sz w:val="32"/>
          <w:szCs w:val="32"/>
        </w:rPr>
        <w:t>项目支出预算</w:t>
      </w:r>
      <w:r>
        <w:rPr>
          <w:rFonts w:hint="eastAsia"/>
          <w:sz w:val="32"/>
          <w:szCs w:val="32"/>
          <w:lang w:val="en-US"/>
        </w:rPr>
        <w:t>180.58</w:t>
      </w:r>
      <w:r>
        <w:rPr>
          <w:rFonts w:hint="eastAsia"/>
          <w:sz w:val="32"/>
          <w:szCs w:val="32"/>
        </w:rPr>
        <w:t>万元，占支出预算</w:t>
      </w:r>
      <w:r>
        <w:rPr>
          <w:sz w:val="32"/>
          <w:u w:color="auto"/>
        </w:rPr>
        <w:t>50.25%</w:t>
      </w:r>
      <w:r>
        <w:rPr>
          <w:rFonts w:hint="eastAsia"/>
          <w:sz w:val="32"/>
          <w:szCs w:val="32"/>
        </w:rPr>
        <w:t>,</w:t>
      </w:r>
      <w:r>
        <w:rPr>
          <w:rFonts w:hint="eastAsia"/>
          <w:sz w:val="32"/>
          <w:szCs w:val="32"/>
          <w:lang w:val="en-US" w:eastAsia="zh-CN"/>
        </w:rPr>
        <w:t>同比</w:t>
      </w:r>
      <w:r>
        <w:rPr>
          <w:rFonts w:hint="eastAsia"/>
          <w:sz w:val="32"/>
          <w:szCs w:val="32"/>
        </w:rPr>
        <w:t>增加164.58万元，</w:t>
      </w:r>
      <w:r>
        <w:rPr>
          <w:sz w:val="32"/>
          <w:u w:color="auto"/>
        </w:rPr>
        <w:t>增长1028.63%</w:t>
      </w:r>
      <w:r>
        <w:rPr>
          <w:sz w:val="32"/>
          <w:szCs w:val="32"/>
        </w:rPr>
        <w:t>。</w:t>
      </w:r>
      <w:r>
        <w:rPr>
          <w:rFonts w:hint="eastAsia"/>
          <w:sz w:val="32"/>
          <w:szCs w:val="32"/>
        </w:rPr>
        <w:t>主要原因是</w:t>
      </w:r>
      <w:r>
        <w:rPr>
          <w:sz w:val="32"/>
          <w:szCs w:val="32"/>
        </w:rPr>
        <w:t>：</w:t>
      </w:r>
      <w:r>
        <w:rPr>
          <w:rFonts w:hint="eastAsia"/>
          <w:sz w:val="32"/>
          <w:szCs w:val="32"/>
          <w:lang w:val="en-US" w:eastAsia="zh-CN"/>
        </w:rPr>
        <w:t>根据职能划转，从2023年8月开始，原由县工业信息局负责的商贸服务业及下属所有国有工业企业、二轻集体企业、商贸企业的管理权限都划转到我局，相关的项目经费相应由我局支出。</w:t>
      </w: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四、</w:t>
      </w:r>
      <w:r>
        <w:rPr>
          <w:b/>
          <w:bCs/>
          <w:sz w:val="32"/>
          <w:szCs w:val="32"/>
        </w:rPr>
        <w:t>财政拨款收支总体情况说明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eastAsia="zh-CN"/>
        </w:rPr>
        <w:t>2024</w:t>
      </w:r>
      <w:r>
        <w:rPr>
          <w:rFonts w:hint="eastAsia"/>
          <w:sz w:val="32"/>
          <w:szCs w:val="32"/>
        </w:rPr>
        <w:t>年财政拨款收入预算</w:t>
      </w:r>
      <w:r>
        <w:rPr>
          <w:rFonts w:hint="eastAsia"/>
          <w:sz w:val="32"/>
          <w:szCs w:val="32"/>
          <w:lang w:val="en-US" w:eastAsia="zh-CN"/>
        </w:rPr>
        <w:t>359.38</w:t>
      </w:r>
      <w:r>
        <w:rPr>
          <w:rFonts w:hint="eastAsia"/>
          <w:sz w:val="32"/>
          <w:szCs w:val="32"/>
        </w:rPr>
        <w:t>万元，</w:t>
      </w:r>
      <w:r>
        <w:rPr>
          <w:rFonts w:hint="eastAsia"/>
          <w:sz w:val="32"/>
          <w:szCs w:val="32"/>
          <w:lang w:val="en-US" w:eastAsia="zh-CN"/>
        </w:rPr>
        <w:t>同比</w:t>
      </w:r>
      <w:r>
        <w:rPr>
          <w:rFonts w:hint="eastAsia"/>
          <w:sz w:val="32"/>
          <w:szCs w:val="32"/>
        </w:rPr>
        <w:t>增加232.02万元，</w:t>
      </w:r>
      <w:r>
        <w:rPr>
          <w:sz w:val="32"/>
          <w:u w:color="auto"/>
        </w:rPr>
        <w:t>增长182.18%</w:t>
      </w:r>
      <w:r>
        <w:rPr>
          <w:rFonts w:hint="eastAsia"/>
          <w:sz w:val="32"/>
          <w:szCs w:val="32"/>
          <w:lang w:eastAsia="zh-CN"/>
        </w:rPr>
        <w:t>。其中：一般公共预算</w:t>
      </w:r>
      <w:r>
        <w:rPr>
          <w:rFonts w:hint="eastAsia" w:ascii="宋体" w:hAnsi="宋体" w:eastAsia="宋体"/>
          <w:sz w:val="32"/>
          <w:szCs w:val="32"/>
          <w:lang w:eastAsia="zh-CN"/>
        </w:rPr>
        <w:t>359.38</w:t>
      </w:r>
      <w:r>
        <w:rPr>
          <w:rFonts w:hint="eastAsia"/>
          <w:sz w:val="32"/>
          <w:szCs w:val="32"/>
          <w:lang w:eastAsia="zh-CN"/>
        </w:rPr>
        <w:t>万元，占收入总预算</w:t>
      </w:r>
      <w:r>
        <w:rPr>
          <w:rFonts w:hint="eastAsia" w:ascii="宋体" w:hAnsi="宋体" w:eastAsia="宋体"/>
          <w:sz w:val="32"/>
          <w:szCs w:val="32"/>
          <w:lang w:eastAsia="zh-CN"/>
        </w:rPr>
        <w:t>100.00%</w:t>
      </w:r>
      <w:r>
        <w:rPr>
          <w:rFonts w:hint="eastAsia"/>
          <w:sz w:val="32"/>
          <w:szCs w:val="32"/>
          <w:lang w:eastAsia="zh-CN"/>
        </w:rPr>
        <w:t>，同比</w:t>
      </w:r>
      <w:r>
        <w:rPr>
          <w:rFonts w:hint="eastAsia" w:ascii="宋体" w:hAnsi="宋体" w:eastAsia="宋体"/>
          <w:sz w:val="32"/>
          <w:szCs w:val="32"/>
          <w:lang w:eastAsia="zh-CN"/>
        </w:rPr>
        <w:t>增加232.02</w:t>
      </w:r>
      <w:r>
        <w:rPr>
          <w:rFonts w:hint="eastAsia"/>
          <w:sz w:val="32"/>
          <w:szCs w:val="32"/>
          <w:lang w:eastAsia="zh-CN"/>
        </w:rPr>
        <w:t>万元，</w:t>
      </w:r>
      <w:r>
        <w:rPr>
          <w:rFonts w:hint="eastAsia" w:ascii="宋体" w:hAnsi="宋体" w:eastAsia="宋体"/>
          <w:sz w:val="32"/>
          <w:szCs w:val="32"/>
          <w:lang w:eastAsia="zh-CN"/>
        </w:rPr>
        <w:t>增长182.18%</w:t>
      </w:r>
      <w:r>
        <w:rPr>
          <w:rFonts w:hint="eastAsia"/>
          <w:sz w:val="32"/>
          <w:szCs w:val="32"/>
          <w:lang w:eastAsia="zh-CN"/>
        </w:rPr>
        <w:t>，</w:t>
      </w:r>
      <w:r>
        <w:rPr>
          <w:rFonts w:hint="eastAsia"/>
          <w:sz w:val="32"/>
          <w:szCs w:val="32"/>
        </w:rPr>
        <w:t>主要原因是</w:t>
      </w:r>
      <w:r>
        <w:rPr>
          <w:rFonts w:hint="eastAsia"/>
          <w:sz w:val="32"/>
          <w:szCs w:val="32"/>
          <w:lang w:eastAsia="zh-CN"/>
        </w:rPr>
        <w:t>：</w:t>
      </w:r>
      <w:r>
        <w:rPr>
          <w:rFonts w:hint="eastAsia"/>
          <w:sz w:val="32"/>
          <w:szCs w:val="32"/>
          <w:lang w:val="en-US" w:eastAsia="zh-CN"/>
        </w:rPr>
        <w:t>根据职能划转，从2023年8月开始，原由县工业信息局负责的商贸服务业及下属所有国有工业企业、二轻集体企业、商贸企业的管理权限都划转到我局，我局成立了全州县投促商贸服务中心，编制数10个，现有人数7个，相关的所有经费相应由我局做预算</w:t>
      </w:r>
      <w:r>
        <w:rPr>
          <w:rFonts w:hint="eastAsia"/>
          <w:sz w:val="32"/>
          <w:szCs w:val="32"/>
          <w:lang w:eastAsia="zh-CN"/>
        </w:rPr>
        <w:t>；政府性基金预算</w:t>
      </w:r>
      <w:r>
        <w:rPr>
          <w:rFonts w:hint="eastAsia" w:ascii="宋体" w:hAnsi="宋体" w:eastAsia="宋体"/>
          <w:sz w:val="32"/>
          <w:szCs w:val="32"/>
          <w:lang w:eastAsia="zh-CN"/>
        </w:rPr>
        <w:t>0.00</w:t>
      </w:r>
      <w:r>
        <w:rPr>
          <w:rFonts w:hint="eastAsia"/>
          <w:sz w:val="32"/>
          <w:szCs w:val="32"/>
          <w:lang w:eastAsia="zh-CN"/>
        </w:rPr>
        <w:t>万元，占收入总预算</w:t>
      </w:r>
      <w:r>
        <w:rPr>
          <w:rFonts w:hint="eastAsia" w:ascii="宋体" w:hAnsi="宋体" w:eastAsia="宋体"/>
          <w:sz w:val="32"/>
          <w:szCs w:val="32"/>
          <w:lang w:eastAsia="zh-CN"/>
        </w:rPr>
        <w:t>0.00%</w:t>
      </w:r>
      <w:r>
        <w:rPr>
          <w:rFonts w:hint="eastAsia"/>
          <w:sz w:val="32"/>
          <w:szCs w:val="32"/>
          <w:lang w:eastAsia="zh-CN"/>
        </w:rPr>
        <w:t>，同比</w:t>
      </w:r>
      <w:r>
        <w:rPr>
          <w:rFonts w:hint="eastAsia" w:ascii="宋体" w:hAnsi="宋体" w:eastAsia="宋体"/>
          <w:sz w:val="32"/>
          <w:szCs w:val="32"/>
          <w:lang w:eastAsia="zh-CN"/>
        </w:rPr>
        <w:t>增加0.00</w:t>
      </w:r>
      <w:r>
        <w:rPr>
          <w:rFonts w:hint="eastAsia"/>
          <w:sz w:val="32"/>
          <w:szCs w:val="32"/>
          <w:lang w:eastAsia="zh-CN"/>
        </w:rPr>
        <w:t>万元，</w:t>
      </w:r>
      <w:r>
        <w:rPr>
          <w:rFonts w:hint="eastAsia" w:ascii="宋体" w:hAnsi="宋体" w:eastAsia="宋体"/>
          <w:sz w:val="32"/>
          <w:szCs w:val="32"/>
          <w:lang w:eastAsia="zh-CN"/>
        </w:rPr>
        <w:t>增长0%</w:t>
      </w:r>
      <w:r>
        <w:rPr>
          <w:rFonts w:hint="eastAsia"/>
          <w:sz w:val="32"/>
          <w:szCs w:val="32"/>
          <w:lang w:eastAsia="zh-CN"/>
        </w:rPr>
        <w:t>，</w:t>
      </w:r>
      <w:r>
        <w:rPr>
          <w:rFonts w:hint="eastAsia"/>
          <w:sz w:val="32"/>
          <w:szCs w:val="32"/>
        </w:rPr>
        <w:t>主要原因是</w:t>
      </w:r>
      <w:r>
        <w:rPr>
          <w:rFonts w:hint="eastAsia" w:ascii="Arial" w:hAnsi="Arial" w:cs="Arial"/>
          <w:sz w:val="32"/>
          <w:szCs w:val="32"/>
          <w:lang w:eastAsia="zh-CN"/>
        </w:rPr>
        <w:t>：</w:t>
      </w:r>
      <w:r>
        <w:rPr>
          <w:rFonts w:hint="eastAsia"/>
          <w:sz w:val="32"/>
          <w:szCs w:val="32"/>
          <w:lang w:val="en-US" w:eastAsia="zh-CN"/>
        </w:rPr>
        <w:t>没有变化</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zh-TW" w:eastAsia="zh-TW"/>
        </w:rPr>
      </w:pPr>
      <w:r>
        <w:rPr>
          <w:rFonts w:hint="eastAsia"/>
          <w:sz w:val="32"/>
          <w:szCs w:val="32"/>
          <w:lang w:val="zh-TW" w:eastAsia="zh-TW"/>
        </w:rPr>
        <w:t>2024年财政拨款支出预算</w:t>
      </w:r>
      <w:r>
        <w:rPr>
          <w:rFonts w:hint="eastAsia"/>
          <w:sz w:val="32"/>
          <w:szCs w:val="32"/>
          <w:lang w:val="en-US" w:eastAsia="zh-CN"/>
        </w:rPr>
        <w:t>359.38</w:t>
      </w:r>
      <w:r>
        <w:rPr>
          <w:rFonts w:hint="eastAsia"/>
          <w:sz w:val="32"/>
          <w:szCs w:val="32"/>
          <w:lang w:val="zh-TW" w:eastAsia="zh-TW"/>
        </w:rPr>
        <w:t>万元，同比</w:t>
      </w:r>
      <w:r>
        <w:rPr>
          <w:rFonts w:hint="eastAsia"/>
          <w:sz w:val="32"/>
          <w:szCs w:val="32"/>
          <w:lang w:val="en-US" w:eastAsia="zh-TW"/>
        </w:rPr>
        <w:t>增加232.02</w:t>
      </w:r>
      <w:r>
        <w:rPr>
          <w:rFonts w:hint="eastAsia"/>
          <w:sz w:val="32"/>
          <w:szCs w:val="32"/>
          <w:lang w:val="zh-TW" w:eastAsia="zh-TW"/>
        </w:rPr>
        <w:t>万元，</w:t>
      </w:r>
      <w:r>
        <w:rPr>
          <w:sz w:val="32"/>
          <w:u w:color="auto"/>
        </w:rPr>
        <w:t>增长182.18%</w:t>
      </w:r>
      <w:r>
        <w:rPr>
          <w:rFonts w:hint="eastAsia"/>
          <w:sz w:val="32"/>
          <w:szCs w:val="32"/>
          <w:lang w:val="zh-TW" w:eastAsia="zh-CN"/>
        </w:rPr>
        <w:t>，</w:t>
      </w:r>
      <w:r>
        <w:rPr>
          <w:rFonts w:hint="eastAsia"/>
          <w:sz w:val="32"/>
          <w:szCs w:val="32"/>
        </w:rPr>
        <w:t>主要原因是</w:t>
      </w:r>
      <w:r>
        <w:rPr>
          <w:rFonts w:hint="eastAsia"/>
          <w:sz w:val="32"/>
          <w:szCs w:val="32"/>
          <w:lang w:val="zh-TW" w:eastAsia="zh-TW"/>
        </w:rPr>
        <w:t>：</w:t>
      </w:r>
      <w:r>
        <w:rPr>
          <w:rFonts w:hint="eastAsia"/>
          <w:sz w:val="32"/>
          <w:szCs w:val="32"/>
          <w:lang w:val="en-US" w:eastAsia="zh-CN"/>
        </w:rPr>
        <w:t>根据职能划转，从2023年8月开始，原由县工业信息局负责的商贸服务业及下属所有国有工业企业、二轻集体企业、商贸企业的管理权限都划转到我局，我局成立了全州县投促商贸服务中心，编制数10个，现有人数7个，相关的所有经费相应由我局支出。</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rPr>
      </w:pPr>
    </w:p>
    <w:p>
      <w:pPr>
        <w:pStyle w:val="19"/>
        <w:keepNext w:val="0"/>
        <w:keepLines w:val="0"/>
        <w:pageBreakBefore w:val="0"/>
        <w:widowControl w:val="0"/>
        <w:numPr>
          <w:ilvl w:val="0"/>
          <w:numId w:val="0"/>
        </w:numPr>
        <w:tabs>
          <w:tab w:val="left" w:pos="1238"/>
        </w:tabs>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eastAsia="zh-CN"/>
        </w:rPr>
      </w:pPr>
      <w:r>
        <w:rPr>
          <w:rFonts w:hint="eastAsia"/>
          <w:b/>
          <w:bCs/>
          <w:sz w:val="32"/>
          <w:szCs w:val="32"/>
          <w:lang w:val="en-US" w:eastAsia="zh-CN"/>
        </w:rPr>
        <w:t>五、</w:t>
      </w:r>
      <w:r>
        <w:rPr>
          <w:b/>
          <w:bCs/>
          <w:sz w:val="32"/>
          <w:szCs w:val="32"/>
        </w:rPr>
        <w:t>一般公共预算支出情况说明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2024</w:t>
      </w:r>
      <w:r>
        <w:rPr>
          <w:sz w:val="32"/>
          <w:u w:color="auto"/>
        </w:rPr>
        <w:t>年一般公共预算支出共359.38万元，同比增加232.02万元，增长182.18%，按支出功能分类科目划分，共分为4类，其中：</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1)</w:t>
      </w:r>
      <w:r>
        <w:rPr>
          <w:rFonts w:hint="eastAsia"/>
          <w:sz w:val="32"/>
          <w:szCs w:val="32"/>
        </w:rPr>
        <w:t>一般公共服务支出</w:t>
      </w:r>
      <w:r>
        <w:rPr>
          <w:rFonts w:hint="eastAsia"/>
          <w:sz w:val="32"/>
          <w:szCs w:val="32"/>
          <w:lang w:val="en-US" w:eastAsia="zh-CN"/>
        </w:rPr>
        <w:t>科目</w:t>
      </w:r>
      <w:r>
        <w:rPr>
          <w:rFonts w:hint="eastAsia"/>
          <w:sz w:val="32"/>
          <w:szCs w:val="32"/>
        </w:rPr>
        <w:t>311.99万元，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86.81%</w:t>
      </w:r>
      <w:r>
        <w:rPr>
          <w:rFonts w:hint="eastAsia"/>
          <w:sz w:val="32"/>
          <w:szCs w:val="32"/>
        </w:rPr>
        <w:t>，</w:t>
      </w:r>
      <w:r>
        <w:rPr>
          <w:rFonts w:hint="eastAsia"/>
          <w:sz w:val="32"/>
          <w:szCs w:val="32"/>
          <w:lang w:val="en-US" w:eastAsia="zh-CN"/>
        </w:rPr>
        <w:t>同比</w:t>
      </w:r>
      <w:r>
        <w:rPr>
          <w:rFonts w:hint="eastAsia"/>
          <w:sz w:val="32"/>
          <w:szCs w:val="32"/>
        </w:rPr>
        <w:t>增加216.63万元，</w:t>
      </w:r>
      <w:r>
        <w:rPr>
          <w:sz w:val="32"/>
          <w:u w:color="auto"/>
        </w:rPr>
        <w:t>增长227.17%</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行政运行</w:t>
      </w:r>
      <w:r>
        <w:rPr>
          <w:rFonts w:hint="eastAsia"/>
          <w:sz w:val="32"/>
          <w:szCs w:val="32"/>
          <w:lang w:val="en-US" w:eastAsia="zh-CN"/>
        </w:rPr>
        <w:t>科目</w:t>
      </w:r>
      <w:r>
        <w:rPr>
          <w:rFonts w:hint="eastAsia"/>
          <w:sz w:val="32"/>
          <w:szCs w:val="32"/>
        </w:rPr>
        <w:t>123.44万元，</w:t>
      </w:r>
      <w:r>
        <w:rPr>
          <w:rFonts w:hint="eastAsia"/>
          <w:sz w:val="32"/>
          <w:szCs w:val="32"/>
          <w:lang w:val="en-US" w:eastAsia="zh-CN"/>
        </w:rPr>
        <w:t>同比</w:t>
      </w:r>
      <w:r>
        <w:rPr>
          <w:rFonts w:hint="eastAsia"/>
          <w:sz w:val="32"/>
          <w:szCs w:val="32"/>
        </w:rPr>
        <w:t>增加47.23万元，</w:t>
      </w:r>
      <w:r>
        <w:rPr>
          <w:sz w:val="32"/>
          <w:u w:color="auto"/>
        </w:rPr>
        <w:t>增长61.97%</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根据国家规定的基本工资和津补贴标准等安排的人员经费支出，按县级公用经费定额标准安排的办公费、印刷费、邮电费、水电费、差旅费及日常公用经费支出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其他商贸事务支出</w:t>
      </w:r>
      <w:r>
        <w:rPr>
          <w:rFonts w:hint="eastAsia"/>
          <w:sz w:val="32"/>
          <w:szCs w:val="32"/>
          <w:lang w:val="en-US" w:eastAsia="zh-CN"/>
        </w:rPr>
        <w:t>科目</w:t>
      </w:r>
      <w:r>
        <w:rPr>
          <w:rFonts w:hint="eastAsia"/>
          <w:sz w:val="32"/>
          <w:szCs w:val="32"/>
        </w:rPr>
        <w:t>188.55万元，</w:t>
      </w:r>
      <w:r>
        <w:rPr>
          <w:rFonts w:hint="eastAsia"/>
          <w:sz w:val="32"/>
          <w:szCs w:val="32"/>
          <w:lang w:val="en-US" w:eastAsia="zh-CN"/>
        </w:rPr>
        <w:t>同比</w:t>
      </w:r>
      <w:r>
        <w:rPr>
          <w:rFonts w:hint="eastAsia"/>
          <w:sz w:val="32"/>
          <w:szCs w:val="32"/>
        </w:rPr>
        <w:t>增加169.40万元，</w:t>
      </w:r>
      <w:r>
        <w:rPr>
          <w:sz w:val="32"/>
          <w:u w:color="auto"/>
        </w:rPr>
        <w:t>增长884.60%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根据国家规定的基本工资和津补贴标准等安排的人员经费支出，按县级公用经费定额标准安排的办公费、印刷费、邮电费、水电费、差旅费及日常公用经费支出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2)</w:t>
      </w:r>
      <w:r>
        <w:rPr>
          <w:rFonts w:hint="eastAsia"/>
          <w:sz w:val="32"/>
          <w:szCs w:val="32"/>
        </w:rPr>
        <w:t>社会保障和就业支出</w:t>
      </w:r>
      <w:r>
        <w:rPr>
          <w:rFonts w:hint="eastAsia"/>
          <w:sz w:val="32"/>
          <w:szCs w:val="32"/>
          <w:lang w:val="en-US" w:eastAsia="zh-CN"/>
        </w:rPr>
        <w:t>科目</w:t>
      </w:r>
      <w:r>
        <w:rPr>
          <w:rFonts w:hint="eastAsia"/>
          <w:sz w:val="32"/>
          <w:szCs w:val="32"/>
        </w:rPr>
        <w:t>25.42万元，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7.07%</w:t>
      </w:r>
      <w:r>
        <w:rPr>
          <w:rFonts w:hint="eastAsia"/>
          <w:sz w:val="32"/>
          <w:szCs w:val="32"/>
        </w:rPr>
        <w:t>，</w:t>
      </w:r>
      <w:r>
        <w:rPr>
          <w:rFonts w:hint="eastAsia"/>
          <w:sz w:val="32"/>
          <w:szCs w:val="32"/>
          <w:lang w:val="en-US" w:eastAsia="zh-CN"/>
        </w:rPr>
        <w:t>同比</w:t>
      </w:r>
      <w:r>
        <w:rPr>
          <w:rFonts w:hint="eastAsia"/>
          <w:sz w:val="32"/>
          <w:szCs w:val="32"/>
        </w:rPr>
        <w:t>增加8.14万元，</w:t>
      </w:r>
      <w:r>
        <w:rPr>
          <w:sz w:val="32"/>
          <w:u w:color="auto"/>
        </w:rPr>
        <w:t>增长47.11%</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行政单位离退休</w:t>
      </w:r>
      <w:r>
        <w:rPr>
          <w:rFonts w:hint="eastAsia"/>
          <w:sz w:val="32"/>
          <w:szCs w:val="32"/>
          <w:lang w:val="en-US" w:eastAsia="zh-CN"/>
        </w:rPr>
        <w:t>科目</w:t>
      </w:r>
      <w:r>
        <w:rPr>
          <w:rFonts w:hint="eastAsia"/>
          <w:sz w:val="32"/>
          <w:szCs w:val="32"/>
        </w:rPr>
        <w:t>0.00万元，</w:t>
      </w:r>
      <w:r>
        <w:rPr>
          <w:rFonts w:hint="eastAsia"/>
          <w:sz w:val="32"/>
          <w:szCs w:val="32"/>
          <w:lang w:val="en-US" w:eastAsia="zh-CN"/>
        </w:rPr>
        <w:t>同比</w:t>
      </w:r>
      <w:r>
        <w:rPr>
          <w:rFonts w:hint="eastAsia"/>
          <w:sz w:val="32"/>
          <w:szCs w:val="32"/>
        </w:rPr>
        <w:t>减少0.60万元，</w:t>
      </w:r>
      <w:r>
        <w:rPr>
          <w:sz w:val="32"/>
          <w:u w:color="auto"/>
        </w:rPr>
        <w:t>下降100.00%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是根据国家规定的社会保障支出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机关事业单位基本养老保险缴费支出</w:t>
      </w:r>
      <w:r>
        <w:rPr>
          <w:rFonts w:hint="eastAsia"/>
          <w:sz w:val="32"/>
          <w:szCs w:val="32"/>
          <w:lang w:val="en-US" w:eastAsia="zh-CN"/>
        </w:rPr>
        <w:t>科目</w:t>
      </w:r>
      <w:r>
        <w:rPr>
          <w:rFonts w:hint="eastAsia"/>
          <w:sz w:val="32"/>
          <w:szCs w:val="32"/>
        </w:rPr>
        <w:t>16.79万元，</w:t>
      </w:r>
      <w:r>
        <w:rPr>
          <w:rFonts w:hint="eastAsia"/>
          <w:sz w:val="32"/>
          <w:szCs w:val="32"/>
          <w:lang w:val="en-US" w:eastAsia="zh-CN"/>
        </w:rPr>
        <w:t>同比</w:t>
      </w:r>
      <w:r>
        <w:rPr>
          <w:rFonts w:hint="eastAsia"/>
          <w:sz w:val="32"/>
          <w:szCs w:val="32"/>
        </w:rPr>
        <w:t>增加5.67万元，</w:t>
      </w:r>
      <w:r>
        <w:rPr>
          <w:sz w:val="32"/>
          <w:u w:color="auto"/>
        </w:rPr>
        <w:t>增长50.99%</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根据国家规定的机关事业人员基本养老保险缴费支出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机关事业单位职业年金缴费支出</w:t>
      </w:r>
      <w:r>
        <w:rPr>
          <w:rFonts w:hint="eastAsia"/>
          <w:sz w:val="32"/>
          <w:szCs w:val="32"/>
          <w:lang w:val="en-US" w:eastAsia="zh-CN"/>
        </w:rPr>
        <w:t>科目</w:t>
      </w:r>
      <w:r>
        <w:rPr>
          <w:rFonts w:hint="eastAsia"/>
          <w:sz w:val="32"/>
          <w:szCs w:val="32"/>
        </w:rPr>
        <w:t>8.39万元，</w:t>
      </w:r>
      <w:r>
        <w:rPr>
          <w:rFonts w:hint="eastAsia"/>
          <w:sz w:val="32"/>
          <w:szCs w:val="32"/>
          <w:lang w:val="en-US" w:eastAsia="zh-CN"/>
        </w:rPr>
        <w:t>同比</w:t>
      </w:r>
      <w:r>
        <w:rPr>
          <w:rFonts w:hint="eastAsia"/>
          <w:sz w:val="32"/>
          <w:szCs w:val="32"/>
        </w:rPr>
        <w:t>增加2.83万元，</w:t>
      </w:r>
      <w:r>
        <w:rPr>
          <w:sz w:val="32"/>
          <w:u w:color="auto"/>
        </w:rPr>
        <w:t>增长50.90%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根据国家规定的机关事业人员职业年金缴费支出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其他社会保障和就业支出</w:t>
      </w:r>
      <w:r>
        <w:rPr>
          <w:rFonts w:hint="eastAsia"/>
          <w:sz w:val="32"/>
          <w:szCs w:val="32"/>
          <w:lang w:val="en-US" w:eastAsia="zh-CN"/>
        </w:rPr>
        <w:t>科目</w:t>
      </w:r>
      <w:r>
        <w:rPr>
          <w:rFonts w:hint="eastAsia"/>
          <w:sz w:val="32"/>
          <w:szCs w:val="32"/>
        </w:rPr>
        <w:t>0.24万元，</w:t>
      </w:r>
      <w:r>
        <w:rPr>
          <w:rFonts w:hint="eastAsia"/>
          <w:sz w:val="32"/>
          <w:szCs w:val="32"/>
          <w:lang w:val="en-US" w:eastAsia="zh-CN"/>
        </w:rPr>
        <w:t>同比</w:t>
      </w:r>
      <w:r>
        <w:rPr>
          <w:rFonts w:hint="eastAsia"/>
          <w:sz w:val="32"/>
          <w:szCs w:val="32"/>
        </w:rPr>
        <w:t>增加0.24万元，</w:t>
      </w:r>
      <w:r>
        <w:rPr>
          <w:sz w:val="32"/>
          <w:u w:color="auto"/>
        </w:rPr>
        <w:t>增长100%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根据国家规定的机关事业人员工伤、失业缴费支出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3)</w:t>
      </w:r>
      <w:r>
        <w:rPr>
          <w:rFonts w:hint="eastAsia"/>
          <w:sz w:val="32"/>
          <w:szCs w:val="32"/>
        </w:rPr>
        <w:t>卫生健康支出</w:t>
      </w:r>
      <w:r>
        <w:rPr>
          <w:rFonts w:hint="eastAsia"/>
          <w:sz w:val="32"/>
          <w:szCs w:val="32"/>
          <w:lang w:val="en-US" w:eastAsia="zh-CN"/>
        </w:rPr>
        <w:t>科目</w:t>
      </w:r>
      <w:r>
        <w:rPr>
          <w:rFonts w:hint="eastAsia"/>
          <w:sz w:val="32"/>
          <w:szCs w:val="32"/>
        </w:rPr>
        <w:t>7.97万元，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2.22%</w:t>
      </w:r>
      <w:r>
        <w:rPr>
          <w:rFonts w:hint="eastAsia"/>
          <w:sz w:val="32"/>
          <w:szCs w:val="32"/>
        </w:rPr>
        <w:t>，</w:t>
      </w:r>
      <w:r>
        <w:rPr>
          <w:rFonts w:hint="eastAsia"/>
          <w:sz w:val="32"/>
          <w:szCs w:val="32"/>
          <w:lang w:val="en-US" w:eastAsia="zh-CN"/>
        </w:rPr>
        <w:t>同比</w:t>
      </w:r>
      <w:r>
        <w:rPr>
          <w:rFonts w:hint="eastAsia"/>
          <w:sz w:val="32"/>
          <w:szCs w:val="32"/>
        </w:rPr>
        <w:t>增加1.58万元，</w:t>
      </w:r>
      <w:r>
        <w:rPr>
          <w:sz w:val="32"/>
          <w:u w:color="auto"/>
        </w:rPr>
        <w:t>增长24.73%</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行政单位医疗</w:t>
      </w:r>
      <w:r>
        <w:rPr>
          <w:rFonts w:hint="eastAsia"/>
          <w:sz w:val="32"/>
          <w:szCs w:val="32"/>
          <w:lang w:val="en-US" w:eastAsia="zh-CN"/>
        </w:rPr>
        <w:t>科目</w:t>
      </w:r>
      <w:r>
        <w:rPr>
          <w:rFonts w:hint="eastAsia"/>
          <w:sz w:val="32"/>
          <w:szCs w:val="32"/>
        </w:rPr>
        <w:t>7.76万元，</w:t>
      </w:r>
      <w:r>
        <w:rPr>
          <w:rFonts w:hint="eastAsia"/>
          <w:sz w:val="32"/>
          <w:szCs w:val="32"/>
          <w:lang w:val="en-US" w:eastAsia="zh-CN"/>
        </w:rPr>
        <w:t>同比</w:t>
      </w:r>
      <w:r>
        <w:rPr>
          <w:rFonts w:hint="eastAsia"/>
          <w:sz w:val="32"/>
          <w:szCs w:val="32"/>
        </w:rPr>
        <w:t>增加1.51万元，</w:t>
      </w:r>
      <w:r>
        <w:rPr>
          <w:sz w:val="32"/>
          <w:u w:color="auto"/>
        </w:rPr>
        <w:t>增长24.16%</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根据国家规定的机关事业人员基本医疗保险缴费支出</w:t>
      </w:r>
      <w:r>
        <w:rPr>
          <w:sz w:val="32"/>
          <w:u w:color="auto"/>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其他行政事业单位医疗支出</w:t>
      </w:r>
      <w:r>
        <w:rPr>
          <w:rFonts w:hint="eastAsia"/>
          <w:sz w:val="32"/>
          <w:szCs w:val="32"/>
          <w:lang w:val="en-US" w:eastAsia="zh-CN"/>
        </w:rPr>
        <w:t>科目</w:t>
      </w:r>
      <w:r>
        <w:rPr>
          <w:rFonts w:hint="eastAsia"/>
          <w:sz w:val="32"/>
          <w:szCs w:val="32"/>
        </w:rPr>
        <w:t>0.21万元，</w:t>
      </w:r>
      <w:r>
        <w:rPr>
          <w:rFonts w:hint="eastAsia"/>
          <w:sz w:val="32"/>
          <w:szCs w:val="32"/>
          <w:lang w:val="en-US" w:eastAsia="zh-CN"/>
        </w:rPr>
        <w:t>同比</w:t>
      </w:r>
      <w:r>
        <w:rPr>
          <w:rFonts w:hint="eastAsia"/>
          <w:sz w:val="32"/>
          <w:szCs w:val="32"/>
        </w:rPr>
        <w:t>增加0.07万元，</w:t>
      </w:r>
      <w:r>
        <w:rPr>
          <w:sz w:val="32"/>
          <w:u w:color="auto"/>
        </w:rPr>
        <w:t>增长50.00%</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根据国家规定的机关事业人员医疗费支出</w:t>
      </w:r>
      <w:r>
        <w:rPr>
          <w:sz w:val="32"/>
          <w:u w:color="auto"/>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lang w:eastAsia="zh-CN"/>
        </w:rPr>
        <w:t>(</w:t>
      </w:r>
      <w:r>
        <w:rPr>
          <w:sz w:val="32"/>
          <w:u w:color="auto"/>
        </w:rPr>
        <w:t>4)</w:t>
      </w:r>
      <w:r>
        <w:rPr>
          <w:rFonts w:hint="eastAsia"/>
          <w:sz w:val="32"/>
          <w:szCs w:val="32"/>
        </w:rPr>
        <w:t>住房保障支出</w:t>
      </w:r>
      <w:r>
        <w:rPr>
          <w:rFonts w:hint="eastAsia"/>
          <w:sz w:val="32"/>
          <w:szCs w:val="32"/>
          <w:lang w:val="en-US" w:eastAsia="zh-CN"/>
        </w:rPr>
        <w:t>科目</w:t>
      </w:r>
      <w:r>
        <w:rPr>
          <w:rFonts w:hint="eastAsia"/>
          <w:sz w:val="32"/>
          <w:szCs w:val="32"/>
        </w:rPr>
        <w:t>13.99万元，</w:t>
      </w:r>
      <w:r>
        <w:rPr>
          <w:rFonts w:hint="eastAsia"/>
          <w:sz w:val="32"/>
          <w:szCs w:val="32"/>
          <w:lang w:val="en-US" w:eastAsia="zh-CN"/>
        </w:rPr>
        <w:t>占</w:t>
      </w:r>
      <w:r>
        <w:rPr>
          <w:rFonts w:hint="default"/>
          <w:sz w:val="32"/>
          <w:szCs w:val="32"/>
          <w:lang w:val="en-US" w:eastAsia="zh-CN"/>
        </w:rPr>
        <w:t>一般公共预算支出</w:t>
      </w:r>
      <w:r>
        <w:rPr>
          <w:rFonts w:hint="eastAsia"/>
          <w:sz w:val="32"/>
          <w:szCs w:val="32"/>
          <w:lang w:val="en-US" w:eastAsia="zh-CN"/>
        </w:rPr>
        <w:t>预</w:t>
      </w:r>
      <w:r>
        <w:rPr>
          <w:rFonts w:hint="eastAsia"/>
          <w:sz w:val="32"/>
          <w:szCs w:val="32"/>
        </w:rPr>
        <w:t>的</w:t>
      </w:r>
      <w:r>
        <w:rPr>
          <w:sz w:val="32"/>
          <w:u w:color="auto"/>
        </w:rPr>
        <w:t>3.89%</w:t>
      </w:r>
      <w:r>
        <w:rPr>
          <w:rFonts w:hint="eastAsia"/>
          <w:sz w:val="32"/>
          <w:szCs w:val="32"/>
        </w:rPr>
        <w:t>，</w:t>
      </w:r>
      <w:r>
        <w:rPr>
          <w:rFonts w:hint="eastAsia"/>
          <w:sz w:val="32"/>
          <w:szCs w:val="32"/>
          <w:lang w:val="en-US" w:eastAsia="zh-CN"/>
        </w:rPr>
        <w:t>同比</w:t>
      </w:r>
      <w:r>
        <w:rPr>
          <w:rFonts w:hint="eastAsia"/>
          <w:sz w:val="32"/>
          <w:szCs w:val="32"/>
        </w:rPr>
        <w:t>增加5.65万元，</w:t>
      </w:r>
      <w:r>
        <w:rPr>
          <w:sz w:val="32"/>
          <w:u w:color="auto"/>
        </w:rPr>
        <w:t>增长67.75%</w:t>
      </w:r>
      <w:r>
        <w:rPr>
          <w:rFonts w:hint="eastAsia"/>
          <w:sz w:val="32"/>
          <w:szCs w:val="32"/>
        </w:rPr>
        <w:t>，</w:t>
      </w:r>
      <w:r>
        <w:rPr>
          <w:rFonts w:hint="eastAsia"/>
          <w:sz w:val="32"/>
          <w:szCs w:val="32"/>
          <w:lang w:val="en-US" w:eastAsia="zh-CN"/>
        </w:rPr>
        <w:t>具体如下</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left="0" w:leftChars="0" w:firstLine="420" w:firstLineChars="0"/>
        <w:textAlignment w:val="auto"/>
        <w:rPr>
          <w:rFonts w:hint="eastAsia"/>
          <w:sz w:val="32"/>
          <w:szCs w:val="32"/>
          <w:highlight w:val="none"/>
        </w:rPr>
      </w:pPr>
      <w:r>
        <w:rPr>
          <w:rFonts w:hint="eastAsia"/>
          <w:sz w:val="32"/>
          <w:szCs w:val="32"/>
        </w:rPr>
        <w:t>住房公积金</w:t>
      </w:r>
      <w:r>
        <w:rPr>
          <w:rFonts w:hint="eastAsia"/>
          <w:sz w:val="32"/>
          <w:szCs w:val="32"/>
          <w:lang w:val="en-US" w:eastAsia="zh-CN"/>
        </w:rPr>
        <w:t>科目</w:t>
      </w:r>
      <w:r>
        <w:rPr>
          <w:rFonts w:hint="eastAsia"/>
          <w:sz w:val="32"/>
          <w:szCs w:val="32"/>
        </w:rPr>
        <w:t>13.99万元，</w:t>
      </w:r>
      <w:r>
        <w:rPr>
          <w:rFonts w:hint="eastAsia"/>
          <w:sz w:val="32"/>
          <w:szCs w:val="32"/>
          <w:lang w:val="en-US" w:eastAsia="zh-CN"/>
        </w:rPr>
        <w:t>同比</w:t>
      </w:r>
      <w:r>
        <w:rPr>
          <w:rFonts w:hint="eastAsia"/>
          <w:sz w:val="32"/>
          <w:szCs w:val="32"/>
        </w:rPr>
        <w:t>增加5.65万元，</w:t>
      </w:r>
      <w:r>
        <w:rPr>
          <w:sz w:val="32"/>
          <w:u w:color="auto"/>
        </w:rPr>
        <w:t>增长67.75%</w:t>
      </w:r>
      <w:r>
        <w:rPr>
          <w:rFonts w:hint="eastAsia"/>
          <w:sz w:val="32"/>
          <w:szCs w:val="32"/>
          <w:lang w:val="en-US" w:eastAsia="zh-CN"/>
        </w:rPr>
        <w:t>,</w:t>
      </w:r>
      <w:r>
        <w:rPr>
          <w:rFonts w:hint="default"/>
          <w:sz w:val="32"/>
          <w:szCs w:val="32"/>
        </w:rPr>
        <w:t>全都是基本支出预算</w:t>
      </w:r>
      <w:r>
        <w:rPr>
          <w:rFonts w:hint="eastAsia"/>
          <w:sz w:val="32"/>
          <w:szCs w:val="32"/>
          <w:lang w:eastAsia="zh-CN"/>
        </w:rPr>
        <w:t>。</w:t>
      </w:r>
      <w:r>
        <w:rPr>
          <w:rFonts w:hint="default" w:ascii="Arial" w:hAnsi="Arial" w:cs="Arial"/>
          <w:sz w:val="32"/>
          <w:szCs w:val="32"/>
          <w:lang w:eastAsia="zh-CN"/>
        </w:rPr>
        <w:t>主要用于</w:t>
      </w:r>
      <w:r>
        <w:rPr>
          <w:rFonts w:hint="eastAsia"/>
          <w:sz w:val="32"/>
          <w:szCs w:val="32"/>
          <w:highlight w:val="none"/>
        </w:rPr>
        <w:t>根据国家规定的机关事业人员住房公积金缴费支出</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lang w:val="en-US" w:eastAsia="zh-CN"/>
        </w:rPr>
      </w:pPr>
      <w:r>
        <w:rPr>
          <w:rFonts w:hint="eastAsia"/>
          <w:b/>
          <w:bCs/>
          <w:sz w:val="32"/>
          <w:szCs w:val="32"/>
          <w:lang w:val="en-US" w:eastAsia="zh-CN"/>
        </w:rPr>
        <w:t>六、</w:t>
      </w:r>
      <w:r>
        <w:rPr>
          <w:b/>
          <w:bCs/>
          <w:sz w:val="32"/>
          <w:szCs w:val="32"/>
        </w:rPr>
        <w:t>一般公共预算基本支出情况说明</w:t>
      </w:r>
    </w:p>
    <w:p>
      <w:pPr>
        <w:pStyle w:val="21"/>
        <w:pageBreakBefore w:val="0"/>
        <w:kinsoku/>
        <w:wordWrap/>
        <w:overflowPunct/>
        <w:topLinePunct w:val="0"/>
        <w:autoSpaceDE/>
        <w:autoSpaceDN/>
        <w:bidi w:val="0"/>
        <w:adjustRightInd/>
        <w:snapToGrid/>
        <w:spacing w:line="360" w:lineRule="auto"/>
        <w:ind w:firstLine="640" w:firstLineChars="200"/>
        <w:textAlignment w:val="auto"/>
        <w:rPr>
          <w:sz w:val="32"/>
          <w:szCs w:val="32"/>
          <w:lang w:val="en-US"/>
        </w:rPr>
      </w:pPr>
      <w:r>
        <w:rPr>
          <w:rFonts w:hint="eastAsia"/>
          <w:sz w:val="32"/>
          <w:szCs w:val="32"/>
          <w:lang w:val="en-US" w:eastAsia="zh-CN"/>
        </w:rPr>
        <w:t>2024</w:t>
      </w:r>
      <w:r>
        <w:rPr>
          <w:sz w:val="32"/>
          <w:u w:color="auto"/>
        </w:rPr>
        <w:t>年</w:t>
      </w:r>
      <w:r>
        <w:rPr>
          <w:rFonts w:hint="eastAsia"/>
          <w:sz w:val="32"/>
          <w:szCs w:val="32"/>
        </w:rPr>
        <w:t>一般公共预算基本支出共</w:t>
      </w:r>
      <w:r>
        <w:rPr>
          <w:rFonts w:hint="eastAsia"/>
          <w:sz w:val="32"/>
          <w:szCs w:val="32"/>
          <w:lang w:val="en-US" w:eastAsia="zh-CN"/>
        </w:rPr>
        <w:t>178.80</w:t>
      </w:r>
      <w:r>
        <w:rPr>
          <w:rFonts w:hint="eastAsia"/>
          <w:sz w:val="32"/>
          <w:szCs w:val="32"/>
        </w:rPr>
        <w:t>万元，</w:t>
      </w:r>
      <w:r>
        <w:rPr>
          <w:rFonts w:hint="eastAsia"/>
          <w:sz w:val="32"/>
          <w:szCs w:val="32"/>
          <w:lang w:val="en-US" w:eastAsia="zh-CN"/>
        </w:rPr>
        <w:t>增加67.44</w:t>
      </w:r>
      <w:r>
        <w:rPr>
          <w:rFonts w:hint="eastAsia"/>
          <w:sz w:val="32"/>
          <w:szCs w:val="32"/>
        </w:rPr>
        <w:t>万元，</w:t>
      </w:r>
      <w:r>
        <w:rPr>
          <w:rFonts w:hint="eastAsia"/>
          <w:sz w:val="32"/>
          <w:szCs w:val="32"/>
          <w:lang w:val="en-US" w:eastAsia="zh-CN"/>
        </w:rPr>
        <w:t>增长60.56%</w:t>
      </w:r>
      <w:r>
        <w:rPr>
          <w:rFonts w:hint="eastAsia"/>
          <w:sz w:val="32"/>
          <w:szCs w:val="32"/>
        </w:rPr>
        <w:t>，主要原因是</w:t>
      </w:r>
      <w:r>
        <w:rPr>
          <w:rFonts w:hint="eastAsia"/>
          <w:sz w:val="32"/>
          <w:szCs w:val="32"/>
          <w:lang w:val="en-US" w:eastAsia="zh-CN"/>
        </w:rPr>
        <w:t>根据职能划转，从2023年8月开始，原由县工业信息局负责的商贸服务业及下属所有国有工业企业、二轻集体企业、商贸企业的管理权限都划转到我局，我局相应成立了全州县投促商贸服务中心，新增编制数10个，新增人数7个，相关的基本支出由我局做支出</w:t>
      </w:r>
      <w:r>
        <w:rPr>
          <w:rFonts w:hint="eastAsia"/>
          <w:sz w:val="32"/>
          <w:szCs w:val="32"/>
        </w:rPr>
        <w:t>。</w:t>
      </w:r>
      <w:r>
        <w:rPr>
          <w:rFonts w:hint="default" w:ascii="Arial" w:hAnsi="Arial" w:cs="Arial"/>
          <w:sz w:val="32"/>
          <w:szCs w:val="32"/>
        </w:rPr>
        <w:t>其中</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工资福利支出</w:t>
      </w:r>
      <w:r>
        <w:rPr>
          <w:sz w:val="32"/>
          <w:u w:color="auto"/>
        </w:rPr>
        <w:t>164.01万元，增长63.12万元，增长62.56%，主要原因是：根据职能划转，我局成立了全州县投促商贸服务中心，新增编制数10个，新增人数7个，工资福利支出相应增长。</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商品和服务支出</w:t>
      </w:r>
      <w:r>
        <w:rPr>
          <w:sz w:val="32"/>
          <w:u w:color="auto"/>
        </w:rPr>
        <w:t>13.79万元，增长3.92万元，增长39.72%，主要原因是：根据职能划转，我局成立了全州县投促商贸服务中心，新增编制数10个，新增人数7个，商品和服务支出相应增长。</w:t>
      </w:r>
    </w:p>
    <w:p>
      <w:pPr>
        <w:pStyle w:val="21"/>
        <w:pageBreakBefore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对个人和家庭的补助</w:t>
      </w:r>
      <w:r>
        <w:rPr>
          <w:sz w:val="32"/>
          <w:u w:color="auto"/>
        </w:rPr>
        <w:t>1.00万元，增长0.40万元，增长66.67%，主要原因是：补助标准调整。</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工资福利支出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基本工资53.59万元,津贴补贴17.12万元,奖金34.25万元,绩效工资11.67万元,机关事业单位基本养老保险缴费16.79万元,职业年金缴费8.39万元,职工基本医疗保险缴费7.76万元,其他社会保障缴费0.45万元,住房公积金13.99万元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商品和服务支出</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办公费1.50万元,印刷费1.00万元,邮电费1.00万元,差旅费2.50万元,培训费0.30万元,公务接待费0.23万元,其他交通费用5.82万元,其他商品和服务支出1.44万元</w:t>
      </w:r>
      <w:r>
        <w:rPr>
          <w:sz w:val="32"/>
          <w:u w:color="auto"/>
        </w:rPr>
        <w:t>。</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lang w:eastAsia="zh-CN"/>
        </w:rPr>
      </w:pPr>
      <w:r>
        <w:rPr>
          <w:rFonts w:hint="eastAsia"/>
          <w:sz w:val="32"/>
          <w:szCs w:val="32"/>
          <w:lang w:val="en-US" w:eastAsia="zh-CN"/>
        </w:rPr>
        <w:t>对个人和家庭的补助</w:t>
      </w:r>
      <w:r>
        <w:rPr>
          <w:rFonts w:hint="eastAsia"/>
          <w:sz w:val="32"/>
          <w:szCs w:val="32"/>
          <w:lang w:eastAsia="zh-CN"/>
        </w:rPr>
        <w:t>包括以下内容：</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TW"/>
        </w:rPr>
      </w:pPr>
      <w:r>
        <w:rPr>
          <w:rFonts w:hint="eastAsia"/>
          <w:sz w:val="32"/>
          <w:szCs w:val="32"/>
          <w:lang w:val="en-US" w:eastAsia="zh-CN"/>
        </w:rPr>
        <w:t>退休费1.00万元</w:t>
      </w:r>
      <w:r>
        <w:rPr>
          <w:sz w:val="32"/>
          <w:u w:color="auto"/>
        </w:rPr>
        <w:t>。</w:t>
      </w:r>
    </w:p>
    <w:p>
      <w:pPr>
        <w:pStyle w:val="19"/>
        <w:keepNext w:val="0"/>
        <w:keepLines w:val="0"/>
        <w:pageBreakBefore w:val="0"/>
        <w:widowControl w:val="0"/>
        <w:numPr>
          <w:ilvl w:val="0"/>
          <w:numId w:val="0"/>
        </w:numPr>
        <w:kinsoku/>
        <w:wordWrap/>
        <w:overflowPunct/>
        <w:topLinePunct w:val="0"/>
        <w:autoSpaceDE/>
        <w:autoSpaceDN/>
        <w:bidi w:val="0"/>
        <w:adjustRightInd/>
        <w:snapToGrid/>
        <w:spacing w:before="361" w:beforeLines="100" w:after="181" w:afterLines="50" w:line="360" w:lineRule="auto"/>
        <w:ind w:firstLine="641" w:firstLineChars="200"/>
        <w:textAlignment w:val="auto"/>
        <w:rPr>
          <w:sz w:val="32"/>
          <w:szCs w:val="32"/>
          <w:highlight w:val="yellow"/>
          <w:lang w:val="en-US" w:eastAsia="zh-CN"/>
        </w:rPr>
      </w:pPr>
      <w:r>
        <w:rPr>
          <w:rFonts w:hint="eastAsia"/>
          <w:b/>
          <w:bCs/>
          <w:sz w:val="32"/>
          <w:szCs w:val="32"/>
          <w:lang w:val="en-US" w:eastAsia="zh-CN"/>
        </w:rPr>
        <w:t>七、</w:t>
      </w:r>
      <w:r>
        <w:rPr>
          <w:rFonts w:hint="default" w:ascii="宋体" w:hAnsi="宋体" w:cs="宋体"/>
          <w:b/>
          <w:bCs/>
          <w:sz w:val="32"/>
          <w:szCs w:val="32"/>
        </w:rPr>
        <w:t>财政拨款三公两费支出情况说明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00"/>
        <w:textAlignment w:val="auto"/>
        <w:rPr>
          <w:rFonts w:hint="eastAsia"/>
          <w:sz w:val="32"/>
          <w:szCs w:val="32"/>
          <w:lang w:eastAsia="zh-CN"/>
        </w:rPr>
      </w:pPr>
      <w:bookmarkStart w:id="14" w:name="bookmark90"/>
      <w:r>
        <w:rPr>
          <w:rFonts w:hint="eastAsia"/>
          <w:sz w:val="32"/>
          <w:szCs w:val="32"/>
          <w:lang w:eastAsia="zh-CN"/>
        </w:rPr>
        <w:t>（</w:t>
      </w:r>
      <w:r>
        <w:rPr>
          <w:rFonts w:hint="eastAsia"/>
          <w:sz w:val="32"/>
          <w:szCs w:val="32"/>
          <w:lang w:val="en-US" w:eastAsia="zh-CN"/>
        </w:rPr>
        <w:t>一</w:t>
      </w:r>
      <w:r>
        <w:rPr>
          <w:rFonts w:hint="eastAsia"/>
          <w:sz w:val="32"/>
          <w:szCs w:val="32"/>
          <w:lang w:eastAsia="zh-CN"/>
        </w:rPr>
        <w:t>）</w:t>
      </w:r>
      <w:r>
        <w:rPr>
          <w:sz w:val="32"/>
          <w:u w:color="auto"/>
        </w:rPr>
        <w:t>2024年</w:t>
      </w:r>
      <w:r>
        <w:rPr>
          <w:rFonts w:hint="eastAsia"/>
          <w:sz w:val="32"/>
          <w:szCs w:val="32"/>
          <w:lang w:val="en-US" w:eastAsia="zh-CN"/>
        </w:rPr>
        <w:t>一般公共</w:t>
      </w:r>
      <w:r>
        <w:rPr>
          <w:rFonts w:hint="eastAsia"/>
          <w:sz w:val="32"/>
          <w:szCs w:val="32"/>
          <w:lang w:eastAsia="zh-CN"/>
        </w:rPr>
        <w:t>预算共安排</w:t>
      </w:r>
      <w:r>
        <w:rPr>
          <w:rFonts w:hint="eastAsia"/>
          <w:sz w:val="32"/>
          <w:szCs w:val="32"/>
          <w:lang w:val="zh-CN" w:eastAsia="zh-CN"/>
        </w:rPr>
        <w:t>“三公</w:t>
      </w:r>
      <w:r>
        <w:rPr>
          <w:rFonts w:hint="eastAsia"/>
          <w:sz w:val="32"/>
          <w:szCs w:val="32"/>
          <w:lang w:val="en-US" w:eastAsia="zh-CN"/>
        </w:rPr>
        <w:t>”</w:t>
      </w:r>
      <w:r>
        <w:rPr>
          <w:rFonts w:hint="eastAsia"/>
          <w:sz w:val="32"/>
          <w:szCs w:val="32"/>
          <w:lang w:eastAsia="zh-CN"/>
        </w:rPr>
        <w:t>经费支出预算</w:t>
      </w:r>
      <w:r>
        <w:rPr>
          <w:rFonts w:hint="eastAsia"/>
          <w:sz w:val="32"/>
          <w:szCs w:val="32"/>
          <w:lang w:val="en-US" w:eastAsia="zh-CN"/>
        </w:rPr>
        <w:t>6.23</w:t>
      </w:r>
      <w:r>
        <w:rPr>
          <w:rFonts w:hint="eastAsia"/>
          <w:sz w:val="32"/>
          <w:szCs w:val="32"/>
          <w:lang w:eastAsia="zh-CN"/>
        </w:rPr>
        <w:t>万元，</w:t>
      </w:r>
      <w:r>
        <w:rPr>
          <w:sz w:val="32"/>
          <w:u w:color="auto"/>
        </w:rPr>
        <w:t>减少0.09万元，下降1.42%</w:t>
      </w:r>
      <w:r>
        <w:rPr>
          <w:rFonts w:hint="eastAsia" w:ascii="宋体" w:hAnsi="宋体" w:cs="宋体"/>
          <w:sz w:val="32"/>
          <w:szCs w:val="32"/>
          <w:lang w:eastAsia="zh-CN"/>
        </w:rPr>
        <w:t>。具体如下</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zh-CN"/>
        </w:rPr>
        <w:t>1、</w:t>
      </w:r>
      <w:r>
        <w:rPr>
          <w:rFonts w:hint="eastAsia"/>
          <w:sz w:val="32"/>
          <w:szCs w:val="32"/>
          <w:highlight w:val="none"/>
          <w:lang w:val="en-US" w:eastAsia="zh-CN"/>
        </w:rPr>
        <w:t>因公出国（境）经费无预算安排，同比无变化</w:t>
      </w:r>
      <w:r>
        <w:rPr>
          <w:rFonts w:hint="eastAsia"/>
          <w:sz w:val="32"/>
          <w:szCs w:val="32"/>
          <w:lang w:eastAsia="zh-CN"/>
        </w:rPr>
        <w:t>。</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highlight w:val="none"/>
          <w:lang w:eastAsia="zh-CN"/>
        </w:rPr>
      </w:pPr>
      <w:r>
        <w:rPr>
          <w:rFonts w:hint="eastAsia"/>
          <w:sz w:val="32"/>
          <w:szCs w:val="32"/>
          <w:lang w:val="en-US" w:eastAsia="zh-CN"/>
        </w:rPr>
        <w:t>2、</w:t>
      </w:r>
      <w:r>
        <w:rPr>
          <w:rFonts w:hint="eastAsia"/>
          <w:sz w:val="32"/>
          <w:szCs w:val="32"/>
          <w:lang w:eastAsia="zh-CN"/>
        </w:rPr>
        <w:t>公务接待费预算</w:t>
      </w:r>
      <w:r>
        <w:rPr>
          <w:rFonts w:hint="eastAsia"/>
          <w:sz w:val="32"/>
          <w:szCs w:val="32"/>
          <w:lang w:val="en-US" w:eastAsia="zh-CN"/>
        </w:rPr>
        <w:t>6.23</w:t>
      </w:r>
      <w:r>
        <w:rPr>
          <w:rFonts w:hint="eastAsia"/>
          <w:sz w:val="32"/>
          <w:szCs w:val="32"/>
          <w:lang w:eastAsia="zh-CN"/>
        </w:rPr>
        <w:t>万元，</w:t>
      </w:r>
      <w:r>
        <w:rPr>
          <w:rFonts w:hint="eastAsia"/>
          <w:sz w:val="32"/>
          <w:szCs w:val="32"/>
        </w:rPr>
        <w:t>减少0.09</w:t>
      </w:r>
      <w:r>
        <w:rPr>
          <w:sz w:val="32"/>
          <w:u w:color="auto"/>
        </w:rPr>
        <w:t>万元，下降1.42%</w:t>
      </w:r>
      <w:r>
        <w:rPr>
          <w:rFonts w:hint="eastAsia" w:ascii="宋体" w:hAnsi="宋体" w:cs="宋体"/>
          <w:sz w:val="32"/>
          <w:szCs w:val="32"/>
          <w:highlight w:val="none"/>
          <w:lang w:eastAsia="zh-CN"/>
        </w:rPr>
        <w:t>。</w:t>
      </w:r>
      <w:r>
        <w:rPr>
          <w:rFonts w:hint="eastAsia" w:cs="宋体"/>
          <w:sz w:val="32"/>
          <w:szCs w:val="32"/>
          <w:highlight w:val="none"/>
          <w:lang w:val="en-US" w:eastAsia="zh-CN"/>
        </w:rPr>
        <w:t>主要原因：</w:t>
      </w:r>
      <w:r>
        <w:rPr>
          <w:rFonts w:hint="eastAsia"/>
          <w:sz w:val="32"/>
          <w:szCs w:val="32"/>
          <w:highlight w:val="none"/>
          <w:lang w:val="en-US" w:eastAsia="zh-CN"/>
        </w:rPr>
        <w:t>从节俭出发，严格控制公务接待；</w:t>
      </w:r>
      <w:r>
        <w:rPr>
          <w:rFonts w:hint="eastAsia" w:ascii="宋体" w:hAnsi="宋体" w:cs="宋体"/>
          <w:sz w:val="32"/>
          <w:szCs w:val="32"/>
          <w:highlight w:val="none"/>
          <w:lang w:eastAsia="zh-CN"/>
        </w:rPr>
        <w:t>主要用于单位按规定开支的各类公务接待费用。</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highlight w:val="none"/>
          <w:lang w:val="en-US" w:eastAsia="zh-CN"/>
        </w:rPr>
        <w:t>3、公务用车购置及运行费支出预算</w:t>
      </w:r>
      <w:r>
        <w:rPr>
          <w:sz w:val="32"/>
          <w:u w:color="auto"/>
        </w:rPr>
        <w:t>0.00万元，增加0.00万元，增长0%</w:t>
      </w:r>
      <w:r>
        <w:rPr>
          <w:rFonts w:hint="default"/>
          <w:sz w:val="32"/>
          <w:szCs w:val="32"/>
          <w:highlight w:val="none"/>
          <w:lang w:val="en-US" w:eastAsia="zh-CN"/>
        </w:rPr>
        <w:t>。</w:t>
      </w:r>
      <w:r>
        <w:rPr>
          <w:rFonts w:hint="eastAsia"/>
          <w:sz w:val="32"/>
          <w:szCs w:val="32"/>
          <w:highlight w:val="none"/>
          <w:lang w:val="en-US" w:eastAsia="zh-CN"/>
        </w:rPr>
        <w:t>其中：公务用车购置费</w:t>
      </w:r>
      <w:r>
        <w:rPr>
          <w:sz w:val="32"/>
          <w:u w:color="auto"/>
        </w:rPr>
        <w:t>0.00万元，增加0.00万元，增长0%，主要原因：单位无公务用车；主要用于单位执行公务活动所</w:t>
      </w:r>
      <w:r>
        <w:rPr>
          <w:rFonts w:hint="eastAsia"/>
          <w:sz w:val="32"/>
          <w:szCs w:val="32"/>
          <w:lang w:val="en-US" w:eastAsia="zh-CN"/>
        </w:rPr>
        <w:t>发生的公务用车燃料费、维修费、过桥过路费、保险费等支出。</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zh-CN"/>
        </w:rPr>
      </w:pPr>
      <w:r>
        <w:rPr>
          <w:rFonts w:hint="eastAsia"/>
          <w:sz w:val="32"/>
          <w:szCs w:val="32"/>
          <w:lang w:val="en-US" w:eastAsia="en-US"/>
        </w:rPr>
        <w:t>4、会议费预算</w:t>
      </w:r>
      <w:r>
        <w:rPr>
          <w:rFonts w:hint="eastAsia"/>
          <w:sz w:val="32"/>
          <w:szCs w:val="32"/>
          <w:lang w:val="en-US" w:eastAsia="zh-CN"/>
        </w:rPr>
        <w:t>0.00</w:t>
      </w:r>
      <w:r>
        <w:rPr>
          <w:rFonts w:hint="eastAsia"/>
          <w:sz w:val="32"/>
          <w:szCs w:val="32"/>
          <w:lang w:val="en-US" w:eastAsia="en-US"/>
        </w:rPr>
        <w:t>万元，</w:t>
      </w:r>
      <w:r>
        <w:rPr>
          <w:rFonts w:hint="eastAsia"/>
          <w:sz w:val="32"/>
          <w:szCs w:val="32"/>
          <w:lang w:val="en-US" w:eastAsia="zh-CN"/>
        </w:rPr>
        <w:t>减少0.13</w:t>
      </w:r>
      <w:r>
        <w:rPr>
          <w:rFonts w:hint="eastAsia"/>
          <w:sz w:val="32"/>
          <w:szCs w:val="32"/>
          <w:lang w:val="en-US" w:eastAsia="en-US"/>
        </w:rPr>
        <w:t>万元，</w:t>
      </w:r>
      <w:r>
        <w:rPr>
          <w:rFonts w:hint="eastAsia"/>
          <w:sz w:val="32"/>
          <w:szCs w:val="32"/>
          <w:lang w:val="en-US" w:eastAsia="zh-CN"/>
        </w:rPr>
        <w:t>下降100.00%</w:t>
      </w:r>
      <w:r>
        <w:rPr>
          <w:rFonts w:hint="eastAsia"/>
          <w:sz w:val="32"/>
          <w:szCs w:val="32"/>
          <w:lang w:val="en-US" w:eastAsia="en-US"/>
        </w:rPr>
        <w:t>，主要原因是</w:t>
      </w:r>
      <w:r>
        <w:rPr>
          <w:rFonts w:hint="eastAsia"/>
          <w:sz w:val="32"/>
          <w:szCs w:val="32"/>
          <w:lang w:val="en-US" w:eastAsia="zh-CN"/>
        </w:rPr>
        <w:t>严格控制会议开支</w:t>
      </w:r>
      <w:r>
        <w:rPr>
          <w:rFonts w:hint="eastAsia"/>
          <w:sz w:val="32"/>
          <w:szCs w:val="32"/>
          <w:lang w:val="en-US" w:eastAsia="en-US"/>
        </w:rPr>
        <w:t>；培训费预算</w:t>
      </w:r>
      <w:r>
        <w:rPr>
          <w:rFonts w:hint="eastAsia"/>
          <w:sz w:val="32"/>
          <w:szCs w:val="32"/>
          <w:lang w:val="en-US" w:eastAsia="zh-CN"/>
        </w:rPr>
        <w:t>0.30</w:t>
      </w:r>
      <w:r>
        <w:rPr>
          <w:rFonts w:hint="eastAsia"/>
          <w:sz w:val="32"/>
          <w:szCs w:val="32"/>
          <w:lang w:val="en-US" w:eastAsia="en-US"/>
        </w:rPr>
        <w:t>万元，</w:t>
      </w:r>
      <w:r>
        <w:rPr>
          <w:rFonts w:hint="eastAsia"/>
          <w:sz w:val="32"/>
          <w:szCs w:val="32"/>
          <w:lang w:val="en-US" w:eastAsia="zh-CN"/>
        </w:rPr>
        <w:t>增加0.30</w:t>
      </w:r>
      <w:r>
        <w:rPr>
          <w:rFonts w:hint="eastAsia"/>
          <w:sz w:val="32"/>
          <w:szCs w:val="32"/>
          <w:lang w:val="en-US" w:eastAsia="en-US"/>
        </w:rPr>
        <w:t>万元，</w:t>
      </w:r>
      <w:r>
        <w:rPr>
          <w:rFonts w:hint="eastAsia"/>
          <w:sz w:val="32"/>
          <w:szCs w:val="32"/>
          <w:lang w:val="en-US" w:eastAsia="zh-CN"/>
        </w:rPr>
        <w:t>增长100%</w:t>
      </w:r>
      <w:r>
        <w:rPr>
          <w:rFonts w:hint="eastAsia"/>
          <w:sz w:val="32"/>
          <w:szCs w:val="32"/>
          <w:lang w:val="en-US" w:eastAsia="en-US"/>
        </w:rPr>
        <w:t>，主要原因是</w:t>
      </w:r>
      <w:r>
        <w:rPr>
          <w:rFonts w:hint="eastAsia"/>
          <w:sz w:val="32"/>
          <w:szCs w:val="32"/>
          <w:lang w:val="en-US" w:eastAsia="zh-CN"/>
        </w:rPr>
        <w:t>预计召开一次业务培训会</w:t>
      </w:r>
      <w:r>
        <w:rPr>
          <w:rFonts w:hint="eastAsia"/>
          <w:sz w:val="32"/>
          <w:szCs w:val="32"/>
          <w:lang w:val="en-US" w:eastAsia="en-US"/>
        </w:rPr>
        <w:t>。</w:t>
      </w:r>
      <w:bookmarkEnd w:id="14"/>
    </w:p>
    <w:p>
      <w:pPr>
        <w:pStyle w:val="19"/>
        <w:keepNext w:val="0"/>
        <w:keepLines w:val="0"/>
        <w:pageBreakBefore w:val="0"/>
        <w:widowControl w:val="0"/>
        <w:numPr>
          <w:ilvl w:val="0"/>
          <w:numId w:val="1"/>
        </w:numPr>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r>
        <w:rPr>
          <w:b/>
          <w:bCs/>
          <w:sz w:val="32"/>
          <w:szCs w:val="32"/>
        </w:rPr>
        <w:t>政府性基金预算支出情况说明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default"/>
          <w:sz w:val="32"/>
          <w:szCs w:val="32"/>
          <w:lang w:val="en-US" w:eastAsia="en-US"/>
        </w:rPr>
      </w:pPr>
      <w:r>
        <w:rPr>
          <w:rFonts w:hint="eastAsia"/>
          <w:sz w:val="32"/>
          <w:szCs w:val="32"/>
          <w:lang w:val="en-US" w:eastAsia="zh-CN"/>
        </w:rPr>
        <w:t>1</w:t>
      </w:r>
      <w:r>
        <w:rPr>
          <w:rFonts w:hint="default"/>
          <w:sz w:val="32"/>
          <w:szCs w:val="32"/>
          <w:lang w:val="en-US" w:eastAsia="zh-CN"/>
        </w:rPr>
        <w:t>、</w:t>
      </w:r>
      <w:r>
        <w:rPr>
          <w:rFonts w:hint="default"/>
          <w:sz w:val="32"/>
          <w:szCs w:val="32"/>
          <w:lang w:val="en-US" w:eastAsia="en-US"/>
        </w:rPr>
        <w:t>总体情况说明</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sz w:val="32"/>
          <w:szCs w:val="32"/>
          <w:lang w:val="en-US" w:eastAsia="en-US"/>
        </w:rPr>
      </w:pPr>
      <w:r>
        <w:rPr>
          <w:rFonts w:hint="eastAsia"/>
          <w:sz w:val="32"/>
          <w:szCs w:val="32"/>
          <w:lang w:val="en-US" w:eastAsia="en-US"/>
        </w:rPr>
        <w:t>2024</w:t>
      </w:r>
      <w:r>
        <w:rPr>
          <w:sz w:val="32"/>
          <w:u w:color="auto"/>
        </w:rPr>
        <w:t>年政府性基金预算支出共0.00万元，</w:t>
      </w:r>
      <w:r>
        <w:rPr>
          <w:rFonts w:hint="eastAsia"/>
          <w:sz w:val="32"/>
          <w:szCs w:val="32"/>
          <w:lang w:val="en-US" w:eastAsia="zh-CN"/>
        </w:rPr>
        <w:t>同比</w:t>
      </w:r>
      <w:r>
        <w:rPr>
          <w:rFonts w:hint="eastAsia"/>
          <w:sz w:val="32"/>
          <w:szCs w:val="32"/>
          <w:lang w:val="en-US" w:eastAsia="en-US"/>
        </w:rPr>
        <w:t>增加0.00</w:t>
      </w:r>
      <w:r>
        <w:rPr>
          <w:sz w:val="32"/>
          <w:u w:color="auto"/>
        </w:rPr>
        <w:t>万元，增长0%，全部为项目支出预算。</w:t>
      </w:r>
    </w:p>
    <w:p>
      <w:pPr>
        <w:pStyle w:val="19"/>
        <w:pageBreakBefore w:val="0"/>
        <w:tabs>
          <w:tab w:val="left" w:pos="1253"/>
        </w:tabs>
        <w:kinsoku/>
        <w:wordWrap/>
        <w:overflowPunct/>
        <w:topLinePunct w:val="0"/>
        <w:autoSpaceDE/>
        <w:autoSpaceDN/>
        <w:bidi w:val="0"/>
        <w:adjustRightInd/>
        <w:snapToGrid/>
        <w:spacing w:after="0" w:line="360" w:lineRule="auto"/>
        <w:ind w:firstLine="640" w:firstLineChars="200"/>
        <w:textAlignment w:val="auto"/>
        <w:rPr>
          <w:rFonts w:hint="eastAsia" w:eastAsia="宋体"/>
          <w:sz w:val="32"/>
          <w:szCs w:val="32"/>
          <w:lang w:val="en-US" w:eastAsia="zh"/>
          <w:woUserID w:val="1"/>
        </w:rPr>
      </w:pPr>
      <w:r>
        <w:rPr>
          <w:rFonts w:hint="default"/>
          <w:sz w:val="32"/>
          <w:szCs w:val="32"/>
          <w:lang w:val="en-US" w:eastAsia="zh-CN"/>
        </w:rPr>
        <w:t>2、</w:t>
      </w:r>
      <w:r>
        <w:rPr>
          <w:rFonts w:hint="default"/>
          <w:sz w:val="32"/>
          <w:szCs w:val="32"/>
          <w:lang w:val="en-US" w:eastAsia="en-US"/>
        </w:rPr>
        <w:t>按支出功能分类科目划分</w:t>
      </w:r>
      <w:r>
        <w:rPr>
          <w:rFonts w:hint="default"/>
          <w:sz w:val="32"/>
          <w:szCs w:val="32"/>
          <w:lang w:val="en-US" w:eastAsia="zh-CN"/>
        </w:rPr>
        <w:t>，</w:t>
      </w:r>
      <w:r>
        <w:rPr>
          <w:rFonts w:hint="default"/>
          <w:sz w:val="32"/>
          <w:szCs w:val="32"/>
          <w:lang w:val="en-US" w:eastAsia="en-US"/>
        </w:rPr>
        <w:t>共分为</w:t>
      </w:r>
      <w:r>
        <w:rPr>
          <w:rFonts w:hint="eastAsia"/>
          <w:sz w:val="32"/>
          <w:szCs w:val="32"/>
          <w:lang w:val="en-US" w:eastAsia="en-US"/>
        </w:rPr>
        <w:t>0</w:t>
      </w:r>
      <w:r>
        <w:rPr>
          <w:rFonts w:hint="default"/>
          <w:sz w:val="32"/>
          <w:szCs w:val="32"/>
          <w:lang w:val="en-US" w:eastAsia="en-US"/>
        </w:rPr>
        <w:t>类</w:t>
      </w:r>
      <w:r>
        <w:rPr>
          <w:rFonts w:hint="eastAsia"/>
          <w:sz w:val="32"/>
          <w:szCs w:val="32"/>
          <w:lang w:val="en-US" w:eastAsia="zh"/>
          <w:woUserID w:val="1"/>
        </w:rPr>
        <w:t>。</w:t>
      </w:r>
    </w:p>
    <w:p>
      <w:pPr>
        <w:pStyle w:val="19"/>
        <w:keepNext w:val="0"/>
        <w:keepLines w:val="0"/>
        <w:pageBreakBefore w:val="0"/>
        <w:widowControl w:val="0"/>
        <w:tabs>
          <w:tab w:val="left" w:pos="1253"/>
        </w:tabs>
        <w:kinsoku/>
        <w:wordWrap/>
        <w:overflowPunct/>
        <w:topLinePunct w:val="0"/>
        <w:autoSpaceDE/>
        <w:autoSpaceDN/>
        <w:bidi w:val="0"/>
        <w:adjustRightInd/>
        <w:snapToGrid/>
        <w:spacing w:before="361" w:beforeLines="100" w:after="181" w:afterLines="50" w:line="360" w:lineRule="auto"/>
        <w:ind w:firstLine="601"/>
        <w:textAlignment w:val="auto"/>
        <w:rPr>
          <w:b/>
          <w:bCs/>
          <w:sz w:val="32"/>
          <w:szCs w:val="32"/>
        </w:rPr>
      </w:pPr>
      <w:bookmarkStart w:id="15" w:name="bookmark91"/>
      <w:r>
        <w:rPr>
          <w:b/>
          <w:bCs/>
          <w:sz w:val="32"/>
          <w:szCs w:val="32"/>
        </w:rPr>
        <w:t>九</w:t>
      </w:r>
      <w:bookmarkEnd w:id="15"/>
      <w:r>
        <w:rPr>
          <w:b/>
          <w:bCs/>
          <w:sz w:val="32"/>
          <w:szCs w:val="32"/>
        </w:rPr>
        <w:t>、</w:t>
      </w:r>
      <w:r>
        <w:rPr>
          <w:b/>
          <w:bCs/>
          <w:sz w:val="32"/>
          <w:szCs w:val="32"/>
        </w:rPr>
        <w:tab/>
      </w:r>
      <w:r>
        <w:rPr>
          <w:b/>
          <w:bCs/>
          <w:sz w:val="32"/>
          <w:szCs w:val="32"/>
        </w:rPr>
        <w:t>国有资本经营预算支出情况说明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我部门</w:t>
      </w:r>
      <w:r>
        <w:rPr>
          <w:sz w:val="32"/>
          <w:u w:color="auto"/>
        </w:rPr>
        <w:t>2024年国有资本经营预算支出共0.00万元，</w:t>
      </w:r>
      <w:r>
        <w:rPr>
          <w:rFonts w:hint="eastAsia"/>
          <w:sz w:val="32"/>
          <w:szCs w:val="32"/>
          <w:lang w:val="en-US" w:eastAsia="zh-CN"/>
        </w:rPr>
        <w:t>同比</w:t>
      </w:r>
      <w:r>
        <w:rPr>
          <w:rFonts w:hint="eastAsia"/>
          <w:sz w:val="32"/>
          <w:szCs w:val="32"/>
        </w:rPr>
        <w:t>增加0.00</w:t>
      </w:r>
      <w:r>
        <w:rPr>
          <w:sz w:val="32"/>
          <w:u w:color="auto"/>
        </w:rPr>
        <w:t>万元，增长0%</w:t>
      </w:r>
      <w:r>
        <w:rPr>
          <w:rFonts w:hint="eastAsia"/>
          <w:sz w:val="32"/>
          <w:szCs w:val="32"/>
        </w:rPr>
        <w:t>，主要原因是</w:t>
      </w:r>
      <w:r>
        <w:rPr>
          <w:rFonts w:hint="eastAsia"/>
          <w:sz w:val="32"/>
          <w:szCs w:val="32"/>
          <w:lang w:val="en-US"/>
        </w:rPr>
        <w:t>本单位无国有资本经营项目</w:t>
      </w:r>
      <w:r>
        <w:rPr>
          <w:rFonts w:hint="eastAsia"/>
          <w:sz w:val="32"/>
          <w:szCs w:val="32"/>
        </w:rPr>
        <w:t>。</w:t>
      </w:r>
    </w:p>
    <w:p>
      <w:pPr>
        <w:pStyle w:val="19"/>
        <w:keepNext w:val="0"/>
        <w:keepLines w:val="0"/>
        <w:pageBreakBefore w:val="0"/>
        <w:widowControl w:val="0"/>
        <w:kinsoku/>
        <w:wordWrap/>
        <w:overflowPunct/>
        <w:topLinePunct w:val="0"/>
        <w:autoSpaceDE/>
        <w:autoSpaceDN/>
        <w:bidi w:val="0"/>
        <w:adjustRightInd/>
        <w:snapToGrid/>
        <w:spacing w:before="361" w:beforeLines="100" w:after="181" w:afterLines="50" w:line="360" w:lineRule="auto"/>
        <w:textAlignment w:val="auto"/>
        <w:rPr>
          <w:b/>
          <w:bCs/>
          <w:sz w:val="32"/>
          <w:szCs w:val="32"/>
        </w:rPr>
      </w:pPr>
      <w:r>
        <w:rPr>
          <w:b/>
          <w:bCs/>
          <w:sz w:val="32"/>
          <w:szCs w:val="32"/>
        </w:rPr>
        <w:t>十、其他重要事项</w:t>
      </w:r>
      <w:r>
        <w:rPr>
          <w:rFonts w:hint="eastAsia"/>
          <w:b/>
          <w:bCs/>
          <w:sz w:val="32"/>
          <w:szCs w:val="32"/>
          <w:lang w:val="en-US" w:eastAsia="zh-CN"/>
        </w:rPr>
        <w:t>情况</w:t>
      </w:r>
      <w:r>
        <w:rPr>
          <w:b/>
          <w:bCs/>
          <w:sz w:val="32"/>
          <w:szCs w:val="32"/>
        </w:rPr>
        <w:t>说明</w:t>
      </w:r>
    </w:p>
    <w:p>
      <w:pPr>
        <w:pStyle w:val="21"/>
        <w:pageBreakBefore w:val="0"/>
        <w:kinsoku/>
        <w:wordWrap/>
        <w:overflowPunct/>
        <w:topLinePunct w:val="0"/>
        <w:autoSpaceDE/>
        <w:autoSpaceDN/>
        <w:bidi w:val="0"/>
        <w:adjustRightInd/>
        <w:snapToGrid/>
        <w:spacing w:line="360" w:lineRule="auto"/>
        <w:ind w:firstLine="600"/>
        <w:textAlignment w:val="auto"/>
        <w:rPr>
          <w:rFonts w:hint="default"/>
          <w:sz w:val="32"/>
          <w:szCs w:val="32"/>
          <w:lang w:val="en-US" w:eastAsia="zh-CN"/>
        </w:rPr>
      </w:pPr>
      <w:r>
        <w:rPr>
          <w:rFonts w:hint="eastAsia"/>
          <w:sz w:val="32"/>
          <w:szCs w:val="32"/>
          <w:lang w:eastAsia="zh-CN"/>
        </w:rPr>
        <w:t>（一）机关运行经费安排情况说明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rPr>
        <w:t>2024</w:t>
      </w:r>
      <w:r>
        <w:rPr>
          <w:sz w:val="32"/>
          <w:u w:color="auto"/>
        </w:rPr>
        <w:t>年本部门</w:t>
      </w:r>
      <w:r>
        <w:rPr>
          <w:rFonts w:hint="eastAsia"/>
          <w:sz w:val="32"/>
          <w:szCs w:val="32"/>
          <w:lang w:eastAsia="zh-CN"/>
        </w:rPr>
        <w:t>机关运行经费</w:t>
      </w:r>
      <w:r>
        <w:rPr>
          <w:rFonts w:hint="eastAsia"/>
          <w:sz w:val="32"/>
          <w:szCs w:val="32"/>
        </w:rPr>
        <w:t>预算</w:t>
      </w:r>
      <w:r>
        <w:rPr>
          <w:rFonts w:hint="eastAsia"/>
          <w:sz w:val="32"/>
          <w:szCs w:val="32"/>
          <w:lang w:val="en-US"/>
        </w:rPr>
        <w:t>13.79</w:t>
      </w:r>
      <w:r>
        <w:rPr>
          <w:rFonts w:hint="eastAsia"/>
          <w:sz w:val="32"/>
          <w:szCs w:val="32"/>
        </w:rPr>
        <w:t>万元，较2023年度预算数</w:t>
      </w:r>
      <w:r>
        <w:rPr>
          <w:rFonts w:hint="eastAsia"/>
          <w:sz w:val="32"/>
          <w:szCs w:val="32"/>
          <w:lang w:val="en-US"/>
        </w:rPr>
        <w:t>9.87</w:t>
      </w:r>
      <w:r>
        <w:rPr>
          <w:rFonts w:hint="eastAsia"/>
          <w:sz w:val="32"/>
          <w:szCs w:val="32"/>
        </w:rPr>
        <w:t>万元，</w:t>
      </w:r>
      <w:r>
        <w:rPr>
          <w:rFonts w:hint="eastAsia"/>
          <w:sz w:val="32"/>
          <w:szCs w:val="32"/>
          <w:lang w:val="en-US"/>
        </w:rPr>
        <w:t>增加3.92</w:t>
      </w:r>
      <w:r>
        <w:rPr>
          <w:rFonts w:hint="eastAsia"/>
          <w:sz w:val="32"/>
          <w:szCs w:val="32"/>
        </w:rPr>
        <w:t>万元，</w:t>
      </w:r>
      <w:r>
        <w:rPr>
          <w:rFonts w:hint="eastAsia"/>
          <w:sz w:val="32"/>
          <w:szCs w:val="32"/>
          <w:lang w:val="en-US"/>
        </w:rPr>
        <w:t>增长39.72%</w:t>
      </w:r>
      <w:r>
        <w:rPr>
          <w:rFonts w:hint="eastAsia"/>
          <w:sz w:val="32"/>
          <w:szCs w:val="32"/>
        </w:rPr>
        <w:t>，主要原因是：</w:t>
      </w:r>
      <w:r>
        <w:rPr>
          <w:rFonts w:hint="eastAsia"/>
          <w:sz w:val="32"/>
          <w:szCs w:val="32"/>
          <w:lang w:val="en-US"/>
        </w:rPr>
        <w:t>根据职能划转，我局成立了全州县投促商贸服务中心，新增编制数10个，新增人数7个，运行经费相应增加</w:t>
      </w:r>
      <w:r>
        <w:rPr>
          <w:rFonts w:hint="eastAsia"/>
          <w:sz w:val="32"/>
          <w:szCs w:val="32"/>
        </w:rPr>
        <w:t>。</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（二）政府采购预算安排情况说明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我部门2024年政府采购预算总金额</w:t>
      </w:r>
      <w:r>
        <w:rPr>
          <w:rFonts w:hint="eastAsia"/>
          <w:sz w:val="32"/>
          <w:szCs w:val="32"/>
          <w:lang w:val="en-US"/>
        </w:rPr>
        <w:t>0</w:t>
      </w:r>
      <w:r>
        <w:rPr>
          <w:rFonts w:hint="eastAsia"/>
          <w:sz w:val="32"/>
          <w:szCs w:val="32"/>
        </w:rPr>
        <w:t>万元。其中：货物类采购</w:t>
      </w:r>
      <w:r>
        <w:rPr>
          <w:rFonts w:hint="eastAsia"/>
          <w:sz w:val="32"/>
          <w:szCs w:val="32"/>
          <w:lang w:val="en-US"/>
        </w:rPr>
        <w:t>0</w:t>
      </w:r>
      <w:r>
        <w:rPr>
          <w:rFonts w:hint="eastAsia"/>
          <w:sz w:val="32"/>
          <w:szCs w:val="32"/>
        </w:rPr>
        <w:t>万元、工程类采购</w:t>
      </w:r>
      <w:r>
        <w:rPr>
          <w:rFonts w:hint="eastAsia"/>
          <w:sz w:val="32"/>
          <w:szCs w:val="32"/>
          <w:lang w:val="en-US"/>
        </w:rPr>
        <w:t>0</w:t>
      </w:r>
      <w:r>
        <w:rPr>
          <w:rFonts w:hint="eastAsia"/>
          <w:sz w:val="32"/>
          <w:szCs w:val="32"/>
        </w:rPr>
        <w:t>万元、服务类采购</w:t>
      </w:r>
      <w:r>
        <w:rPr>
          <w:rFonts w:hint="eastAsia"/>
          <w:sz w:val="32"/>
          <w:szCs w:val="32"/>
          <w:lang w:val="en-US"/>
        </w:rPr>
        <w:t>0</w:t>
      </w:r>
      <w:r>
        <w:rPr>
          <w:rFonts w:hint="eastAsia"/>
          <w:sz w:val="32"/>
          <w:szCs w:val="32"/>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highlight w:val="none"/>
          <w:lang w:eastAsia="zh-CN"/>
        </w:rPr>
      </w:pPr>
      <w:r>
        <w:rPr>
          <w:rFonts w:hint="eastAsia"/>
          <w:sz w:val="32"/>
          <w:szCs w:val="32"/>
          <w:highlight w:val="none"/>
          <w:lang w:eastAsia="zh-CN"/>
        </w:rPr>
        <w:t>（三）国有资产占用情况说明</w:t>
      </w:r>
    </w:p>
    <w:p>
      <w:pPr>
        <w:pStyle w:val="21"/>
        <w:pageBreakBefore w:val="0"/>
        <w:kinsoku/>
        <w:wordWrap/>
        <w:overflowPunct/>
        <w:topLinePunct w:val="0"/>
        <w:autoSpaceDE/>
        <w:autoSpaceDN/>
        <w:bidi w:val="0"/>
        <w:adjustRightInd/>
        <w:snapToGrid/>
        <w:spacing w:line="360" w:lineRule="auto"/>
        <w:ind w:firstLine="600"/>
        <w:textAlignment w:val="auto"/>
        <w:rPr>
          <w:rFonts w:hint="eastAsia"/>
          <w:sz w:val="32"/>
          <w:szCs w:val="32"/>
          <w:highlight w:val="none"/>
        </w:rPr>
      </w:pPr>
      <w:r>
        <w:rPr>
          <w:rFonts w:hint="eastAsia"/>
          <w:sz w:val="32"/>
          <w:szCs w:val="32"/>
          <w:highlight w:val="none"/>
        </w:rPr>
        <w:t>截至2023年12月31日，本部门资产总计</w:t>
      </w:r>
      <w:r>
        <w:rPr>
          <w:rFonts w:hint="eastAsia"/>
          <w:sz w:val="32"/>
          <w:szCs w:val="32"/>
          <w:highlight w:val="none"/>
          <w:lang w:val="en-US"/>
        </w:rPr>
        <w:t>15.65</w:t>
      </w:r>
      <w:r>
        <w:rPr>
          <w:rFonts w:hint="eastAsia"/>
          <w:sz w:val="32"/>
          <w:szCs w:val="32"/>
          <w:highlight w:val="none"/>
        </w:rPr>
        <w:t>万元，</w:t>
      </w:r>
      <w:r>
        <w:rPr>
          <w:rFonts w:hint="eastAsia"/>
          <w:sz w:val="32"/>
          <w:szCs w:val="32"/>
          <w:highlight w:val="none"/>
          <w:lang w:val="en-US" w:eastAsia="zh-CN"/>
        </w:rPr>
        <w:t>其中：流动资产</w:t>
      </w:r>
      <w:r>
        <w:rPr>
          <w:rFonts w:hint="eastAsia"/>
          <w:sz w:val="32"/>
          <w:szCs w:val="32"/>
          <w:highlight w:val="none"/>
          <w:lang w:val="en-US"/>
        </w:rPr>
        <w:t>8.3</w:t>
      </w:r>
      <w:r>
        <w:rPr>
          <w:rFonts w:hint="eastAsia"/>
          <w:sz w:val="32"/>
          <w:szCs w:val="32"/>
          <w:highlight w:val="none"/>
        </w:rPr>
        <w:t>万元，</w:t>
      </w:r>
      <w:r>
        <w:rPr>
          <w:rFonts w:hint="eastAsia"/>
          <w:sz w:val="32"/>
          <w:szCs w:val="32"/>
          <w:highlight w:val="none"/>
          <w:lang w:val="en-US" w:eastAsia="zh-CN"/>
        </w:rPr>
        <w:t>固定资产</w:t>
      </w:r>
      <w:r>
        <w:rPr>
          <w:rFonts w:hint="eastAsia"/>
          <w:sz w:val="32"/>
          <w:szCs w:val="32"/>
          <w:highlight w:val="none"/>
          <w:lang w:val="en-US"/>
        </w:rPr>
        <w:t>7.35</w:t>
      </w:r>
      <w:r>
        <w:rPr>
          <w:rFonts w:hint="eastAsia"/>
          <w:sz w:val="32"/>
          <w:szCs w:val="32"/>
          <w:highlight w:val="none"/>
          <w:lang w:val="en-US" w:eastAsia="zh-CN"/>
        </w:rPr>
        <w:t>万元，</w:t>
      </w:r>
      <w:r>
        <w:rPr>
          <w:rFonts w:hint="eastAsia"/>
          <w:sz w:val="32"/>
          <w:szCs w:val="32"/>
          <w:highlight w:val="none"/>
        </w:rPr>
        <w:t>在建工程</w:t>
      </w:r>
      <w:r>
        <w:rPr>
          <w:rFonts w:hint="eastAsia"/>
          <w:sz w:val="32"/>
          <w:szCs w:val="32"/>
          <w:highlight w:val="none"/>
          <w:lang w:val="en-US"/>
        </w:rPr>
        <w:t>0</w:t>
      </w:r>
      <w:r>
        <w:rPr>
          <w:rFonts w:hint="eastAsia"/>
          <w:sz w:val="32"/>
          <w:szCs w:val="32"/>
          <w:highlight w:val="none"/>
        </w:rPr>
        <w:t>万元，无形资产</w:t>
      </w:r>
      <w:r>
        <w:rPr>
          <w:rFonts w:hint="eastAsia"/>
          <w:sz w:val="32"/>
          <w:szCs w:val="32"/>
          <w:highlight w:val="none"/>
          <w:lang w:val="en-US"/>
        </w:rPr>
        <w:t>0</w:t>
      </w:r>
      <w:r>
        <w:rPr>
          <w:rFonts w:hint="eastAsia"/>
          <w:sz w:val="32"/>
          <w:szCs w:val="32"/>
          <w:highlight w:val="none"/>
        </w:rPr>
        <w:t>万元。</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rPr>
      </w:pPr>
      <w:r>
        <w:rPr>
          <w:rFonts w:hint="eastAsia"/>
          <w:sz w:val="32"/>
          <w:szCs w:val="32"/>
          <w:highlight w:val="none"/>
        </w:rPr>
        <w:t>本部门</w:t>
      </w:r>
      <w:r>
        <w:rPr>
          <w:rFonts w:hint="eastAsia"/>
          <w:sz w:val="32"/>
          <w:szCs w:val="32"/>
          <w:highlight w:val="none"/>
          <w:lang w:val="en-US" w:eastAsia="zh-CN"/>
        </w:rPr>
        <w:t>实际可调配使用</w:t>
      </w:r>
      <w:r>
        <w:rPr>
          <w:rFonts w:hint="eastAsia"/>
          <w:sz w:val="32"/>
          <w:szCs w:val="32"/>
          <w:highlight w:val="none"/>
        </w:rPr>
        <w:t>车辆</w:t>
      </w:r>
      <w:r>
        <w:rPr>
          <w:rFonts w:hint="eastAsia"/>
          <w:sz w:val="32"/>
          <w:szCs w:val="32"/>
          <w:highlight w:val="none"/>
          <w:lang w:val="en-US"/>
        </w:rPr>
        <w:t>0</w:t>
      </w:r>
      <w:r>
        <w:rPr>
          <w:rFonts w:hint="eastAsia"/>
          <w:sz w:val="32"/>
          <w:szCs w:val="32"/>
          <w:highlight w:val="none"/>
        </w:rPr>
        <w:t>辆，其中，</w:t>
      </w:r>
      <w:r>
        <w:rPr>
          <w:rFonts w:hint="eastAsia"/>
          <w:sz w:val="32"/>
          <w:szCs w:val="32"/>
          <w:highlight w:val="none"/>
          <w:lang w:val="en-US" w:eastAsia="zh-CN"/>
        </w:rPr>
        <w:t>一般公务用车辆</w:t>
      </w:r>
      <w:r>
        <w:rPr>
          <w:rFonts w:hint="eastAsia"/>
          <w:sz w:val="32"/>
          <w:szCs w:val="32"/>
          <w:highlight w:val="none"/>
          <w:lang w:val="en-US"/>
        </w:rPr>
        <w:t>0</w:t>
      </w:r>
      <w:r>
        <w:rPr>
          <w:rFonts w:hint="eastAsia"/>
          <w:sz w:val="32"/>
          <w:szCs w:val="32"/>
          <w:highlight w:val="none"/>
          <w:lang w:val="en-US" w:eastAsia="zh-CN"/>
        </w:rPr>
        <w:t>辆、</w:t>
      </w:r>
      <w:r>
        <w:rPr>
          <w:rFonts w:hint="eastAsia"/>
          <w:sz w:val="32"/>
          <w:szCs w:val="32"/>
          <w:highlight w:val="none"/>
        </w:rPr>
        <w:t>应急机要通信用车</w:t>
      </w:r>
      <w:r>
        <w:rPr>
          <w:rFonts w:hint="eastAsia"/>
          <w:sz w:val="32"/>
          <w:szCs w:val="32"/>
          <w:highlight w:val="none"/>
          <w:lang w:val="en-US"/>
        </w:rPr>
        <w:t>0</w:t>
      </w:r>
      <w:r>
        <w:rPr>
          <w:rFonts w:hint="eastAsia"/>
          <w:sz w:val="32"/>
          <w:szCs w:val="32"/>
          <w:highlight w:val="none"/>
        </w:rPr>
        <w:t>辆、一般执法执勤用车</w:t>
      </w:r>
      <w:r>
        <w:rPr>
          <w:rFonts w:hint="eastAsia"/>
          <w:sz w:val="32"/>
          <w:szCs w:val="32"/>
          <w:lang w:val="en-US"/>
        </w:rPr>
        <w:t>0</w:t>
      </w:r>
      <w:r>
        <w:rPr>
          <w:rFonts w:hint="eastAsia"/>
          <w:sz w:val="32"/>
          <w:szCs w:val="32"/>
        </w:rPr>
        <w:t>辆、特种专业技术用车</w:t>
      </w:r>
      <w:r>
        <w:rPr>
          <w:rFonts w:hint="eastAsia"/>
          <w:sz w:val="32"/>
          <w:szCs w:val="32"/>
          <w:lang w:val="en-US"/>
        </w:rPr>
        <w:t>0</w:t>
      </w:r>
      <w:r>
        <w:rPr>
          <w:rFonts w:hint="eastAsia"/>
          <w:sz w:val="32"/>
          <w:szCs w:val="32"/>
        </w:rPr>
        <w:t>辆、其他用车</w:t>
      </w:r>
      <w:r>
        <w:rPr>
          <w:rFonts w:hint="eastAsia"/>
          <w:sz w:val="32"/>
          <w:szCs w:val="32"/>
          <w:lang w:val="en-US"/>
        </w:rPr>
        <w:t>0</w:t>
      </w:r>
      <w:r>
        <w:rPr>
          <w:rFonts w:hint="eastAsia"/>
          <w:sz w:val="32"/>
          <w:szCs w:val="32"/>
        </w:rPr>
        <w:t>辆，单位价值200万元以上大型设备</w:t>
      </w:r>
      <w:r>
        <w:rPr>
          <w:rFonts w:hint="eastAsia"/>
          <w:sz w:val="32"/>
          <w:szCs w:val="32"/>
          <w:lang w:val="en-US"/>
        </w:rPr>
        <w:t>0</w:t>
      </w:r>
      <w:r>
        <w:rPr>
          <w:rFonts w:hint="eastAsia"/>
          <w:sz w:val="32"/>
          <w:szCs w:val="32"/>
        </w:rPr>
        <w:t>台（套）。</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（四）</w:t>
      </w:r>
      <w:r>
        <w:rPr>
          <w:rFonts w:hint="eastAsia"/>
          <w:sz w:val="32"/>
          <w:szCs w:val="32"/>
          <w:lang w:val="en-US" w:eastAsia="zh-CN"/>
        </w:rPr>
        <w:t>重点项目</w:t>
      </w:r>
      <w:r>
        <w:rPr>
          <w:rFonts w:hint="eastAsia"/>
          <w:sz w:val="32"/>
          <w:szCs w:val="32"/>
          <w:lang w:eastAsia="zh-CN"/>
        </w:rPr>
        <w:t>预算绩效目标</w:t>
      </w:r>
      <w:r>
        <w:rPr>
          <w:rFonts w:hint="eastAsia"/>
          <w:sz w:val="32"/>
          <w:szCs w:val="32"/>
          <w:lang w:val="en-US" w:eastAsia="zh-CN"/>
        </w:rPr>
        <w:t>等</w:t>
      </w:r>
      <w:r>
        <w:rPr>
          <w:rFonts w:hint="eastAsia"/>
          <w:sz w:val="32"/>
          <w:szCs w:val="32"/>
          <w:lang w:eastAsia="zh-CN"/>
        </w:rPr>
        <w:t>情况说明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rPr>
        <w:t>1.我部门2024年所有项目支出全面实施绩效目标管理，涉及项目</w:t>
      </w:r>
      <w:r>
        <w:rPr>
          <w:rFonts w:hint="eastAsia"/>
          <w:sz w:val="32"/>
          <w:szCs w:val="32"/>
          <w:lang w:val="en-US"/>
        </w:rPr>
        <w:t>1</w:t>
      </w:r>
      <w:r>
        <w:rPr>
          <w:rFonts w:hint="eastAsia"/>
          <w:sz w:val="32"/>
          <w:szCs w:val="32"/>
        </w:rPr>
        <w:t>个，预算资金</w:t>
      </w:r>
      <w:r>
        <w:rPr>
          <w:rFonts w:hint="eastAsia"/>
          <w:sz w:val="32"/>
          <w:szCs w:val="32"/>
          <w:lang w:val="en-US"/>
        </w:rPr>
        <w:t>17.49</w:t>
      </w:r>
      <w:r>
        <w:rPr>
          <w:rFonts w:hint="eastAsia"/>
          <w:sz w:val="32"/>
          <w:szCs w:val="32"/>
        </w:rPr>
        <w:t>万元。</w:t>
      </w:r>
      <w:r>
        <w:rPr>
          <w:rFonts w:hint="eastAsia"/>
          <w:sz w:val="32"/>
          <w:szCs w:val="32"/>
          <w:lang w:eastAsia="zh-CN"/>
        </w:rPr>
        <w:t>绩效目标情况详见报表（日常运转类项目、工资类人员经费项目和涉密项目等除外）。</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eastAsia="zh-CN"/>
        </w:rPr>
      </w:pPr>
      <w:r>
        <w:rPr>
          <w:rFonts w:hint="eastAsia"/>
          <w:sz w:val="32"/>
          <w:szCs w:val="32"/>
          <w:lang w:eastAsia="zh-CN"/>
        </w:rPr>
        <w:t>2.重点项目预算绩效目标说明。</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r>
        <w:rPr>
          <w:rFonts w:hint="eastAsia"/>
          <w:sz w:val="32"/>
          <w:szCs w:val="32"/>
          <w:lang w:val="en-US" w:eastAsia="zh-CN"/>
        </w:rPr>
        <w:t>项目名称：限上商贸企业（含大个体)统计工作经费，预算资金17.49万元，2024年绩效目标为完成限上限下企业统计员补助。，设1条数量指标，政策补助补贴对象数量大于等于49个；设1条质量指标，补助补贴资金支出合规性定性为合规；设1条时效指标，资金支出时效性定性为及时；设1条成本指标，项目总成本小于18万元；设1条社会效益指标，对引导行业发展的影响程度定性为促进行业发展；设1条满意度指标，服务对象满意度为大于90%。</w:t>
      </w: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pPr>
    </w:p>
    <w:p>
      <w:pPr>
        <w:pStyle w:val="21"/>
        <w:pageBreakBefore w:val="0"/>
        <w:kinsoku/>
        <w:wordWrap/>
        <w:overflowPunct/>
        <w:topLinePunct w:val="0"/>
        <w:autoSpaceDE/>
        <w:autoSpaceDN/>
        <w:bidi w:val="0"/>
        <w:adjustRightInd/>
        <w:snapToGrid/>
        <w:spacing w:line="360" w:lineRule="auto"/>
        <w:ind w:firstLine="600"/>
        <w:textAlignment w:val="auto"/>
        <w:rPr>
          <w:sz w:val="32"/>
          <w:szCs w:val="32"/>
          <w:lang w:val="en-US" w:eastAsia="zh-CN"/>
        </w:rPr>
        <w:sectPr>
          <w:headerReference r:id="rId9" w:type="default"/>
          <w:footerReference r:id="rId10" w:type="default"/>
          <w:pgSz w:w="11900" w:h="16840"/>
          <w:pgMar w:top="1440" w:right="1800" w:bottom="1440" w:left="1800" w:header="0" w:footer="3" w:gutter="0"/>
          <w:pgNumType w:fmt="decimal"/>
          <w:cols w:space="720" w:num="1"/>
          <w:docGrid w:linePitch="360" w:charSpace="0"/>
        </w:sectPr>
      </w:pPr>
    </w:p>
    <w:bookmarkEnd w:id="10"/>
    <w:bookmarkEnd w:id="11"/>
    <w:bookmarkEnd w:id="12"/>
    <w:p>
      <w:pPr>
        <w:pageBreakBefore w:val="0"/>
        <w:kinsoku/>
        <w:wordWrap/>
        <w:overflowPunct/>
        <w:topLinePunct w:val="0"/>
        <w:autoSpaceDE/>
        <w:autoSpaceDN/>
        <w:bidi w:val="0"/>
        <w:adjustRightInd/>
        <w:snapToGrid/>
        <w:spacing w:line="360" w:lineRule="auto"/>
        <w:textAlignment w:val="auto"/>
        <w:rPr>
          <w:sz w:val="32"/>
          <w:szCs w:val="32"/>
          <w:lang w:eastAsia="zh-CN"/>
        </w:rPr>
      </w:pPr>
    </w:p>
    <w:p>
      <w:pPr>
        <w:pStyle w:val="15"/>
        <w:keepNext/>
        <w:keepLines/>
        <w:pageBreakBefore w:val="0"/>
        <w:kinsoku/>
        <w:wordWrap/>
        <w:overflowPunct/>
        <w:topLinePunct w:val="0"/>
        <w:autoSpaceDE/>
        <w:autoSpaceDN/>
        <w:bidi w:val="0"/>
        <w:adjustRightInd/>
        <w:snapToGrid/>
        <w:spacing w:before="200" w:after="0" w:line="360" w:lineRule="auto"/>
        <w:textAlignment w:val="auto"/>
        <w:rPr>
          <w:rFonts w:hint="eastAsia" w:ascii="黑体" w:hAnsi="黑体" w:eastAsia="黑体" w:cs="黑体"/>
          <w:sz w:val="32"/>
          <w:szCs w:val="32"/>
        </w:rPr>
      </w:pPr>
      <w:bookmarkStart w:id="16" w:name="bookmark94"/>
      <w:bookmarkStart w:id="17" w:name="bookmark95"/>
      <w:bookmarkStart w:id="18" w:name="bookmark96"/>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部分名词解释</w:t>
      </w:r>
      <w:bookmarkEnd w:id="16"/>
      <w:bookmarkEnd w:id="17"/>
      <w:bookmarkEnd w:id="18"/>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bookmarkStart w:id="19" w:name="bookmark97"/>
      <w:r>
        <w:rPr>
          <w:rFonts w:hint="default" w:ascii="Arial" w:hAnsi="Arial" w:cs="Arial"/>
          <w:sz w:val="32"/>
          <w:szCs w:val="32"/>
        </w:rPr>
        <w:t>一、财政拨款收入：指财政部门当年拨付的资金。</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二、事业收入：指事业单位开展专业业务活动及辅助活动所取得的收入。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三、其他收入：指除上述“财政拨款收入”、“事业收入”、“经营收入”等以外的收入。</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四、基本支出：指为保障机构正常运转、完成日常工作任务而发生的人员支出和公用支出。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五、项目支出：指在基本支出之外为完成特定行政任务和事业发展目标所发生的支出。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六、一般公共服务支出：反映政府提供一般公共服务的支出。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七、社会保障和就业支出：反映政府在社会保障与就业方面的支出。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八、卫生健康支出：反映政府卫生健康方面的支出。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九、住房保障支出：集中反映政府用于住房方面的支出。</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420"/>
        <w:jc w:val="left"/>
        <w:textAlignment w:val="auto"/>
        <w:rPr>
          <w:rFonts w:hint="eastAsia" w:ascii="Arial" w:hAnsi="Arial" w:eastAsia="宋体" w:cs="Arial"/>
          <w:sz w:val="32"/>
          <w:szCs w:val="32"/>
          <w:lang w:eastAsia="zh-CN"/>
        </w:rPr>
      </w:pPr>
      <w:r>
        <w:rPr>
          <w:rFonts w:hint="default" w:ascii="Arial" w:hAnsi="Arial" w:cs="Arial"/>
          <w:sz w:val="32"/>
          <w:szCs w:val="32"/>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End w:id="19"/>
    </w:p>
    <w:p>
      <w:pPr>
        <w:pageBreakBefore w:val="0"/>
        <w:kinsoku/>
        <w:wordWrap/>
        <w:overflowPunct/>
        <w:topLinePunct w:val="0"/>
        <w:autoSpaceDE/>
        <w:autoSpaceDN/>
        <w:bidi w:val="0"/>
        <w:adjustRightInd/>
        <w:snapToGrid/>
        <w:spacing w:line="360" w:lineRule="auto"/>
        <w:textAlignment w:val="auto"/>
        <w:rPr>
          <w:sz w:val="32"/>
          <w:szCs w:val="32"/>
          <w:lang w:eastAsia="zh-CN"/>
        </w:rPr>
      </w:pPr>
      <w:r>
        <w:br w:type="page"/>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部分</w:t>
      </w:r>
      <w:r>
        <w:rPr>
          <w:rFonts w:hint="eastAsia" w:ascii="黑体" w:hAnsi="黑体" w:eastAsia="黑体" w:cs="黑体"/>
          <w:b w:val="0"/>
          <w:bCs w:val="0"/>
          <w:sz w:val="32"/>
          <w:szCs w:val="32"/>
          <w:lang w:eastAsia="zh-CN"/>
        </w:rPr>
        <w:t>：</w:t>
      </w:r>
      <w:r>
        <w:rPr>
          <w:rFonts w:ascii="黑体" w:hAnsi="黑体" w:eastAsia="黑体" w:cs="黑体"/>
          <w:sz w:val="32"/>
          <w:u w:color="auto"/>
        </w:rPr>
        <w:t>全州县投资促进局2024</w:t>
      </w:r>
      <w:r>
        <w:rPr>
          <w:rFonts w:hint="eastAsia" w:ascii="黑体" w:hAnsi="黑体" w:eastAsia="黑体" w:cs="黑体"/>
          <w:b w:val="0"/>
          <w:bCs w:val="0"/>
          <w:sz w:val="32"/>
          <w:szCs w:val="32"/>
        </w:rPr>
        <w:t>年部门预算</w:t>
      </w:r>
      <w:r>
        <w:rPr>
          <w:rFonts w:hint="eastAsia" w:ascii="黑体" w:hAnsi="黑体" w:eastAsia="黑体" w:cs="黑体"/>
          <w:b w:val="0"/>
          <w:bCs w:val="0"/>
          <w:sz w:val="32"/>
          <w:szCs w:val="32"/>
          <w:lang w:val="en-US" w:eastAsia="zh-CN"/>
        </w:rPr>
        <w:t>报</w:t>
      </w:r>
      <w:r>
        <w:rPr>
          <w:rFonts w:hint="eastAsia" w:ascii="黑体" w:hAnsi="黑体" w:eastAsia="黑体" w:cs="黑体"/>
          <w:b w:val="0"/>
          <w:bCs w:val="0"/>
          <w:sz w:val="32"/>
          <w:szCs w:val="32"/>
        </w:rPr>
        <w:t>表</w:t>
      </w:r>
    </w:p>
    <w:p>
      <w:pPr>
        <w:pStyle w:val="19"/>
        <w:pageBreakBefore w:val="0"/>
        <w:kinsoku/>
        <w:wordWrap/>
        <w:overflowPunct/>
        <w:topLinePunct w:val="0"/>
        <w:autoSpaceDE/>
        <w:autoSpaceDN/>
        <w:bidi w:val="0"/>
        <w:adjustRightInd/>
        <w:snapToGrid/>
        <w:spacing w:line="360" w:lineRule="auto"/>
        <w:ind w:firstLine="320" w:firstLineChars="100"/>
        <w:jc w:val="center"/>
        <w:textAlignment w:val="auto"/>
        <w:rPr>
          <w:rFonts w:hint="default" w:eastAsia="宋体"/>
          <w:sz w:val="32"/>
          <w:szCs w:val="32"/>
          <w:lang w:val="en-US" w:eastAsia="zh-CN"/>
        </w:rPr>
      </w:pPr>
      <w:r>
        <w:rPr>
          <w:rFonts w:hint="eastAsia"/>
          <w:sz w:val="32"/>
          <w:szCs w:val="32"/>
          <w:lang w:eastAsia="zh-CN"/>
        </w:rPr>
        <w:t>（</w:t>
      </w:r>
      <w:r>
        <w:rPr>
          <w:rFonts w:hint="eastAsia"/>
          <w:sz w:val="32"/>
          <w:szCs w:val="32"/>
          <w:lang w:val="en-US" w:eastAsia="zh-CN"/>
        </w:rPr>
        <w:t>详见附表）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一、部门收支总体情况表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二、部门收入总体情况表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三、部门支出总体情况表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四、财政拨款收支总体情况表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五、一般公共预算支出情况表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六、一般公共预算基本支出情况表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七、财政拨款三公两费支出情况表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八、政府性基金预算支出情况表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sz w:val="32"/>
          <w:szCs w:val="32"/>
          <w:lang w:val="zh-TW" w:eastAsia="zh-TW" w:bidi="zh-TW"/>
        </w:rPr>
      </w:pPr>
      <w:r>
        <w:rPr>
          <w:rFonts w:hint="eastAsia" w:ascii="宋体" w:hAnsi="宋体" w:eastAsia="宋体" w:cs="宋体"/>
          <w:sz w:val="32"/>
          <w:szCs w:val="32"/>
          <w:lang w:val="zh-TW" w:eastAsia="zh-TW" w:bidi="zh-TW"/>
        </w:rPr>
        <w:t>九、国有资本经营预算支出情况表</w:t>
      </w:r>
    </w:p>
    <w:p>
      <w:pPr>
        <w:pStyle w:val="7"/>
        <w:keepNext w:val="0"/>
        <w:keepLines w:val="0"/>
        <w:pageBreakBefore w:val="0"/>
        <w:widowControl/>
        <w:suppressLineNumbers w:val="0"/>
        <w:kinsoku/>
        <w:wordWrap/>
        <w:overflowPunct/>
        <w:topLinePunct w:val="0"/>
        <w:autoSpaceDE/>
        <w:autoSpaceDN/>
        <w:bidi w:val="0"/>
        <w:adjustRightInd/>
        <w:snapToGrid/>
        <w:spacing w:before="150" w:beforeAutospacing="0" w:after="150" w:afterAutospacing="0" w:line="360" w:lineRule="auto"/>
        <w:ind w:left="0" w:firstLine="880" w:firstLineChars="275"/>
        <w:jc w:val="left"/>
        <w:textAlignment w:val="auto"/>
        <w:rPr>
          <w:rFonts w:hint="eastAsia" w:ascii="宋体" w:hAnsi="宋体" w:eastAsia="宋体" w:cs="宋体"/>
          <w:kern w:val="0"/>
          <w:sz w:val="32"/>
          <w:szCs w:val="32"/>
          <w:lang w:val="zh-TW" w:eastAsia="zh-TW" w:bidi="zh-TW"/>
        </w:rPr>
      </w:pPr>
      <w:r>
        <w:rPr>
          <w:rFonts w:hint="eastAsia" w:ascii="宋体" w:hAnsi="宋体" w:eastAsia="宋体" w:cs="宋体"/>
          <w:kern w:val="0"/>
          <w:sz w:val="32"/>
          <w:szCs w:val="32"/>
          <w:lang w:val="zh-TW" w:eastAsia="zh-TW" w:bidi="zh-TW"/>
        </w:rPr>
        <w:t>十、2024年度预算项目绩效目标公开表</w:t>
      </w:r>
    </w:p>
    <w:p>
      <w:pPr>
        <w:pStyle w:val="21"/>
        <w:pageBreakBefore w:val="0"/>
        <w:kinsoku/>
        <w:wordWrap/>
        <w:overflowPunct/>
        <w:topLinePunct w:val="0"/>
        <w:autoSpaceDE/>
        <w:autoSpaceDN/>
        <w:bidi w:val="0"/>
        <w:adjustRightInd/>
        <w:snapToGrid/>
        <w:spacing w:line="360" w:lineRule="auto"/>
        <w:ind w:firstLine="0"/>
        <w:textAlignment w:val="auto"/>
        <w:rPr>
          <w:rFonts w:hint="eastAsia"/>
          <w:sz w:val="32"/>
          <w:szCs w:val="32"/>
        </w:rPr>
      </w:pPr>
    </w:p>
    <w:sectPr>
      <w:footerReference r:id="rId11" w:type="default"/>
      <w:type w:val="continuous"/>
      <w:pgSz w:w="11900" w:h="16840"/>
      <w:pgMar w:top="1302" w:right="1735" w:bottom="1568" w:left="1793" w:header="874" w:footer="3"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ge">
                <wp:posOffset>9993630</wp:posOffset>
              </wp:positionV>
              <wp:extent cx="48895" cy="76200"/>
              <wp:effectExtent l="0" t="0" r="0" b="0"/>
              <wp:wrapNone/>
              <wp:docPr id="2322" name="Shape 1"/>
              <wp:cNvGraphicFramePr/>
              <a:graphic xmlns:a="http://schemas.openxmlformats.org/drawingml/2006/main">
                <a:graphicData uri="http://schemas.microsoft.com/office/word/2010/wordprocessingShape">
                  <wps:wsp>
                    <wps:cNvSpPr/>
                    <wps:spPr>
                      <a:xfrm>
                        <a:off x="0" y="0"/>
                        <a:ext cx="48895" cy="76200"/>
                      </a:xfrm>
                      <a:prstGeom prst="rect">
                        <a:avLst/>
                      </a:prstGeom>
                      <a:noFill/>
                    </wps:spPr>
                    <wps:txbx>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wps:txbx>
                    <wps:bodyPr rot="0" spcFirstLastPara="0" vertOverflow="overflow" horzOverflow="overflow" vert="horz" wrap="none" lIns="0" tIns="0" rIns="0" bIns="0" numCol="1" anchor="t" upright="0">
                      <a:spAutoFit/>
                    </wps:bodyPr>
                  </wps:wsp>
                </a:graphicData>
              </a:graphic>
            </wp:anchor>
          </w:drawing>
        </mc:Choice>
        <mc:Fallback>
          <w:pict>
            <v:rect id="Shape 1" o:spid="_x0000_s1026" o:spt="1" style="position:absolute;left:0pt;margin-top:786.9pt;height:6pt;width:3.85pt;mso-position-horizontal:center;mso-position-horizontal-relative:margin;mso-position-vertical-relative:page;mso-wrap-style:none;z-index:251659264;mso-width-relative:page;mso-height-relative:page;" filled="f" stroked="f" coordsize="21600,21600" o:gfxdata="UEsDBAoAAAAAAIdO4kAAAAAAAAAAAAAAAAAEAAAAZHJzL1BLAwQUAAAACACHTuJAxU81ZdUAAAAI AQAADwAAAGRycy9kb3ducmV2LnhtbE2PzU7DMBCE70h9B2srcaN2i0qiEKcHpEqAuDTtA7jx5kfY 6yh2m/L2bE9w3JnR7Hzl7uaduOIUh0Aa1isFAqkJdqBOw+m4f8pBxGTIGhcINfxghF21eChNYcNM B7zWqRNcQrEwGvqUxkLK2PToTVyFEYm9NkzeJD6nTtrJzFzundwo9SK9GYg/9GbEtx6b7/riNchj vZ/z2k0qfG7aL/fxfmgxaP24XKtXEAlv6S8M9/k8HSredA4XslE4DQySWN1mz0zAfpaBON+FfJuD rEr5H6D6BVBLAwQUAAAACACHTuJAk7y8kuUBAADhAwAADgAAAGRycy9lMm9Eb2MueG1srVPBbtsw DL0P2D8IvC9Osq1LgzjFsCDDgGIN0O4DFFmOBViiQCmxs68fJTvp0O3QQy8yRdKPfI/U6q63rThp CgZdCbPJFIR2CivjDiX8etp+WIAIUbpKtuh0CWcd4G79/t2q80s9xwbbSpNgEBeWnS+hidEviyKo RlsZJui142CNZGXkKx2KimTH6LYt5tPpTdEhVZ5Q6RDYuxmCMCLSawCxro3SG1RHq10cUEm3MjKl 0BgfYJ27rWut4kNdBx1FWwIzjfnkImzv01msV3J5IOkbo8YW5GtaeMHJSuO46BVqI6MURzL/QFmj CAPWcaLQFgORrAizmE1faPPYSK8zF5Y6+Kvo4e1g1c/TjoSpSph/nM9BOGl55rmwmCV1Oh+WnPTo dzTeApuJal+TTV8mIfqs6PmqqO6jUOz8tFjcfgahOPLlhqefEIvnXz2F+F2jFckogXhcWUV5ug9x SL2kpEoOt6Ztkz91NfSRrNjv+7G5PVZnJkQ4TDp4tTWMfS9D3Eni0fLgefnjAx91i10JOFogGqTf //OnfFacoyA6XpUSHL8MEO0Px5NIW3Ux6GLsL4Y72m/IuzcDIZ1ijBIiiKMnc2hyi4lX8F+Pkbll yonQwGLkyZPPoo1bmlbr73vOen6Z6z9QSwMECgAAAAAAh07iQAAAAAAAAAAAAAAAAAYAAABfcmVs cy9QSwMEFAAAAAgAh07iQIoUZjzRAAAAlAEAAAsAAABfcmVscy8ucmVsc6WQwWrDMAyG74O9g9F9 cZrDGKNOL6PQa+kewNiKYxpbRjLZ+vbzDoNl9LajfqHvE//+8JkWtSJLpGxg1/WgMDvyMQcD75fj 0wsoqTZ7u1BGAzcUOIyPD/szLra2I5ljEdUoWQzMtZZXrcXNmKx0VDC3zUScbG0jB12su9qAeuj7 Z82/GTBumOrkDfDJD6Aut9LMf9gpOiahqXaOkqZpiu4eVQe2ZY7uyDbhG7lGsxywGvAsGgdqWdd+ BH1fv/un3tNHPuO61X6HjOuPV2+6HL8AUEsDBBQAAAAIAIdO4kB+5uUg9wAAAOEBAAATAAAAW0Nv bnRlbnRfVHlwZXNdLnhtbJWRQU7DMBBF90jcwfIWJU67QAgl6YK0S0CoHGBkTxKLZGx5TGhvj5O2 G0SRWNoz/78nu9wcxkFMGNg6quQqL6RA0s5Y6ir5vt9lD1JwBDIwOMJKHpHlpr69KfdHjyxSmriS fYz+USnWPY7AufNIadK6MEJMx9ApD/oDOlTrorhX2lFEilmcO2RdNtjC5xDF9pCuTyYBB5bi6bQ4 syoJ3g9WQ0ymaiLzg5KdCXlKLjvcW893SUOqXwnz5DrgnHtJTxOsQfEKIT7DmDSUCayM+6KAU/53 yWw5cuba1mrMm8BNir3hdLG61o5r1zj93/Ltkrp0q+WD6m9QSwECFAAUAAAACACHTuJAfublIPcA AADhAQAAEwAAAAAAAAABACAAAABTBAAAW0NvbnRlbnRfVHlwZXNdLnhtbFBLAQIUAAoAAAAAAIdO 4kAAAAAAAAAAAAAAAAAGAAAAAAAAAAAAEAAAADUDAABfcmVscy9QSwECFAAUAAAACACHTuJAihRm PNEAAACUAQAACwAAAAAAAAABACAAAABZAwAAX3JlbHMvLnJlbHNQSwECFAAKAAAAAACHTuJAAAAA AAAAAAAAAAAABAAAAAAAAAAAABAAAAAAAAAAZHJzL1BLAQIUABQAAAAIAIdO4kDFTzVl1QAAAAgB AAAPAAAAAAAAAAEAIAAAACIAAABkcnMvZG93bnJldi54bWxQSwECFAAUAAAACACHTuJAk7y8kuUB AADhAwAADgAAAAAAAAABACAAAAAkAQAAZHJzL2Uyb0RvYy54bWxQSwUGAAAAAAYABgBZAQAAewUA AAAA ">
              <v:fill on="f" focussize="0,0"/>
              <v:stroke on="f"/>
              <v:imagedata o:title=""/>
              <o:lock v:ext="edit" aspectratio="f"/>
              <v:textbox inset="0mm,0mm,0mm,0mm" style="mso-fit-shape-to-text:t;">
                <w:txbxContent>
                  <w:p>
                    <w:pPr>
                      <w:pStyle w:val="17"/>
                      <w:rPr>
                        <w:sz w:val="17"/>
                        <w:szCs w:val="17"/>
                      </w:rPr>
                    </w:pPr>
                    <w:r>
                      <w:fldChar w:fldCharType="begin"/>
                    </w:r>
                    <w:r>
                      <w:instrText xml:space="preserve"> PAGE \* MERGEFORMAT </w:instrText>
                    </w:r>
                    <w:r>
                      <w:fldChar w:fldCharType="separate"/>
                    </w:r>
                    <w:r>
                      <w:rPr>
                        <w:b/>
                        <w:bCs/>
                        <w:sz w:val="17"/>
                        <w:szCs w:val="17"/>
                      </w:rPr>
                      <w:t>#</w:t>
                    </w:r>
                    <w:r>
                      <w:rPr>
                        <w:b/>
                        <w:bCs/>
                        <w:sz w:val="17"/>
                        <w:szCs w:val="17"/>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ge">
                <wp:posOffset>9993630</wp:posOffset>
              </wp:positionV>
              <wp:extent cx="394970" cy="175895"/>
              <wp:effectExtent l="0" t="0" r="0" b="0"/>
              <wp:wrapNone/>
              <wp:docPr id="2324" name="Shape 7"/>
              <wp:cNvGraphicFramePr/>
              <a:graphic xmlns:a="http://schemas.openxmlformats.org/drawingml/2006/main">
                <a:graphicData uri="http://schemas.microsoft.com/office/word/2010/wordprocessingShape">
                  <wps:wsp>
                    <wps:cNvSpPr/>
                    <wps:spPr>
                      <a:xfrm>
                        <a:off x="0" y="0"/>
                        <a:ext cx="394970" cy="175895"/>
                      </a:xfrm>
                      <a:prstGeom prst="rect">
                        <a:avLst/>
                      </a:prstGeom>
                      <a:noFill/>
                    </wps:spPr>
                    <wps:txbx>
                      <w:txbxContent>
                        <w:p>
                          <w:pPr>
                            <w:pStyle w:val="23"/>
                          </w:pPr>
                          <w:r>
                            <w:fldChar w:fldCharType="begin"/>
                          </w:r>
                          <w:r>
                            <w:instrText xml:space="preserve"> PAGE \* MERGEFORMAT </w:instrText>
                          </w:r>
                          <w:r>
                            <w:fldChar w:fldCharType="separate"/>
                          </w:r>
                          <w:r>
                            <w:t>#</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7" o:spid="_x0000_s1026" o:spt="1" style="position:absolute;left:0pt;margin-top:786.9pt;height:13.85pt;width:31.1pt;mso-position-horizontal:center;mso-position-horizontal-relative:margin;mso-position-vertical-relative:page;z-index:251661312;mso-width-relative:page;mso-height-relative:page;" filled="f" stroked="f" coordsize="21600,21600" o:gfxdata="UEsDBAoAAAAAAIdO4kAAAAAAAAAAAAAAAAAEAAAAZHJzL1BLAwQUAAAACACHTuJAxcEkO9kAAAAJ AQAADwAAAGRycy9kb3ducmV2LnhtbE2PzU7DMBCE70i8g7VI3KidoIY2xKkQPyrH0iK1vbnxkkTE 6yh2m8LTs5zguDOj2fmKxdl14oRDaD1pSCYKBFLlbUu1hvfNy80MRIiGrOk8oYYvDLAoLy8Kk1s/ 0hue1rEWXEIhNxqaGPtcylA16EyY+B6JvQ8/OBP5HGppBzNyuetkqlQmnWmJPzSmx8cGq8/10WlY zvqH3av/Huvueb/crrbzp808an19lah7EBHP8S8Mv/N5OpS86eCPZIPoNDBIZHV6d8sE7GdpCuLA SqaSKciykP8Jyh9QSwMEFAAAAAgAh07iQHZ/+5npAQAA5QMAAA4AAABkcnMvZTJvRG9jLnhtbK1T wW7bMAy9D9g/CLovTtJ2aYI4xbAgw4BiDdDtAxRZigVYokbJsbOvHyU76dDt0MMuCkUxj+890uuH 3jbspDAYcCWfTaacKSehMu5Y8h/fdx/uOQtRuEo04FTJzyrwh837d+vOr9QcamgqhYxAXFh1vuR1 jH5VFEHWyoowAa8cPWpAKyJd8VhUKDpCt00xn04/Fh1g5RGkCoGy2+GRj4j4FkDQ2ki1Bdla5eKA iqoRkSSF2vjAN5mt1krGJ62DiqwpOSmN+aQmFB/SWWzWYnVE4WsjRwriLRReabLCOGp6hdqKKFiL 5i8oayRCAB0nEmwxCMmOkIrZ9JU3z7XwKmshq4O/mh7+H6z8dtojM1XJ5zfzW86csDTz3Jgtkjud DysqevZ7HG+BwiS112jTL4lgfXb0fHVU9ZFJSt4sb5cL8lrS02xxd7+8S5jFy589hvhFgWUpKDnS wLKP4vQY4lB6KUm9HOxM06R84jUwSVHsD/1I7wDVmSQhDLMOXu4MYT+KEPcCabhEh9Y/PtGhG+hK DmPEWQ3461/5VE+e0ytnHS1LycPPVqDirPnqaBppsy4BXoLDJXCt/Qy0fzPOhJOEUvLIWevRHOtM clD2qY2gTRadJA06RqU0/WzbuKlpvf6856qXr3PzG1BLAwQKAAAAAACHTuJAAAAAAAAAAAAAAAAA BgAAAF9yZWxzL1BLAwQUAAAACACHTuJAihRmPNEAAACUAQAACwAAAF9yZWxzLy5yZWxzpZDBasMw DIbvg72D0X1xmsMYo04vo9Br6R7A2IpjGltGMtn69vMOg2X0tqN+oe8T//7wmRa1IkukbGDX9aAw O/IxBwPvl+PTCyipNnu7UEYDNxQ4jI8P+zMutrYjmWMR1ShZDMy1lletxc2YrHRUMLfNRJxsbSMH Xay72oB66Ptnzb8ZMG6Y6uQN8MkPoC630sx/2Ck6JqGpdo6SpmmK7h5VB7Zlju7INuEbuUazHLAa 8CwaB2pZ134EfV+/+6fe00c+47rVfoeM649Xb7ocvwBQSwMEFAAAAAgAh07iQH7m5SD3AAAA4QEA ABMAAABbQ29udGVudF9UeXBlc10ueG1slZFBTsMwEEX3SNzB8hYlTrtACCXpgrRLQKgcYGRPEotk bHlMaG+Pk7YbRJFY2jP/vye73BzGQUwY2Dqq5CovpEDSzljqKvm+32UPUnAEMjA4wkoekeWmvr0p 90ePLFKauJJ9jP5RKdY9jsC580hp0rowQkzH0CkP+gM6VOuiuFfaUUSKWZw7ZF022MLnEMX2kK5P JgEHluLptDizKgneD1ZDTKZqIvODkp0JeUouO9xbz3dJQ6pfCfPkOuCce0lPE6xB8QohPsOYNJQJ rIz7ooBT/nfJbDly5trWasybwE2KveF0sbrWjmvXOP3f8u2SunSr5YPqb1BLAQIUABQAAAAIAIdO 4kB+5uUg9wAAAOEBAAATAAAAAAAAAAEAIAAAAFsEAABbQ29udGVudF9UeXBlc10ueG1sUEsBAhQA CgAAAAAAh07iQAAAAAAAAAAAAAAAAAYAAAAAAAAAAAAQAAAAPQMAAF9yZWxzL1BLAQIUABQAAAAI AIdO4kCKFGY80QAAAJQBAAALAAAAAAAAAAEAIAAAAGEDAABfcmVscy8ucmVsc1BLAQIUAAoAAAAA AIdO4kAAAAAAAAAAAAAAAAAEAAAAAAAAAAAAEAAAAAAAAABkcnMvUEsBAhQAFAAAAAgAh07iQMXB JDvZAAAACQEAAA8AAAAAAAAAAQAgAAAAIgAAAGRycy9kb3ducmV2LnhtbFBLAQIUABQAAAAIAIdO 4kB2f/uZ6QEAAOUDAAAOAAAAAAAAAAEAIAAAACgBAABkcnMvZTJvRG9jLnhtbFBLBQYAAAAABgAG AFkBAACDBQAAAAA= ">
              <v:fill on="f" focussize="0,0"/>
              <v:stroke on="f"/>
              <v:imagedata o:title=""/>
              <o:lock v:ext="edit" aspectratio="f"/>
              <v:textbox inset="0mm,0mm,0mm,0mm">
                <w:txbxContent>
                  <w:p>
                    <w:pPr>
                      <w:pStyle w:val="23"/>
                    </w:pPr>
                    <w:r>
                      <w:fldChar w:fldCharType="begin"/>
                    </w:r>
                    <w:r>
                      <w:instrText xml:space="preserve"> PAGE \* MERGEFORMAT </w:instrText>
                    </w:r>
                    <w:r>
                      <w:fldChar w:fldCharType="separate"/>
                    </w:r>
                    <w:r>
                      <w:t>#</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9993630</wp:posOffset>
              </wp:positionV>
              <wp:extent cx="200660" cy="165735"/>
              <wp:effectExtent l="0" t="0" r="0" b="0"/>
              <wp:wrapNone/>
              <wp:docPr id="2325" name="Shape 25"/>
              <wp:cNvGraphicFramePr/>
              <a:graphic xmlns:a="http://schemas.openxmlformats.org/drawingml/2006/main">
                <a:graphicData uri="http://schemas.microsoft.com/office/word/2010/wordprocessingShape">
                  <wps:wsp>
                    <wps:cNvSpPr/>
                    <wps:spPr>
                      <a:xfrm>
                        <a:off x="0" y="0"/>
                        <a:ext cx="200660" cy="165735"/>
                      </a:xfrm>
                      <a:prstGeom prst="rect">
                        <a:avLst/>
                      </a:prstGeom>
                      <a:noFill/>
                    </wps:spPr>
                    <wps:txbx>
                      <w:txbxContent>
                        <w:p>
                          <w:pPr>
                            <w:pStyle w:val="23"/>
                          </w:pPr>
                          <w:r>
                            <w:fldChar w:fldCharType="begin"/>
                          </w:r>
                          <w:r>
                            <w:instrText xml:space="preserve">PAGE   \* MERGEFORMAT</w:instrText>
                          </w:r>
                          <w:r>
                            <w:fldChar w:fldCharType="separate"/>
                          </w:r>
                          <w:r>
                            <w:rPr>
                              <w:lang w:val="zh-CN" w:eastAsia="zh-CN"/>
                            </w:rPr>
                            <w:t>1</w:t>
                          </w:r>
                          <w:r>
                            <w:fldChar w:fldCharType="end"/>
                          </w:r>
                        </w:p>
                      </w:txbxContent>
                    </wps:txbx>
                    <wps:bodyPr rot="0" spcFirstLastPara="0" vertOverflow="overflow" horzOverflow="overflow" vert="horz" wrap="square" lIns="0" tIns="0" rIns="0" bIns="0" numCol="1" anchor="t" upright="0">
                      <a:noAutofit/>
                    </wps:bodyPr>
                  </wps:wsp>
                </a:graphicData>
              </a:graphic>
            </wp:anchor>
          </w:drawing>
        </mc:Choice>
        <mc:Fallback>
          <w:pict>
            <v:rect id="Shape 25" o:spid="_x0000_s1026" o:spt="1" style="position:absolute;left:0pt;margin-top:786.9pt;height:13.05pt;width:15.8pt;mso-position-horizontal:center;mso-position-horizontal-relative:margin;mso-position-vertical-relative:page;z-index:251662336;mso-width-relative:page;mso-height-relative:page;" filled="f" stroked="f" coordsize="21600,21600" o:gfxdata="UEsDBAoAAAAAAIdO4kAAAAAAAAAAAAAAAAAEAAAAZHJzL1BLAwQUAAAACACHTuJA5CzR49gAAAAJ AQAADwAAAGRycy9kb3ducmV2LnhtbE2PzU7DMBCE70i8g7VI3KgTKkod4lSIH5VjaZEKNzdekgh7 HcVuU3h6tic47sxodr5ycfROHHCIXSAN+SQDgVQH21Gj4W3zfDUHEZMha1wg1PCNERbV+VlpChtG esXDOjWCSygWRkObUl9IGesWvYmT0COx9xkGbxKfQyPtYEYu905eZ9lMetMRf2hNjw8t1l/rvdew nPf37y/hZ2zc08dyu9qqx41KWl9e5NkdiITH9BeG03yeDhVv2oU92SicBgZJrN7cTpmA/Wk+A7E7 KUopkFUp/xNUv1BLAwQUAAAACACHTuJANp33c+cBAADmAwAADgAAAGRycy9lMm9Eb2MueG1srVNN b9swDL0P2H8QdF+cpGg2GHGKYkGGAcUaoN0PUGQpFmCJGiXHzn79KNlJh26HHnpR+JVHvkd6fTfY lp0UBgOu4ovZnDPlJNTGHSv+83n36QtnIQpXixacqvhZBX63+fhh3ftSLaGBtlbICMSFsvcVb2L0 ZVEE2Sgrwgy8cpTUgFZEcvFY1Ch6QrdtsZzPV0UPWHsEqUKg6HZM8gkR3wIIWhuptiA7q1wcUVG1 IhKl0Bgf+CZPq7WS8VHroCJrK05MY36pCdmH9BabtSiPKHxj5DSCeMsIrzhZYRw1vUJtRRSsQ/MP lDUSIYCOMwm2GIlkRYjFYv5Km6dGeJW5kNTBX0UP7wcrf5z2yExd8eXN8pYzJyztPDdm5JM8vQ8l VT35PU5eIDNxHTTa9Ess2JAlPV8lVUNkkoJp4ysSW1Jqsbr9fJMxi5c/ewzxmwLLklFxpI1lIcXp IURqSKWXktTLwc60bYqnucZJkhWHwzCNd4D6TJwQxmUHL3eGsB9EiHuBtF0ah+4/PtKjW+grDpPF WQP4+3/xVE+iU5aznq6l4uFXJ1Bx1n53tI50WhcDL8bhYrjOfgU6wAVnwklCqXjkrPNojk0ecmR2 30XQJpNOlEYeE1Naf9ZiOtV0X3/7uerl89z8AV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AAAAABkcnMvUEsBAhQAFAAAAAgAh07iQOQs0ePY AAAACQEAAA8AAAAAAAAAAQAgAAAAIgAAAGRycy9kb3ducmV2LnhtbFBLAQIUABQAAAAIAIdO4kA2 nfdz5wEAAOYDAAAOAAAAAAAAAAEAIAAAACcBAABkcnMvZTJvRG9jLnhtbFBLBQYAAAAABgAGAFkB AACABQAAAAA= ">
              <v:fill on="f" focussize="0,0"/>
              <v:stroke on="f"/>
              <v:imagedata o:title=""/>
              <o:lock v:ext="edit" aspectratio="f"/>
              <v:textbox inset="0mm,0mm,0mm,0mm">
                <w:txbxContent>
                  <w:p>
                    <w:pPr>
                      <w:pStyle w:val="23"/>
                    </w:pPr>
                    <w:r>
                      <w:fldChar w:fldCharType="begin"/>
                    </w:r>
                    <w:r>
                      <w:instrText xml:space="preserve">PAGE   \* MERGEFORMAT</w:instrText>
                    </w:r>
                    <w:r>
                      <w:fldChar w:fldCharType="separate"/>
                    </w:r>
                    <w:r>
                      <w:rPr>
                        <w:lang w:val="zh-CN" w:eastAsia="zh-CN"/>
                      </w:rP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2323"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3"/>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 AQAADwAAAGRycy9kb3ducmV2LnhtbE2PzU7DMBCE70i8g7VIXBC1k9KfhDg9IPWGhBo4lJubLHEg Xkex2xSenu0JbjOa0ey3xebsenHCMXSeNCQzBQKp9k1HrYa31+39GkSIhhrTe0IN3xhgU15fFSZv /EQ7PFWxFTxCITcabIxDLmWoLToTZn5A4uzDj85EtmMrm9FMPO56mSq1lM50xBesGfDJYv1VHZ2G 7cu+Q/qRu7tsPfnPOn2v7POg9e1Noh5BRDzHvzJc8BkdSmY6+CM1QfTsH+YLZo+ssmQF4lJZpKs5 iIOGVGUKZFnI/1+Uv1BLAwQUAAAACACHTuJADphQmOoBAADlAwAADgAAAGRycy9lMm9Eb2MueG1s rVPLbtswELwX6D8QvNd6BC5cw3JQ1HBRIGgMJP0AmqIsAuKju5Ql9+u7pGSnSHvIoRd6uFzP7syu Nvej6dhZAWpnK14scs6Ula7W9lTxH8/7DyvOMAhbi85ZVfGLQn6/ff9uM/i1Kl3ruloBIxKL68FX vA3Br7MMZauMwIXzytJj48CIQFc4ZTWIgdhNl5V5/jEbHNQenFSIFN1Nj3xmhLcQuqbRUu2c7I2y YWIF1YlAkrDVHvk2dds0SobHpkEVWFdxUhrSSUUIH+OZbTdifQLhWy3nFsRbWnilyQhtqeiNaieC YD3ov6iMluDQNWEhnckmIckRUlHkr7x5aoVXSQtZjf5mOv4/Wvn9fACm64qXd+UdZ1YYmnkqzJbR ncHjmpKe/AHmGxKMUscGTPwlEWxMjl5ujqoxMEnB5arIyyVnkp6K/NNqmTizlz97wPBVOcMiqDjQ wJKP4vyAgQpS6jUl1rJur7suxmNfUycRhfE4zu0dXX0hSeCmWaOXe03cDwLDQQANl0ZP6x8e6Wg6 N1TczYiz1sGvf8VjPnlOr5wNtCwVx5+9AMVZ983SNOJmXQFcwfEKbG++ONq/gjNhJbFUPHDWe9Cn NjUZlaH/3AdSl0RHSZOOWSlNP3kxb2pcrz/vKevl69z+BlBLAwQKAAAAAACHTuJAAAAAAAAAAAAA AAAABgAAAF9yZWxzL1BLAwQUAAAACACHTuJAihRmPNEAAACUAQAACwAAAF9yZWxzLy5yZWxzpZDB asMwDIbvg72D0X1xmsMYo04vo9Br6R7A2IpjGltGMtn69vMOg2X0tqN+oe8T//7wmRa1IkukbGDX 9aAwO/IxBwPvl+PTCyipNnu7UEYDNxQ4jI8P+zMutrYjmWMR1ShZDMy1lletxc2YrHRUMLfNRJxs bSMHXay72oB66Ptnzb8ZMG6Y6uQN8MkPoC630sx/2Ck6JqGpdo6SpmmK7h5VB7Zlju7INuEbuUaz HLAa8CwaB2pZ134EfV+/+6fe00c+47rVfoeM649Xb7ocvwBQSwMEFAAAAAgAh07iQH7m5SD3AAAA 4QEAABMAAABbQ29udGVudF9UeXBlc10ueG1slZFBTsMwEEX3SNzB8hYlTrtACCXpgrRLQKgcYGRP EotkbHlMaG+Pk7YbRJFY2jP/vye73BzGQUwY2Dqq5CovpEDSzljqKvm+32UPUnAEMjA4wkoekeWm vr0p90ePLFKauJJ9jP5RKdY9jsC580hp0rowQkzH0CkP+gM6VOuiuFfaUUSKWZw7ZF022MLnEMX2 kK5PJgEHluLptDizKgneD1ZDTKZqIvODkp0JeUouO9xbz3dJQ6pfCfPkOuCce0lPE6xB8QohPsOY NJQJrIz7ooBT/nfJbDly5trWasybwE2KveF0sbrWjmvXOP3f8u2SunSr5YPqb1BLAQIUABQAAAAI AIdO4kB+5uUg9wAAAOEBAAATAAAAAAAAAAEAIAAAAF4EAABbQ29udGVudF9UeXBlc10ueG1sUEsB AhQACgAAAAAAh07iQAAAAAAAAAAAAAAAAAYAAAAAAAAAAAAQAAAAQAMAAF9yZWxzL1BLAQIUABQA AAAIAIdO4kCKFGY80QAAAJQBAAALAAAAAAAAAAEAIAAAAGQDAABfcmVscy8ucmVsc1BLAQIUAAoA AAAAAIdO4kAAAAAAAAAAAAAAAAAEAAAAAAAAAAAAEAAAAAAAAABkcnMvUEsBAhQAFAAAAAgAh07i QJjAixHbAAAADQEAAA8AAAAAAAAAAQAgAAAAIgAAAGRycy9kb3ducmV2LnhtbFBLAQIUABQAAAAI AIdO4kAOmFCY6gEAAOUDAAAOAAAAAAAAAAEAIAAAACoBAABkcnMvZTJvRG9jLnhtbFBLBQYAAAAA BgAGAFkBAACGBQAAAAA= ">
              <v:fill on="f" focussize="0,0"/>
              <v:stroke on="f"/>
              <v:imagedata o:title=""/>
              <o:lock v:ext="edit" aspectratio="f"/>
              <v:textbox inset="0mm,0mm,0mm,0mm" style="mso-fit-shape-to-text:t;">
                <w:txbxContent>
                  <w:p>
                    <w:pPr>
                      <w:pStyle w:val="23"/>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FF3125"/>
    <w:multiLevelType w:val="singleLevel"/>
    <w:tmpl w:val="DDFF3125"/>
    <w:lvl w:ilvl="0" w:tentative="0">
      <w:start w:val="8"/>
      <w:numFmt w:val="chineseCount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1" w:edit="comments" w:salt="mur+xLeIhrxQa9KyQOADvw==" w:hash="ao/DQjXJnOgfZSTWc9km2JCLPZVtHewtwmsicd4S6j4MWiz9KFGF/prKYkck7cFvCEo0/dgFmVBPxwGmXe2P4Q==" w:cryptSpinCount="100000" w:cryptAlgorithmType="typeAny" w:cryptAlgorithmClass="hash" w:cryptProviderType="rsaAES" w:cryptAlgorithmSid="14"/>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xZDUzYzA4NzY0MDJiOTVkMTZhNTVlYzUxNjcyMmUifQ=="/>
  </w:docVars>
  <w:rsids>
    <w:rsidRoot w:val="00000000"/>
    <w:rsid w:val="28A6B12D"/>
    <w:rsid w:val="5F7F3834"/>
    <w:rsid w:val="7FEE15BE"/>
    <w:rsid w:val="F7F73071"/>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style>
  <w:style w:type="paragraph" w:styleId="5">
    <w:name w:val="footer"/>
    <w:basedOn w:val="1"/>
    <w:qFormat/>
    <w:uiPriority w:val="0"/>
    <w:pPr>
      <w:tabs>
        <w:tab w:val="center" w:pos="4153"/>
        <w:tab w:val="right" w:pos="8306"/>
      </w:tabs>
      <w:snapToGrid w:val="0"/>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7">
    <w:name w:val="Normal (Web)"/>
    <w:basedOn w:val="1"/>
    <w:qFormat/>
    <w:uiPriority w:val="0"/>
    <w:pPr>
      <w:spacing w:beforeAutospacing="1" w:afterAutospacing="1"/>
      <w:jc w:val="left"/>
    </w:pPr>
    <w:rPr>
      <w:rFonts w:cs="Times New Roman"/>
      <w:kern w:val="0"/>
      <w:sz w:val="24"/>
      <w:szCs w:val="24"/>
    </w:rPr>
  </w:style>
  <w:style w:type="table" w:styleId="9">
    <w:name w:val="Table Grid"/>
    <w:basedOn w:val="8"/>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annotation reference"/>
    <w:basedOn w:val="10"/>
    <w:qFormat/>
    <w:uiPriority w:val="0"/>
    <w:rPr>
      <w:sz w:val="21"/>
      <w:szCs w:val="21"/>
    </w:rPr>
  </w:style>
  <w:style w:type="character" w:customStyle="1" w:styleId="12">
    <w:name w:val="Body text|5_"/>
    <w:basedOn w:val="10"/>
    <w:qFormat/>
    <w:uiPriority w:val="0"/>
    <w:rPr>
      <w:rFonts w:ascii="宋体" w:hAnsi="宋体" w:eastAsia="宋体" w:cs="宋体"/>
      <w:sz w:val="54"/>
      <w:szCs w:val="54"/>
      <w:u w:val="none"/>
      <w:shd w:val="clear" w:color="auto" w:fill="auto"/>
      <w:lang w:val="zh-TW" w:eastAsia="zh-TW" w:bidi="zh-TW"/>
    </w:rPr>
  </w:style>
  <w:style w:type="paragraph" w:customStyle="1" w:styleId="13">
    <w:name w:val="Body text|5"/>
    <w:basedOn w:val="1"/>
    <w:qFormat/>
    <w:uiPriority w:val="0"/>
    <w:pPr>
      <w:jc w:val="center"/>
    </w:pPr>
    <w:rPr>
      <w:rFonts w:ascii="宋体" w:hAnsi="宋体" w:eastAsia="宋体" w:cs="宋体"/>
      <w:sz w:val="54"/>
      <w:szCs w:val="54"/>
      <w:lang w:val="zh-TW" w:eastAsia="zh-TW" w:bidi="zh-TW"/>
    </w:rPr>
  </w:style>
  <w:style w:type="character" w:customStyle="1" w:styleId="14">
    <w:name w:val="Heading #1|1_"/>
    <w:basedOn w:val="10"/>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1|1"/>
    <w:basedOn w:val="1"/>
    <w:qFormat/>
    <w:uiPriority w:val="0"/>
    <w:pPr>
      <w:spacing w:after="400"/>
      <w:jc w:val="center"/>
      <w:outlineLvl w:val="0"/>
    </w:pPr>
    <w:rPr>
      <w:rFonts w:ascii="宋体" w:hAnsi="宋体" w:eastAsia="宋体" w:cs="宋体"/>
      <w:sz w:val="44"/>
      <w:szCs w:val="44"/>
      <w:lang w:val="zh-TW" w:eastAsia="zh-TW" w:bidi="zh-TW"/>
    </w:rPr>
  </w:style>
  <w:style w:type="character" w:customStyle="1" w:styleId="16">
    <w:name w:val="Header or footer|2_"/>
    <w:basedOn w:val="10"/>
    <w:qFormat/>
    <w:uiPriority w:val="0"/>
    <w:rPr>
      <w:sz w:val="20"/>
      <w:szCs w:val="20"/>
      <w:u w:val="none"/>
      <w:shd w:val="clear" w:color="auto" w:fill="auto"/>
      <w:lang w:val="zh-TW" w:eastAsia="zh-TW" w:bidi="zh-TW"/>
    </w:rPr>
  </w:style>
  <w:style w:type="paragraph" w:customStyle="1" w:styleId="17">
    <w:name w:val="Header or footer|2"/>
    <w:basedOn w:val="1"/>
    <w:qFormat/>
    <w:uiPriority w:val="0"/>
    <w:rPr>
      <w:sz w:val="20"/>
      <w:szCs w:val="20"/>
      <w:lang w:val="zh-TW" w:eastAsia="zh-TW" w:bidi="zh-TW"/>
    </w:rPr>
  </w:style>
  <w:style w:type="character" w:customStyle="1" w:styleId="18">
    <w:name w:val="Body text|2_"/>
    <w:basedOn w:val="10"/>
    <w:qFormat/>
    <w:uiPriority w:val="0"/>
    <w:rPr>
      <w:rFonts w:ascii="宋体" w:hAnsi="宋体" w:eastAsia="宋体" w:cs="宋体"/>
      <w:sz w:val="32"/>
      <w:szCs w:val="32"/>
      <w:u w:val="none"/>
      <w:shd w:val="clear" w:color="auto" w:fill="auto"/>
      <w:lang w:val="zh-TW" w:eastAsia="zh-TW" w:bidi="zh-TW"/>
    </w:rPr>
  </w:style>
  <w:style w:type="paragraph" w:customStyle="1" w:styleId="19">
    <w:name w:val="Body text|2"/>
    <w:basedOn w:val="1"/>
    <w:qFormat/>
    <w:uiPriority w:val="0"/>
    <w:pPr>
      <w:spacing w:after="240"/>
      <w:ind w:firstLine="560"/>
    </w:pPr>
    <w:rPr>
      <w:rFonts w:ascii="宋体" w:hAnsi="宋体" w:eastAsia="宋体" w:cs="宋体"/>
      <w:sz w:val="32"/>
      <w:szCs w:val="32"/>
      <w:lang w:val="zh-TW" w:eastAsia="zh-TW" w:bidi="zh-TW"/>
    </w:rPr>
  </w:style>
  <w:style w:type="character" w:customStyle="1" w:styleId="20">
    <w:name w:val="Body text|1_"/>
    <w:basedOn w:val="10"/>
    <w:qFormat/>
    <w:uiPriority w:val="0"/>
    <w:rPr>
      <w:rFonts w:ascii="宋体" w:hAnsi="宋体" w:eastAsia="宋体" w:cs="宋体"/>
      <w:sz w:val="28"/>
      <w:szCs w:val="28"/>
      <w:u w:val="none"/>
      <w:shd w:val="clear" w:color="auto" w:fill="auto"/>
      <w:lang w:val="zh-TW" w:eastAsia="zh-TW" w:bidi="zh-TW"/>
    </w:rPr>
  </w:style>
  <w:style w:type="paragraph" w:customStyle="1" w:styleId="21">
    <w:name w:val="Body text|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2">
    <w:name w:val="Header or footer|1_"/>
    <w:basedOn w:val="10"/>
    <w:qFormat/>
    <w:uiPriority w:val="0"/>
    <w:rPr>
      <w:b/>
      <w:bCs/>
      <w:sz w:val="17"/>
      <w:szCs w:val="17"/>
      <w:u w:val="none"/>
      <w:shd w:val="clear" w:color="auto" w:fill="auto"/>
      <w:lang w:val="zh-TW" w:eastAsia="zh-TW" w:bidi="zh-TW"/>
    </w:rPr>
  </w:style>
  <w:style w:type="paragraph" w:customStyle="1" w:styleId="23">
    <w:name w:val="Header or footer|1"/>
    <w:basedOn w:val="1"/>
    <w:qFormat/>
    <w:uiPriority w:val="0"/>
    <w:rPr>
      <w:b/>
      <w:bCs/>
      <w:sz w:val="17"/>
      <w:szCs w:val="17"/>
      <w:lang w:val="zh-TW" w:eastAsia="zh-TW" w:bidi="zh-TW"/>
    </w:rPr>
  </w:style>
  <w:style w:type="character" w:customStyle="1" w:styleId="24">
    <w:name w:val="Heading #2|1_"/>
    <w:basedOn w:val="10"/>
    <w:qFormat/>
    <w:uiPriority w:val="0"/>
    <w:rPr>
      <w:rFonts w:ascii="宋体" w:hAnsi="宋体" w:eastAsia="宋体" w:cs="宋体"/>
      <w:sz w:val="26"/>
      <w:szCs w:val="26"/>
      <w:u w:val="none"/>
      <w:shd w:val="clear" w:color="auto" w:fill="auto"/>
      <w:lang w:val="zh-TW" w:eastAsia="zh-TW" w:bidi="zh-TW"/>
    </w:rPr>
  </w:style>
  <w:style w:type="paragraph" w:customStyle="1" w:styleId="25">
    <w:name w:val="Heading #2|1"/>
    <w:basedOn w:val="1"/>
    <w:qFormat/>
    <w:uiPriority w:val="0"/>
    <w:pPr>
      <w:spacing w:after="230"/>
      <w:jc w:val="center"/>
      <w:outlineLvl w:val="1"/>
    </w:pPr>
    <w:rPr>
      <w:rFonts w:ascii="宋体" w:hAnsi="宋体" w:eastAsia="宋体" w:cs="宋体"/>
      <w:sz w:val="26"/>
      <w:szCs w:val="26"/>
      <w:lang w:val="zh-TW" w:eastAsia="zh-TW" w:bidi="zh-TW"/>
    </w:rPr>
  </w:style>
  <w:style w:type="character" w:customStyle="1" w:styleId="26">
    <w:name w:val="Other|1_"/>
    <w:basedOn w:val="10"/>
    <w:qFormat/>
    <w:uiPriority w:val="0"/>
    <w:rPr>
      <w:rFonts w:ascii="宋体" w:hAnsi="宋体" w:eastAsia="宋体" w:cs="宋体"/>
      <w:sz w:val="28"/>
      <w:szCs w:val="28"/>
      <w:u w:val="none"/>
      <w:shd w:val="clear" w:color="auto" w:fill="auto"/>
      <w:lang w:val="zh-TW" w:eastAsia="zh-TW" w:bidi="zh-TW"/>
    </w:rPr>
  </w:style>
  <w:style w:type="paragraph" w:customStyle="1" w:styleId="27">
    <w:name w:val="Other|1"/>
    <w:basedOn w:val="1"/>
    <w:qFormat/>
    <w:uiPriority w:val="0"/>
    <w:pPr>
      <w:spacing w:line="468" w:lineRule="auto"/>
      <w:ind w:firstLine="400"/>
    </w:pPr>
    <w:rPr>
      <w:rFonts w:ascii="宋体" w:hAnsi="宋体" w:eastAsia="宋体" w:cs="宋体"/>
      <w:sz w:val="28"/>
      <w:szCs w:val="28"/>
      <w:lang w:val="zh-TW" w:eastAsia="zh-TW" w:bidi="zh-TW"/>
    </w:rPr>
  </w:style>
  <w:style w:type="character" w:customStyle="1" w:styleId="28">
    <w:name w:val="Table caption|1_"/>
    <w:basedOn w:val="10"/>
    <w:qFormat/>
    <w:uiPriority w:val="0"/>
    <w:rPr>
      <w:rFonts w:ascii="宋体" w:hAnsi="宋体" w:eastAsia="宋体" w:cs="宋体"/>
      <w:sz w:val="17"/>
      <w:szCs w:val="17"/>
      <w:u w:val="none"/>
      <w:shd w:val="clear" w:color="auto" w:fill="auto"/>
      <w:lang w:val="zh-TW" w:eastAsia="zh-TW" w:bidi="zh-TW"/>
    </w:rPr>
  </w:style>
  <w:style w:type="paragraph" w:customStyle="1" w:styleId="29">
    <w:name w:val="Table caption|1"/>
    <w:basedOn w:val="1"/>
    <w:qFormat/>
    <w:uiPriority w:val="0"/>
    <w:rPr>
      <w:rFonts w:ascii="宋体" w:hAnsi="宋体" w:eastAsia="宋体" w:cs="宋体"/>
      <w:sz w:val="17"/>
      <w:szCs w:val="17"/>
      <w:lang w:val="zh-TW" w:eastAsia="zh-TW" w:bidi="zh-TW"/>
    </w:rPr>
  </w:style>
  <w:style w:type="character" w:customStyle="1" w:styleId="30">
    <w:name w:val="Body text|4_"/>
    <w:basedOn w:val="10"/>
    <w:qFormat/>
    <w:uiPriority w:val="0"/>
    <w:rPr>
      <w:rFonts w:ascii="宋体" w:hAnsi="宋体" w:eastAsia="宋体" w:cs="宋体"/>
      <w:sz w:val="17"/>
      <w:szCs w:val="17"/>
      <w:u w:val="none"/>
      <w:shd w:val="clear" w:color="auto" w:fill="auto"/>
      <w:lang w:val="zh-TW" w:eastAsia="zh-TW" w:bidi="zh-TW"/>
    </w:rPr>
  </w:style>
  <w:style w:type="paragraph" w:customStyle="1" w:styleId="31">
    <w:name w:val="Body text|4"/>
    <w:basedOn w:val="1"/>
    <w:qFormat/>
    <w:uiPriority w:val="0"/>
    <w:pPr>
      <w:ind w:firstLine="680"/>
    </w:pPr>
    <w:rPr>
      <w:rFonts w:ascii="宋体" w:hAnsi="宋体" w:eastAsia="宋体" w:cs="宋体"/>
      <w:sz w:val="17"/>
      <w:szCs w:val="17"/>
      <w:lang w:val="zh-TW" w:eastAsia="zh-TW" w:bidi="zh-TW"/>
    </w:rPr>
  </w:style>
  <w:style w:type="character" w:customStyle="1" w:styleId="32">
    <w:name w:val="Body text|3_"/>
    <w:basedOn w:val="10"/>
    <w:qFormat/>
    <w:uiPriority w:val="0"/>
    <w:rPr>
      <w:sz w:val="30"/>
      <w:szCs w:val="30"/>
      <w:u w:val="none"/>
      <w:shd w:val="clear" w:color="auto" w:fill="auto"/>
      <w:lang w:val="zh-TW" w:eastAsia="zh-TW" w:bidi="zh-TW"/>
    </w:rPr>
  </w:style>
  <w:style w:type="paragraph" w:customStyle="1" w:styleId="33">
    <w:name w:val="Body text|3"/>
    <w:basedOn w:val="1"/>
    <w:qFormat/>
    <w:uiPriority w:val="0"/>
    <w:pPr>
      <w:spacing w:after="140" w:line="336" w:lineRule="auto"/>
      <w:ind w:firstLine="370"/>
    </w:pPr>
    <w:rPr>
      <w:sz w:val="30"/>
      <w:szCs w:val="30"/>
      <w:lang w:val="zh-TW" w:eastAsia="zh-TW" w:bidi="zh-TW"/>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theme/theme1.xml" Type="http://schemas.openxmlformats.org/officeDocument/2006/relationships/theme"/><Relationship Id="rId13" Target="../customXml/item1.xml" Type="http://schemas.openxmlformats.org/officeDocument/2006/relationships/customXml"/><Relationship Id="rId14" Target="numbering.xml" Type="http://schemas.openxmlformats.org/officeDocument/2006/relationships/numbering"/><Relationship Id="rId15" Target="../customXml/item2.xml" Type="http://schemas.openxmlformats.org/officeDocument/2006/relationships/customXml"/><Relationship Id="rId16" Target="../customXml/item3.xml" Type="http://schemas.openxmlformats.org/officeDocument/2006/relationships/customXml"/><Relationship Id="rId17" Target="../customXml/item4.xml" Type="http://schemas.openxmlformats.org/officeDocument/2006/relationships/customXml"/><Relationship Id="rId18" Target="fontTable.xml" Type="http://schemas.openxmlformats.org/officeDocument/2006/relationships/fontTable"/><Relationship Id="rId2" Target="settings.xml" Type="http://schemas.openxmlformats.org/officeDocument/2006/relationships/settings"/><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header3.xml" Type="http://schemas.openxmlformats.org/officeDocument/2006/relationships/header"/><Relationship Id="rId8" Target="footer3.xml" Type="http://schemas.openxmlformats.org/officeDocument/2006/relationships/footer"/><Relationship Id="rId9" Target="header4.xml" Type="http://schemas.openxmlformats.org/officeDocument/2006/relationships/header"/></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4E3255008B624ED89522A7536C16D18B_13</vt:lpwstr>
  </property>
</Properties>
</file>

<file path=customXml/item3.xml><?xml version="1.0" encoding="utf-8"?>
<Properties xmlns="http://schemas.openxmlformats.org/officeDocument/2006/extended-properties" xmlns:vt="http://schemas.openxmlformats.org/officeDocument/2006/docPropsVTypes">
  <Template>Normal.dotm</Template>
  <Pages>15</Pages>
  <Words>1080</Words>
  <Characters>6158</Characters>
  <Lines>51</Lines>
  <Paragraphs>14</Paragraphs>
  <TotalTime>0</TotalTime>
  <ScaleCrop>false</ScaleCrop>
  <LinksUpToDate>false</LinksUpToDate>
  <CharactersWithSpaces>7224</CharactersWithSpaces>
  <Application>WPS Office_12.1.0.16388_F1E327BC-269C-435d-A152-05C5408002CA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梁云荣</cp:lastModifiedBy>
  <dcterms:modified xsi:type="dcterms:W3CDTF">2024-03-23T06:18:14Z</dcterms:modified>
  <cp:revision>4</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3b5c5-3db3-4e51-b95b-83994f592926}">
  <ds:schemaRefs/>
</ds:datastoreItem>
</file>

<file path=customXml/itemProps3.xml><?xml version="1.0" encoding="utf-8"?>
<ds:datastoreItem xmlns:ds="http://schemas.openxmlformats.org/officeDocument/2006/customXml" ds:itemID="{5cee3ed1-f94c-42cb-9b71-8cf4735b6617}">
  <ds:schemaRefs/>
</ds:datastoreItem>
</file>

<file path=customXml/itemProps4.xml><?xml version="1.0" encoding="utf-8"?>
<ds:datastoreItem xmlns:ds="http://schemas.openxmlformats.org/officeDocument/2006/customXml" ds:itemID="{821c2dcf-6d45-4279-93e0-9193a0319250}">
  <ds:schemaRefs/>
</ds:datastoreItem>
</file>

<file path=docProps/app.xml><?xml version="1.0" encoding="utf-8"?>
<Properties xmlns="http://schemas.openxmlformats.org/officeDocument/2006/extended-properties" xmlns:vt="http://schemas.openxmlformats.org/officeDocument/2006/docPropsVTypes">
  <Pages>15</Pages>
  <Words>1080</Words>
  <Characters>6158</Characters>
  <Lines>51</Lines>
  <Paragraphs>14</Paragraphs>
  <TotalTime>0</TotalTime>
  <ScaleCrop>false</ScaleCrop>
  <LinksUpToDate>false</LinksUpToDate>
  <CharactersWithSpaces>7224</CharactersWithSpaces>
  <Application>WPS Office WWO_base_provider_20240329031516-e5c16e2e25</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2023-02-08T06:11:00Z</dcterms:created>
  <dc:creator>蔡冬冬</dc:creator>
  <cp:lastModifiedBy>梁云荣</cp:lastModifiedBy>
  <dcterms:modified xsi:type="dcterms:W3CDTF">2024-04-17T08:49:02Z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