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全州县审计局</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全州县审计局</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全州县审计局2024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全州县审计局2024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4"/>
      <w:bookmarkStart w:id="5" w:name="bookmark13"/>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全州县审计局概况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全州县审计局主要职能职责：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一）负责对国家财政收支和法律法规规定属于审计监督范围的财务收支的真实、合法和效益进行审计监督，维护国家财政经济秩序，提高财政资金使用效益，促进廉政建设，保障国民经济和社会健康发展。对审计、专项审计调查和核查社会审计机构相关审计报告的结果承担责任，并负有督促被审计单位整改的责任。</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二）制定并组织实施全县审计工作发展规划和专业领域审计工作规划，制定并组织实施年度审计计划。根据县人民政府委托，起草有关的规范性文件草案。拟订全县审计相关规定并监督执行。对直接审计、调查和核查的事项依法进行审计评价，做出审计决定或提出审计建议。</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三）向县委审计委员会提出年度预算执行和其他财政收支情况审计情况报告。向县长提出年度预算执行和其他财政收支情况审计结果报告。受县政府委托向县人大常委会提出县预算执行和其他财政收支情况的审计工作报告、审计査出问题整改情况报告。向县委、县政府报告对其他事项的审计和专项审计调查情况及结果。依法向社会公布审计结果。向县委和县政府有关部门、县（县、区）党委和人民政府通报审计情况和审计结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（四）直接审计下列事项，出具审计报告，在法定职权范围内做出审计决定或有关主管机关提出处理处罚的建议：</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1．国家、自治区、桂林市有关重大政策措施贯彻落实情况。</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2.县财政预算执行情况和其他财政收支，县人民政府各部门、事业单位及下属单位预算的执行情况、决算和其他财政收支。</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3．县人民政府预算的执行情况和其他财政收支、县直各部门和乡（镇）人民政府预算的执行情况、决算和其他财政收支、中央财政转移支付资金。</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4．使用县财政资金的事业单位和社会团体的财务收支。</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5．县政府投资和以县政府投资为主的建设项目的预算执行情况和决算。</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6．县政府国有企业和金融机构、县人民政府规定的县政府国有资本占控股或主导地位的企业和金融机构的资产、负债和损益。</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7．县人民政府主管部门、县人民政府管理和受县人民政府委托由社会团体管理和社会保障基金、社会捐赠资金及其他有关基金、资金的财务收支。</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8．自然资源管理、污染防治和生态保护与修复情况。</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9.根据上级审计机关投权，对国际组织和外国政府援助、贷款项目的财务收支和项目执行情况。</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10.法律、法规规定应由县审计局审计的其他事项。</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（五）按规定对县委管理的党政主要领导干部及其他单位主要负责人，实施经济责任审计和自然资源资产离任审计。</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（六）组织实施对国家财经法律、法规、规章、政策和宏观调控措施执行情况、财政预算管理及国有资产管理使用等与国家财政收支有关的特定审计事项进行专项审计调查。</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（七）依法检查审计决定执行情况，督促整改审计查出的问题，依法办理被审计单位对审计决定提请行政复议、行政诉讼或县政府裁决中的有关事项，协助配合有关部门查处相关重大案件。</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（八）指导和监督内部审计工作，核查社会审计机构对依法属于审计监督对象的单位出具的相关审计报告。</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（九）承办县人民政府交办和上级审计机关授权的其它事项。</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2023年我局部门预算编制单位共1个,具体如下:</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行政单位1个,即:全州县审计局。其中内设股室有政秘股、财政金融审计股、农业与资源环保审计股、经贸审计股、行政事业审计股、经济责任审计股、法规股、政府投资审计中心（二层机构）。</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全州县审计局部门编制人数为26人,其中:行政编制(含参公单位)24人，机关工勤编制2人。编内在职24人,其中:行政在职(含参公单位)22人，工勤在职2人。离退休人员24人,其中:退休人员24人。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 2024年，全州县审计局将紧紧围绕县委、县政府中心工作，依法全面履行审计监督职责，主动融入全市发展大局，做好常态化“经济体检”工作，在推动全县经济高质量发展上展现更大作为，为打造世界级旅游城市贡献审计力量。</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1、完成</w:t>
      </w:r>
      <w:bookmarkStart w:id="20" w:name="_GoBack"/>
      <w:r>
        <w:rPr>
          <w:rFonts w:hint="eastAsia" w:ascii="宋体" w:hAnsi="宋体" w:eastAsia="宋体" w:cs="宋体"/>
          <w:color w:val="auto"/>
          <w:sz w:val="32"/>
          <w:szCs w:val="32"/>
          <w:lang w:val="en-US" w:eastAsia="zh-TW" w:bidi="zh-TW"/>
        </w:rPr>
        <w:t>县委、</w:t>
      </w:r>
      <w:r>
        <w:rPr>
          <w:rFonts w:hint="eastAsia" w:cs="宋体"/>
          <w:color w:val="auto"/>
          <w:sz w:val="32"/>
          <w:szCs w:val="32"/>
          <w:lang w:val="en-US" w:eastAsia="zh" w:bidi="zh-TW"/>
          <w:woUserID w:val="1"/>
        </w:rPr>
        <w:t>县</w:t>
      </w:r>
      <w:r>
        <w:rPr>
          <w:rFonts w:hint="eastAsia" w:ascii="宋体" w:hAnsi="宋体" w:eastAsia="宋体" w:cs="宋体"/>
          <w:color w:val="auto"/>
          <w:sz w:val="32"/>
          <w:szCs w:val="32"/>
          <w:lang w:val="en-US" w:eastAsia="zh-TW" w:bidi="zh-TW"/>
        </w:rPr>
        <w:t>政府</w:t>
      </w:r>
      <w:bookmarkEnd w:id="20"/>
      <w:r>
        <w:rPr>
          <w:rFonts w:hint="eastAsia" w:ascii="宋体" w:hAnsi="宋体" w:eastAsia="宋体" w:cs="宋体"/>
          <w:color w:val="auto"/>
          <w:sz w:val="32"/>
          <w:szCs w:val="32"/>
          <w:lang w:val="en-US" w:eastAsia="zh-TW" w:bidi="zh-TW"/>
        </w:rPr>
        <w:t>批转的审计项目。</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2、完成乡村振兴工作。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3、完成扫黑除恶工作。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4、完成绩效考评工作。</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70"/>
      <w:bookmarkStart w:id="8" w:name="bookmark69"/>
      <w:bookmarkStart w:id="9" w:name="bookmark68"/>
      <w:bookmarkStart w:id="10" w:name="bookmark27"/>
      <w:bookmarkStart w:id="11" w:name="bookmark28"/>
      <w:bookmarkStart w:id="12" w:name="bookmark26"/>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全州县审计局</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537.66</w:t>
      </w:r>
      <w:r>
        <w:rPr>
          <w:rFonts w:hint="eastAsia"/>
          <w:sz w:val="32"/>
          <w:szCs w:val="32"/>
        </w:rPr>
        <w:t>万元，总支出</w:t>
      </w:r>
      <w:r>
        <w:rPr>
          <w:rFonts w:hint="eastAsia"/>
          <w:sz w:val="32"/>
          <w:szCs w:val="32"/>
          <w:lang w:val="en-US" w:eastAsia="zh-CN"/>
        </w:rPr>
        <w:t>537.66</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536.52</w:t>
      </w:r>
      <w:r>
        <w:rPr>
          <w:rFonts w:hint="eastAsia"/>
          <w:sz w:val="32"/>
          <w:szCs w:val="32"/>
        </w:rPr>
        <w:t>万元，</w:t>
      </w:r>
      <w:r>
        <w:rPr>
          <w:sz w:val="32"/>
          <w:u w:color="auto"/>
        </w:rPr>
        <w:t>增加1.14万元，增长0.21%，主要原因是</w:t>
      </w:r>
      <w:r>
        <w:rPr>
          <w:rFonts w:hint="eastAsia"/>
          <w:sz w:val="32"/>
          <w:szCs w:val="32"/>
          <w:lang w:val="en-US"/>
        </w:rPr>
        <w:t>县级公用经费定额标准增长，工资及福利增长</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536.52</w:t>
      </w:r>
      <w:r>
        <w:rPr>
          <w:rFonts w:hint="eastAsia"/>
          <w:sz w:val="32"/>
          <w:szCs w:val="32"/>
        </w:rPr>
        <w:t>万元，</w:t>
      </w:r>
      <w:r>
        <w:rPr>
          <w:sz w:val="32"/>
          <w:u w:color="auto"/>
        </w:rPr>
        <w:t>增加1.14万元，增长0.21%，主要原因是</w:t>
      </w:r>
      <w:r>
        <w:rPr>
          <w:rFonts w:hint="eastAsia"/>
          <w:sz w:val="32"/>
          <w:szCs w:val="32"/>
          <w:lang w:val="en-US"/>
        </w:rPr>
        <w:t>县级公用经费定额标准增长，工资及福利增长</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537.66</w:t>
      </w:r>
      <w:r>
        <w:rPr>
          <w:rFonts w:hint="eastAsia"/>
          <w:sz w:val="32"/>
          <w:szCs w:val="32"/>
        </w:rPr>
        <w:t>万元，</w:t>
      </w:r>
      <w:r>
        <w:rPr>
          <w:rFonts w:hint="eastAsia"/>
          <w:sz w:val="32"/>
          <w:szCs w:val="32"/>
          <w:lang w:val="en-US" w:eastAsia="zh-CN"/>
        </w:rPr>
        <w:t>同比</w:t>
      </w:r>
      <w:r>
        <w:rPr>
          <w:rFonts w:hint="eastAsia"/>
          <w:sz w:val="32"/>
          <w:szCs w:val="32"/>
        </w:rPr>
        <w:t>增加1.14万元，</w:t>
      </w:r>
      <w:r>
        <w:rPr>
          <w:sz w:val="32"/>
          <w:u w:color="auto"/>
        </w:rPr>
        <w:t>增长0.21%</w:t>
      </w:r>
      <w:r>
        <w:rPr>
          <w:rFonts w:hint="eastAsia"/>
          <w:sz w:val="32"/>
          <w:szCs w:val="32"/>
          <w:lang w:eastAsia="zh-CN"/>
        </w:rPr>
        <w:t>。其中：一般公共预算</w:t>
      </w:r>
      <w:r>
        <w:rPr>
          <w:rFonts w:hint="eastAsia" w:ascii="宋体" w:hAnsi="宋体" w:eastAsia="宋体"/>
          <w:sz w:val="32"/>
          <w:szCs w:val="32"/>
          <w:lang w:eastAsia="zh-CN"/>
        </w:rPr>
        <w:t>537.66</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增加1.14</w:t>
      </w:r>
      <w:r>
        <w:rPr>
          <w:rFonts w:hint="eastAsia"/>
          <w:sz w:val="32"/>
          <w:szCs w:val="32"/>
          <w:lang w:eastAsia="zh-CN"/>
        </w:rPr>
        <w:t>万元，</w:t>
      </w:r>
      <w:r>
        <w:rPr>
          <w:rFonts w:hint="eastAsia" w:ascii="宋体" w:hAnsi="宋体" w:eastAsia="宋体"/>
          <w:sz w:val="32"/>
          <w:szCs w:val="32"/>
          <w:lang w:eastAsia="zh-CN"/>
        </w:rPr>
        <w:t>增长0.21%</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县级公用经费定额标准增长，工资及福利增长</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未安排政府性基金预算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537.66</w:t>
      </w:r>
      <w:r>
        <w:rPr>
          <w:rFonts w:hint="eastAsia"/>
          <w:sz w:val="32"/>
          <w:szCs w:val="32"/>
        </w:rPr>
        <w:t>万元，</w:t>
      </w:r>
      <w:r>
        <w:rPr>
          <w:rFonts w:hint="eastAsia"/>
          <w:sz w:val="32"/>
          <w:szCs w:val="32"/>
          <w:lang w:val="en-US" w:eastAsia="zh-CN"/>
        </w:rPr>
        <w:t>同比</w:t>
      </w:r>
      <w:r>
        <w:rPr>
          <w:rFonts w:hint="eastAsia"/>
          <w:sz w:val="32"/>
          <w:szCs w:val="32"/>
        </w:rPr>
        <w:t>增加1.14万元，</w:t>
      </w:r>
      <w:r>
        <w:rPr>
          <w:sz w:val="32"/>
          <w:u w:color="auto"/>
        </w:rPr>
        <w:t>增长0.21%</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420.66</w:t>
      </w:r>
      <w:r>
        <w:rPr>
          <w:rFonts w:hint="eastAsia"/>
          <w:sz w:val="32"/>
          <w:szCs w:val="32"/>
        </w:rPr>
        <w:t>万元，占支出预算</w:t>
      </w:r>
      <w:r>
        <w:rPr>
          <w:sz w:val="32"/>
          <w:u w:color="auto"/>
        </w:rPr>
        <w:t>78.24%,</w:t>
      </w:r>
      <w:r>
        <w:rPr>
          <w:rFonts w:hint="eastAsia"/>
          <w:sz w:val="32"/>
          <w:szCs w:val="32"/>
          <w:lang w:val="en-US" w:eastAsia="zh-CN"/>
        </w:rPr>
        <w:t>同比</w:t>
      </w:r>
      <w:r>
        <w:rPr>
          <w:rFonts w:hint="eastAsia"/>
          <w:sz w:val="32"/>
          <w:szCs w:val="32"/>
        </w:rPr>
        <w:t>增加6.14</w:t>
      </w:r>
      <w:r>
        <w:rPr>
          <w:sz w:val="32"/>
          <w:u w:color="auto"/>
        </w:rPr>
        <w:t>万元，增长1.48%</w:t>
      </w:r>
      <w:r>
        <w:rPr>
          <w:sz w:val="32"/>
          <w:szCs w:val="32"/>
        </w:rPr>
        <w:t>。</w:t>
      </w:r>
      <w:r>
        <w:rPr>
          <w:rFonts w:hint="eastAsia"/>
          <w:sz w:val="32"/>
          <w:szCs w:val="32"/>
        </w:rPr>
        <w:t>主要原因是</w:t>
      </w:r>
      <w:r>
        <w:rPr>
          <w:sz w:val="32"/>
          <w:szCs w:val="32"/>
        </w:rPr>
        <w:t>：</w:t>
      </w:r>
      <w:r>
        <w:rPr>
          <w:rFonts w:hint="eastAsia"/>
          <w:sz w:val="32"/>
          <w:szCs w:val="32"/>
          <w:lang w:val="en-US" w:eastAsia="zh-CN"/>
        </w:rPr>
        <w:t>县级公用经费定额标准增长，工资及福利增长</w:t>
      </w:r>
      <w:r>
        <w:rPr>
          <w:rFonts w:hint="eastAsia"/>
          <w:sz w:val="32"/>
          <w:szCs w:val="32"/>
          <w:lang w:val="en-US"/>
        </w:rPr>
        <w:t>。</w:t>
      </w:r>
      <w:r>
        <w:rPr>
          <w:rFonts w:hint="eastAsia"/>
          <w:sz w:val="32"/>
          <w:szCs w:val="32"/>
        </w:rPr>
        <w:t>项目支出预算</w:t>
      </w:r>
      <w:r>
        <w:rPr>
          <w:rFonts w:hint="eastAsia"/>
          <w:sz w:val="32"/>
          <w:szCs w:val="32"/>
          <w:lang w:val="en-US"/>
        </w:rPr>
        <w:t>117.00</w:t>
      </w:r>
      <w:r>
        <w:rPr>
          <w:rFonts w:hint="eastAsia"/>
          <w:sz w:val="32"/>
          <w:szCs w:val="32"/>
        </w:rPr>
        <w:t>万元，占支出预算</w:t>
      </w:r>
      <w:r>
        <w:rPr>
          <w:sz w:val="32"/>
          <w:u w:color="auto"/>
        </w:rPr>
        <w:t>21.76%</w:t>
      </w:r>
      <w:r>
        <w:rPr>
          <w:rFonts w:hint="eastAsia"/>
          <w:sz w:val="32"/>
          <w:szCs w:val="32"/>
        </w:rPr>
        <w:t>,</w:t>
      </w:r>
      <w:r>
        <w:rPr>
          <w:rFonts w:hint="eastAsia"/>
          <w:sz w:val="32"/>
          <w:szCs w:val="32"/>
          <w:lang w:val="en-US" w:eastAsia="zh-CN"/>
        </w:rPr>
        <w:t>同比</w:t>
      </w:r>
      <w:r>
        <w:rPr>
          <w:rFonts w:hint="eastAsia"/>
          <w:sz w:val="32"/>
          <w:szCs w:val="32"/>
        </w:rPr>
        <w:t>减少5.00万元，</w:t>
      </w:r>
      <w:r>
        <w:rPr>
          <w:sz w:val="32"/>
          <w:u w:color="auto"/>
        </w:rPr>
        <w:t>下降4.10%</w:t>
      </w:r>
      <w:r>
        <w:rPr>
          <w:sz w:val="32"/>
          <w:szCs w:val="32"/>
        </w:rPr>
        <w:t>。</w:t>
      </w:r>
      <w:r>
        <w:rPr>
          <w:rFonts w:hint="eastAsia"/>
          <w:sz w:val="32"/>
          <w:szCs w:val="32"/>
        </w:rPr>
        <w:t>主要原因是</w:t>
      </w:r>
      <w:r>
        <w:rPr>
          <w:sz w:val="32"/>
          <w:szCs w:val="32"/>
        </w:rPr>
        <w:t>：</w:t>
      </w:r>
      <w:r>
        <w:rPr>
          <w:rFonts w:hint="eastAsia"/>
          <w:sz w:val="32"/>
          <w:szCs w:val="32"/>
          <w:lang w:val="en-US" w:eastAsia="zh-CN"/>
        </w:rPr>
        <w:t>上年度区审计厅拨付专项信息维护费，本年度目前暂未拨付。</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537.66</w:t>
      </w:r>
      <w:r>
        <w:rPr>
          <w:rFonts w:hint="eastAsia"/>
          <w:sz w:val="32"/>
          <w:szCs w:val="32"/>
        </w:rPr>
        <w:t>万元，</w:t>
      </w:r>
      <w:r>
        <w:rPr>
          <w:rFonts w:hint="eastAsia"/>
          <w:sz w:val="32"/>
          <w:szCs w:val="32"/>
          <w:lang w:val="en-US" w:eastAsia="zh-CN"/>
        </w:rPr>
        <w:t>同比</w:t>
      </w:r>
      <w:r>
        <w:rPr>
          <w:rFonts w:hint="eastAsia"/>
          <w:sz w:val="32"/>
          <w:szCs w:val="32"/>
        </w:rPr>
        <w:t>增加1.14万元，</w:t>
      </w:r>
      <w:r>
        <w:rPr>
          <w:sz w:val="32"/>
          <w:u w:color="auto"/>
        </w:rPr>
        <w:t>增长0.21%</w:t>
      </w:r>
      <w:r>
        <w:rPr>
          <w:rFonts w:hint="eastAsia"/>
          <w:sz w:val="32"/>
          <w:szCs w:val="32"/>
          <w:lang w:eastAsia="zh-CN"/>
        </w:rPr>
        <w:t>。其中：一般公共预算</w:t>
      </w:r>
      <w:r>
        <w:rPr>
          <w:rFonts w:hint="eastAsia" w:ascii="宋体" w:hAnsi="宋体" w:eastAsia="宋体"/>
          <w:sz w:val="32"/>
          <w:szCs w:val="32"/>
          <w:lang w:eastAsia="zh-CN"/>
        </w:rPr>
        <w:t>537.66</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增加1.14</w:t>
      </w:r>
      <w:r>
        <w:rPr>
          <w:rFonts w:hint="eastAsia"/>
          <w:sz w:val="32"/>
          <w:szCs w:val="32"/>
          <w:lang w:eastAsia="zh-CN"/>
        </w:rPr>
        <w:t>万元，</w:t>
      </w:r>
      <w:r>
        <w:rPr>
          <w:rFonts w:hint="eastAsia" w:ascii="宋体" w:hAnsi="宋体" w:eastAsia="宋体"/>
          <w:sz w:val="32"/>
          <w:szCs w:val="32"/>
          <w:lang w:eastAsia="zh-CN"/>
        </w:rPr>
        <w:t>增长0.21%</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县级公用经费定额标准增长，工资及福利增长</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我部门2024年部门预算无政府性基金预算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537.66</w:t>
      </w:r>
      <w:r>
        <w:rPr>
          <w:rFonts w:hint="eastAsia"/>
          <w:sz w:val="32"/>
          <w:szCs w:val="32"/>
          <w:lang w:val="zh-TW" w:eastAsia="zh-TW"/>
        </w:rPr>
        <w:t>万元，同比</w:t>
      </w:r>
      <w:r>
        <w:rPr>
          <w:rFonts w:hint="eastAsia"/>
          <w:sz w:val="32"/>
          <w:szCs w:val="32"/>
          <w:lang w:val="en-US" w:eastAsia="zh-TW"/>
        </w:rPr>
        <w:t>增加1.14</w:t>
      </w:r>
      <w:r>
        <w:rPr>
          <w:rFonts w:hint="eastAsia"/>
          <w:sz w:val="32"/>
          <w:szCs w:val="32"/>
          <w:lang w:val="zh-TW" w:eastAsia="zh-TW"/>
        </w:rPr>
        <w:t>万元，</w:t>
      </w:r>
      <w:r>
        <w:rPr>
          <w:sz w:val="32"/>
          <w:u w:color="auto"/>
        </w:rPr>
        <w:t>增长0.21%</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县级公用经费定额标准增长，工资及福利增长。</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年一般公共预算支出共537.66万元，同比增加1.14万元，增长0.21%，按支出功能分类科目划分，共分为4类，其中：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435.09万元，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80.92%</w:t>
      </w:r>
      <w:r>
        <w:rPr>
          <w:rFonts w:hint="eastAsia"/>
          <w:sz w:val="32"/>
          <w:szCs w:val="32"/>
        </w:rPr>
        <w:t>，</w:t>
      </w:r>
      <w:r>
        <w:rPr>
          <w:rFonts w:hint="eastAsia"/>
          <w:sz w:val="32"/>
          <w:szCs w:val="32"/>
          <w:lang w:val="en-US" w:eastAsia="zh-CN"/>
        </w:rPr>
        <w:t>同比</w:t>
      </w:r>
      <w:r>
        <w:rPr>
          <w:rFonts w:hint="eastAsia"/>
          <w:sz w:val="32"/>
          <w:szCs w:val="32"/>
        </w:rPr>
        <w:t>增加10.94万元，</w:t>
      </w:r>
      <w:r>
        <w:rPr>
          <w:sz w:val="32"/>
          <w:u w:color="auto"/>
        </w:rPr>
        <w:t>增长2.58%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318.09万元，</w:t>
      </w:r>
      <w:r>
        <w:rPr>
          <w:rFonts w:hint="eastAsia"/>
          <w:sz w:val="32"/>
          <w:szCs w:val="32"/>
          <w:lang w:val="en-US" w:eastAsia="zh-CN"/>
        </w:rPr>
        <w:t>同比</w:t>
      </w:r>
      <w:r>
        <w:rPr>
          <w:rFonts w:hint="eastAsia"/>
          <w:sz w:val="32"/>
          <w:szCs w:val="32"/>
        </w:rPr>
        <w:t>增加32.24万元，</w:t>
      </w:r>
      <w:r>
        <w:rPr>
          <w:sz w:val="32"/>
          <w:u w:color="auto"/>
        </w:rPr>
        <w:t>增长11.28%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是根据国家规定的基本工资和津补贴标准等安排的人员经费支出，按县级公用经费定额标准安排的办公费、印刷费、差旅费、培训费等日常公用经费支出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审计业务</w:t>
      </w:r>
      <w:r>
        <w:rPr>
          <w:rFonts w:hint="eastAsia"/>
          <w:sz w:val="32"/>
          <w:szCs w:val="32"/>
          <w:lang w:val="en-US" w:eastAsia="zh-CN"/>
        </w:rPr>
        <w:t>科目</w:t>
      </w:r>
      <w:r>
        <w:rPr>
          <w:rFonts w:hint="eastAsia"/>
          <w:sz w:val="32"/>
          <w:szCs w:val="32"/>
        </w:rPr>
        <w:t>117.00万元，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审计项目所需的办公费、印刷费、邮电费、水电费、差旅费等日常公用经费支出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55.03万元，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10.24%</w:t>
      </w:r>
      <w:r>
        <w:rPr>
          <w:rFonts w:hint="eastAsia"/>
          <w:sz w:val="32"/>
          <w:szCs w:val="32"/>
        </w:rPr>
        <w:t>，</w:t>
      </w:r>
      <w:r>
        <w:rPr>
          <w:rFonts w:hint="eastAsia"/>
          <w:sz w:val="32"/>
          <w:szCs w:val="32"/>
          <w:lang w:val="en-US" w:eastAsia="zh-CN"/>
        </w:rPr>
        <w:t>同比</w:t>
      </w:r>
      <w:r>
        <w:rPr>
          <w:rFonts w:hint="eastAsia"/>
          <w:sz w:val="32"/>
          <w:szCs w:val="32"/>
        </w:rPr>
        <w:t>减少4.63万元，</w:t>
      </w:r>
      <w:r>
        <w:rPr>
          <w:sz w:val="32"/>
          <w:u w:color="auto"/>
        </w:rPr>
        <w:t>下降7.76%</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36.69万元，</w:t>
      </w:r>
      <w:r>
        <w:rPr>
          <w:rFonts w:hint="eastAsia"/>
          <w:sz w:val="32"/>
          <w:szCs w:val="32"/>
          <w:lang w:val="en-US" w:eastAsia="zh-CN"/>
        </w:rPr>
        <w:t>同比</w:t>
      </w:r>
      <w:r>
        <w:rPr>
          <w:rFonts w:hint="eastAsia"/>
          <w:sz w:val="32"/>
          <w:szCs w:val="32"/>
        </w:rPr>
        <w:t>减少3.08万元，</w:t>
      </w:r>
      <w:r>
        <w:rPr>
          <w:sz w:val="32"/>
          <w:u w:color="auto"/>
        </w:rPr>
        <w:t>下降7.74%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审计局本级按照规定为单位在职人员缴纳机关事业单位基本养老保险</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18.34万元，</w:t>
      </w:r>
      <w:r>
        <w:rPr>
          <w:rFonts w:hint="eastAsia"/>
          <w:sz w:val="32"/>
          <w:szCs w:val="32"/>
          <w:lang w:val="en-US" w:eastAsia="zh-CN"/>
        </w:rPr>
        <w:t>同比</w:t>
      </w:r>
      <w:r>
        <w:rPr>
          <w:rFonts w:hint="eastAsia"/>
          <w:sz w:val="32"/>
          <w:szCs w:val="32"/>
        </w:rPr>
        <w:t>减少1.55万元，</w:t>
      </w:r>
      <w:r>
        <w:rPr>
          <w:sz w:val="32"/>
          <w:u w:color="auto"/>
        </w:rPr>
        <w:t>下降7.79%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审计局本级按照规定为单位在职人员缴纳机关事业单位职业年金</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17.43万元，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3.24%</w:t>
      </w:r>
      <w:r>
        <w:rPr>
          <w:rFonts w:hint="eastAsia"/>
          <w:sz w:val="32"/>
          <w:szCs w:val="32"/>
        </w:rPr>
        <w:t>，</w:t>
      </w:r>
      <w:r>
        <w:rPr>
          <w:rFonts w:hint="eastAsia"/>
          <w:sz w:val="32"/>
          <w:szCs w:val="32"/>
          <w:lang w:val="en-US" w:eastAsia="zh-CN"/>
        </w:rPr>
        <w:t>同比</w:t>
      </w:r>
      <w:r>
        <w:rPr>
          <w:rFonts w:hint="eastAsia"/>
          <w:sz w:val="32"/>
          <w:szCs w:val="32"/>
        </w:rPr>
        <w:t>减少5.44万元，</w:t>
      </w:r>
      <w:r>
        <w:rPr>
          <w:sz w:val="32"/>
          <w:u w:color="auto"/>
        </w:rPr>
        <w:t>下降23.79%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16.97万元，</w:t>
      </w:r>
      <w:r>
        <w:rPr>
          <w:rFonts w:hint="eastAsia"/>
          <w:sz w:val="32"/>
          <w:szCs w:val="32"/>
          <w:lang w:val="en-US" w:eastAsia="zh-CN"/>
        </w:rPr>
        <w:t>同比</w:t>
      </w:r>
      <w:r>
        <w:rPr>
          <w:rFonts w:hint="eastAsia"/>
          <w:sz w:val="32"/>
          <w:szCs w:val="32"/>
        </w:rPr>
        <w:t>减少5.40万元，</w:t>
      </w:r>
      <w:r>
        <w:rPr>
          <w:sz w:val="32"/>
          <w:u w:color="auto"/>
        </w:rPr>
        <w:t>下降24.14%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审计局本级按照规定为单位在职人员缴纳行政单位医疗</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0.46万元，</w:t>
      </w:r>
      <w:r>
        <w:rPr>
          <w:rFonts w:hint="eastAsia"/>
          <w:sz w:val="32"/>
          <w:szCs w:val="32"/>
          <w:lang w:val="en-US" w:eastAsia="zh-CN"/>
        </w:rPr>
        <w:t>同比</w:t>
      </w:r>
      <w:r>
        <w:rPr>
          <w:rFonts w:hint="eastAsia"/>
          <w:sz w:val="32"/>
          <w:szCs w:val="32"/>
        </w:rPr>
        <w:t>减少0.04万元，</w:t>
      </w:r>
      <w:r>
        <w:rPr>
          <w:sz w:val="32"/>
          <w:u w:color="auto"/>
        </w:rPr>
        <w:t>下降8.00%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审计局本级按照规定为单位在职人员缴纳工伤保险</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30.11万元，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5.60%</w:t>
      </w:r>
      <w:r>
        <w:rPr>
          <w:rFonts w:hint="eastAsia"/>
          <w:sz w:val="32"/>
          <w:szCs w:val="32"/>
        </w:rPr>
        <w:t>，</w:t>
      </w:r>
      <w:r>
        <w:rPr>
          <w:rFonts w:hint="eastAsia"/>
          <w:sz w:val="32"/>
          <w:szCs w:val="32"/>
          <w:lang w:val="en-US" w:eastAsia="zh-CN"/>
        </w:rPr>
        <w:t>同比</w:t>
      </w:r>
      <w:r>
        <w:rPr>
          <w:rFonts w:hint="eastAsia"/>
          <w:sz w:val="32"/>
          <w:szCs w:val="32"/>
        </w:rPr>
        <w:t>增加0.28万元，</w:t>
      </w:r>
      <w:r>
        <w:rPr>
          <w:sz w:val="32"/>
          <w:u w:color="auto"/>
        </w:rPr>
        <w:t>增长0.94%</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30.11万元，</w:t>
      </w:r>
      <w:r>
        <w:rPr>
          <w:rFonts w:hint="eastAsia"/>
          <w:sz w:val="32"/>
          <w:szCs w:val="32"/>
          <w:lang w:val="en-US" w:eastAsia="zh-CN"/>
        </w:rPr>
        <w:t>同比</w:t>
      </w:r>
      <w:r>
        <w:rPr>
          <w:rFonts w:hint="eastAsia"/>
          <w:sz w:val="32"/>
          <w:szCs w:val="32"/>
        </w:rPr>
        <w:t>增加0.28万元，</w:t>
      </w:r>
      <w:r>
        <w:rPr>
          <w:sz w:val="32"/>
          <w:u w:color="auto"/>
        </w:rPr>
        <w:t>增长0.94%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审计局本级按照规定为单位在职人员缴纳住房公积金</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420.66</w:t>
      </w:r>
      <w:r>
        <w:rPr>
          <w:rFonts w:hint="eastAsia"/>
          <w:sz w:val="32"/>
          <w:szCs w:val="32"/>
        </w:rPr>
        <w:t>万元，</w:t>
      </w:r>
      <w:r>
        <w:rPr>
          <w:rFonts w:hint="eastAsia"/>
          <w:sz w:val="32"/>
          <w:szCs w:val="32"/>
          <w:lang w:val="en-US" w:eastAsia="zh-CN"/>
        </w:rPr>
        <w:t>增加6.14</w:t>
      </w:r>
      <w:r>
        <w:rPr>
          <w:rFonts w:hint="eastAsia"/>
          <w:sz w:val="32"/>
          <w:szCs w:val="32"/>
        </w:rPr>
        <w:t>万元，</w:t>
      </w:r>
      <w:r>
        <w:rPr>
          <w:rFonts w:hint="eastAsia"/>
          <w:sz w:val="32"/>
          <w:szCs w:val="32"/>
          <w:lang w:val="en-US" w:eastAsia="zh-CN"/>
        </w:rPr>
        <w:t>增长1.48%</w:t>
      </w:r>
      <w:r>
        <w:rPr>
          <w:rFonts w:hint="eastAsia"/>
          <w:sz w:val="32"/>
          <w:szCs w:val="32"/>
        </w:rPr>
        <w:t>，主要原因是</w:t>
      </w:r>
      <w:r>
        <w:rPr>
          <w:rFonts w:hint="eastAsia"/>
          <w:sz w:val="32"/>
          <w:szCs w:val="32"/>
          <w:lang w:val="en-US" w:eastAsia="zh-CN"/>
        </w:rPr>
        <w:t>县级公用经费定额标准增长，工资及福利增长</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353.47万元，减少7.49万元，减少2.08%，主要原因是：在职人员工资上涨。</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41.93万元，增长3.43万元，增长8.91%，主要原因是：县级公用经费定额标准增长。</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25.26万元，增长10.20万元，增长67.73%，主要原因是：退休人员生活补助标准增加。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基本工资110.52万元,津贴补贴65.98万元,奖金74.41万元,机关事业单位基本养老保险缴费36.69万元,职业年金缴费18.34万元,职工基本医疗保险缴费16.97万元,其他社会保障缴费0.46万元,住房公积金30.11万元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办公费6.87万元,印刷费0.40万元,邮电费0.40万元,差旅费2.50万元,会议费0.50万元,培训费3.00万元,公务接待费2.50万元,其他交通费用20.76万元,其他商品和服务支出5.00万元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退休费24.00万元,生活补助1.26万元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12.50</w:t>
      </w:r>
      <w:r>
        <w:rPr>
          <w:rFonts w:hint="eastAsia"/>
          <w:sz w:val="32"/>
          <w:szCs w:val="32"/>
          <w:lang w:eastAsia="zh-CN"/>
        </w:rPr>
        <w:t>万元，</w:t>
      </w:r>
      <w:r>
        <w:rPr>
          <w:sz w:val="32"/>
          <w:u w:color="auto"/>
        </w:rPr>
        <w:t>增加9.50万元，增长316.67%</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12.50</w:t>
      </w:r>
      <w:r>
        <w:rPr>
          <w:rFonts w:hint="eastAsia"/>
          <w:sz w:val="32"/>
          <w:szCs w:val="32"/>
          <w:lang w:eastAsia="zh-CN"/>
        </w:rPr>
        <w:t>万元，</w:t>
      </w:r>
      <w:r>
        <w:rPr>
          <w:rFonts w:hint="eastAsia"/>
          <w:sz w:val="32"/>
          <w:szCs w:val="32"/>
        </w:rPr>
        <w:t>增加9.50</w:t>
      </w:r>
      <w:r>
        <w:rPr>
          <w:sz w:val="32"/>
          <w:u w:color="auto"/>
        </w:rPr>
        <w:t>万元，增长316.67%</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上年度项目支出未安排公务接待费；</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0.00万元，增加0.00万元，增长0%，主要原因：本单位无公务用车；主要用于单位执行公务活动所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1.50</w:t>
      </w:r>
      <w:r>
        <w:rPr>
          <w:rFonts w:hint="eastAsia"/>
          <w:sz w:val="32"/>
          <w:szCs w:val="32"/>
          <w:lang w:val="en-US" w:eastAsia="en-US"/>
        </w:rPr>
        <w:t>万元，</w:t>
      </w:r>
      <w:r>
        <w:rPr>
          <w:rFonts w:hint="eastAsia"/>
          <w:sz w:val="32"/>
          <w:szCs w:val="32"/>
          <w:lang w:val="en-US" w:eastAsia="zh-CN"/>
        </w:rPr>
        <w:t>增加1.50</w:t>
      </w:r>
      <w:r>
        <w:rPr>
          <w:rFonts w:hint="eastAsia"/>
          <w:sz w:val="32"/>
          <w:szCs w:val="32"/>
          <w:lang w:val="en-US" w:eastAsia="en-US"/>
        </w:rPr>
        <w:t>万元，</w:t>
      </w:r>
      <w:r>
        <w:rPr>
          <w:rFonts w:hint="eastAsia"/>
          <w:sz w:val="32"/>
          <w:szCs w:val="32"/>
          <w:lang w:val="en-US" w:eastAsia="zh-CN"/>
        </w:rPr>
        <w:t>增长100%</w:t>
      </w:r>
      <w:r>
        <w:rPr>
          <w:rFonts w:hint="eastAsia"/>
          <w:sz w:val="32"/>
          <w:szCs w:val="32"/>
          <w:lang w:val="en-US" w:eastAsia="en-US"/>
        </w:rPr>
        <w:t>，主要原因是</w:t>
      </w:r>
      <w:r>
        <w:rPr>
          <w:rFonts w:hint="eastAsia"/>
          <w:sz w:val="32"/>
          <w:szCs w:val="32"/>
          <w:lang w:val="en-US" w:eastAsia="zh-CN"/>
        </w:rPr>
        <w:t>上年度未安排会议费</w:t>
      </w:r>
      <w:r>
        <w:rPr>
          <w:rFonts w:hint="eastAsia"/>
          <w:sz w:val="32"/>
          <w:szCs w:val="32"/>
          <w:lang w:val="en-US" w:eastAsia="en-US"/>
        </w:rPr>
        <w:t>；培训费预算</w:t>
      </w:r>
      <w:r>
        <w:rPr>
          <w:rFonts w:hint="eastAsia"/>
          <w:sz w:val="32"/>
          <w:szCs w:val="32"/>
          <w:lang w:val="en-US" w:eastAsia="zh-CN"/>
        </w:rPr>
        <w:t>13.00</w:t>
      </w:r>
      <w:r>
        <w:rPr>
          <w:rFonts w:hint="eastAsia"/>
          <w:sz w:val="32"/>
          <w:szCs w:val="32"/>
          <w:lang w:val="en-US" w:eastAsia="en-US"/>
        </w:rPr>
        <w:t>万元，</w:t>
      </w:r>
      <w:r>
        <w:rPr>
          <w:rFonts w:hint="eastAsia"/>
          <w:sz w:val="32"/>
          <w:szCs w:val="32"/>
          <w:lang w:val="en-US" w:eastAsia="zh-CN"/>
        </w:rPr>
        <w:t>增加12.00</w:t>
      </w:r>
      <w:r>
        <w:rPr>
          <w:rFonts w:hint="eastAsia"/>
          <w:sz w:val="32"/>
          <w:szCs w:val="32"/>
          <w:lang w:val="en-US" w:eastAsia="en-US"/>
        </w:rPr>
        <w:t>万元，</w:t>
      </w:r>
      <w:r>
        <w:rPr>
          <w:rFonts w:hint="eastAsia"/>
          <w:sz w:val="32"/>
          <w:szCs w:val="32"/>
          <w:lang w:val="en-US" w:eastAsia="zh-CN"/>
        </w:rPr>
        <w:t>增长1200.00%</w:t>
      </w:r>
      <w:r>
        <w:rPr>
          <w:rFonts w:hint="eastAsia"/>
          <w:sz w:val="32"/>
          <w:szCs w:val="32"/>
          <w:lang w:val="en-US" w:eastAsia="en-US"/>
        </w:rPr>
        <w:t>，主要原因是</w:t>
      </w:r>
      <w:r>
        <w:rPr>
          <w:rFonts w:hint="eastAsia"/>
          <w:sz w:val="32"/>
          <w:szCs w:val="32"/>
          <w:lang w:val="en-US" w:eastAsia="zh-CN"/>
        </w:rPr>
        <w:t>审计专业知识更新速度快，本级审计机关人员年龄偏大，需加大培训力度，提高审计人员专业素质</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eastAsia="宋体"/>
          <w:sz w:val="32"/>
          <w:szCs w:val="32"/>
          <w:lang w:val="en-US" w:eastAsia="zh"/>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我部门2024年部门预算无国有资产经营预算</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41.93</w:t>
      </w:r>
      <w:r>
        <w:rPr>
          <w:rFonts w:hint="eastAsia"/>
          <w:sz w:val="32"/>
          <w:szCs w:val="32"/>
        </w:rPr>
        <w:t>万元，较2023年度预算数</w:t>
      </w:r>
      <w:r>
        <w:rPr>
          <w:rFonts w:hint="eastAsia"/>
          <w:sz w:val="32"/>
          <w:szCs w:val="32"/>
          <w:lang w:val="en-US"/>
        </w:rPr>
        <w:t>38.50</w:t>
      </w:r>
      <w:r>
        <w:rPr>
          <w:rFonts w:hint="eastAsia"/>
          <w:sz w:val="32"/>
          <w:szCs w:val="32"/>
        </w:rPr>
        <w:t>万元，</w:t>
      </w:r>
      <w:r>
        <w:rPr>
          <w:rFonts w:hint="eastAsia"/>
          <w:sz w:val="32"/>
          <w:szCs w:val="32"/>
          <w:lang w:val="en-US"/>
        </w:rPr>
        <w:t>增加3.43</w:t>
      </w:r>
      <w:r>
        <w:rPr>
          <w:rFonts w:hint="eastAsia"/>
          <w:sz w:val="32"/>
          <w:szCs w:val="32"/>
        </w:rPr>
        <w:t>万元，</w:t>
      </w:r>
      <w:r>
        <w:rPr>
          <w:rFonts w:hint="eastAsia"/>
          <w:sz w:val="32"/>
          <w:szCs w:val="32"/>
          <w:lang w:val="en-US"/>
        </w:rPr>
        <w:t>增长8.91%</w:t>
      </w:r>
      <w:r>
        <w:rPr>
          <w:rFonts w:hint="eastAsia"/>
          <w:sz w:val="32"/>
          <w:szCs w:val="32"/>
        </w:rPr>
        <w:t>，主要原因是：</w:t>
      </w:r>
      <w:r>
        <w:rPr>
          <w:rFonts w:hint="eastAsia"/>
          <w:sz w:val="32"/>
          <w:szCs w:val="32"/>
          <w:lang w:val="en-US"/>
        </w:rPr>
        <w:t>县级公用经费定额标准增长</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44.7</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24.25</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20.45</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1</w:t>
      </w:r>
      <w:r>
        <w:rPr>
          <w:rFonts w:hint="eastAsia"/>
          <w:sz w:val="32"/>
          <w:szCs w:val="32"/>
        </w:rPr>
        <w:t>个，预算资金</w:t>
      </w:r>
      <w:r>
        <w:rPr>
          <w:rFonts w:hint="eastAsia"/>
          <w:sz w:val="32"/>
          <w:szCs w:val="32"/>
          <w:lang w:val="en-US"/>
        </w:rPr>
        <w:t>117</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项目名称：审计业务费，预算资金117万元，2024年度绩效目标为：通过实施审计工作，实现促进提升财政管理水平、促进领导干部依法科学履职、促进经济社会健康发展等工作目标。设3条数量指标：完成审计项目数量≥9个，提出审计意见≥10条，出具审计报告≥9份；设1条质量指标：系统正常运行率＝100%；设1条时效指标：审计计划完成时间定性2024年12月31日达成预期指标；设1条成本指标：审计工作经费支出≤117万元；设1条可持续影响：加大审计建议整改力度，发挥审计长效作用定性严格落实整改要求达成预期指标；设1条满意度指标：被审计单位对审计工作满意度≥90%。</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6"/>
      <w:bookmarkStart w:id="18" w:name="bookmark95"/>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全州县审计局2024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2358"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U8OA3eYBAADhAwAADgAAAGRycy9lMm9Eb2MueG1srVPBbtsw DL0P2D8IvDdO0rXLgjjFsCDDgGIN0O0DFFmOBViiQCmxs68fJTvp0O3Qwy4yJdGPfO9Rq4fetuKk KRh0JcwmUxDaKayMO5Tw88f2ZgEiROkq2aLTJZx1gIf1+3erzi/1HBtsK02CQVxYdr6EJka/LIqg Gm1lmKDXji9rJCsjb+lQVCQ7RrdtMZ9O74sOqfKESofAp5vhEkZEegsg1rVReoPqaLWLAyrpVkam FBrjA6xzt3WtVXyq66CjaEtgpjGvXITjfVqL9UouDyR9Y9TYgnxLC684WWkcF71CbWSU4kjmLyhr FGHAOk4U2mIgkhVhFrPpK22eG+l15sJSB38VPfw/WPX9tCNhqhLmt3fsvJOWPc+FxSyp0/mw5KRn v6NxFzhMVPuabPoyCdFnRc9XRXUfheLDD4vFpzsQim8+3rP7CbF4+dVTiF81WpGCEojtyirK02OI Q+olJVVyuDVtm85TV0MfKYr9vh+b22N1ZkKEg9PBq61h7EcZ4k4SW8vG8/DHJ17qFrsScIxANEi/ /nWe8llxvgXR8aiU4PhlgGi/OXYiTdUloEuwvwTuaL8gz94MhHSKMUqIII6ezKHJLSZewX8+RuaW KSdCA4uRJzufRRunNI3Wn/uc9fIy178B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xU81ZdUAAAAI AQAADwAAAAAAAAABACAAAAAiAAAAZHJzL2Rvd25yZXYueG1sUEsBAhQAFAAAAAgAh07iQFPDgN3m AQAA4QMAAA4AAAAAAAAAAQAgAAAAJAEAAGRycy9lMm9Eb2MueG1sUEsFBgAAAAAGAAYAWQEAAHwF AA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2360"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2lJXgeYBAADmAwAADgAAAGRycy9lMm9Eb2MueG1srVPB btswDL0P2D8Iui9OUjQbjDhFsSDDgGIN0O4DFFmKBViiRsmxs68fJTvp0O3QQy8KRTGP7z3S67vB tuykMBhwFV/M5pwpJ6E27ljxn8+7T184C1G4WrTgVMXPKvC7zccP696XagkNtLVCRiAulL2veBOj L4siyEZZEWbglaNHDWhFpCseixpFT+i2LZbz+aroAWuPIFUIlN2Oj3xCxLcAgtZGqi3IzioXR1RU rYgkKTTGB77JbLVWMj5qHVRkbcVJacwnNaH4kM5isxblEYVvjJwoiLdQeKXJCuOo6RVqK6JgHZp/ oKyRCAF0nEmwxSgkO0IqFvNX3jw1wqushawO/mp6eD9Y+eO0R2bqii9vVmSKE5Zmnhuz5W2yp/eh pKonv8fpFihMWgeNNv2SCjZkS89XS9UQmaRkmnjClfS0WN1+vsmYxcufPYb4TYFlKag40sSykeL0 ECI1pNJLSerlYGfaNuUTr5FJiuJwGCZ6B6jPpAlhHHbwcmcI+0GEuBdI0yU6tP/xkQ7dQl9xmCLO GsDf/8unejKdXjnraVsqHn51AhVn7XdH4yDIeAnwEhwugevsV6AFXHAmnCSUikfOOo/m2GSSo7L7 LoI2WXSSNOqYlNL4sxfTqqb9+vueq14+z80f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AAAAAGRycy9QSwECFAAUAAAACACHTuJA5CzR49gA AAAJAQAADwAAAAAAAAABACAAAAAiAAAAZHJzL2Rvd25yZXYueG1sUEsBAhQAFAAAAAgAh07iQNpS V4HmAQAA5gMAAA4AAAAAAAAAAQAgAAAAJwEAAGRycy9lMm9Eb2MueG1sUEsFBgAAAAAGAAYAWQEA AH8FA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59"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m3wgJOoBAADlAwAADgAAAGRycy9lMm9Eb2MueG1s rVNNb9swDL0P2H8QeF9sZ8iQGnGKYUGGAcUaoN0PUGQ5FmB9jJJjZ79+lOykQ7dDD7soTxTzyPdI b+5H3bGzRK+sqaBY5MCkEbZW5lTBj+f9hzUwH7ipeWeNrOAiPdxv37/bDK6US9varpbIiMT4cnAV tCG4Msu8aKXmfmGdNPTYWNQ80BVPWY18IHbdZcs8/5QNFmuHVkjvKbqbHmFmxLcQ2qZRQu6s6LU0 YWJF2fFAknyrnIdt6rZppAiPTeNlYF0FpDSkk4oQPsYz2254eULuWiXmFvhbWnilSXNlqOiNascD Zz2qv6i0Emi9bcJCWJ1NQpIjpKLIX3nz1HInkxay2rub6f7/0Yrv5wMyVVew/Li6A2a4ppmnwmwV 3RmcLynpyR1wvnmCUerYoI6/JIKNydHLzVE5BiYouFoX+XIFTNBTkd+tV4kze/mzQx++SqtZBBUg DSz5yM8PPlBBSr2mxFrG7lXXxXjsa+okojAex7m9o60vJAntNGvvxF4R9wP34cCRhkujp/UPj3Q0 nR0qsDMC1lr89a94zCfP6RXYQMtSgf/Zc5TAum+GphE36wrwCo5XYHr9xdL+FcC4EcRSQQDWO1Sn NjUZlXn3uQ+kLomOkiYds1KafvJi3tS4Xn/eU9bL17n9DV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CbfCAk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8E11F"/>
    <w:multiLevelType w:val="singleLevel"/>
    <w:tmpl w:val="7FF8E11F"/>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JMiLM1bUEU5zNFu/n57GWg==" w:hash="Q4fOjS8JtuyHVtxe7cor3F4NCSlSae8HOg+pnIdYsp+694ivpNFbypE1bJqNzPOSSV8gTj7LRnp3s8b7WzWosw=="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BDFF0541"/>
    <w:rsid w:val="F7AD668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0A9992A792D946A2ACE22DA643920CA2_13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2bc25-2657-4ae2-bb86-64878263bb8c}">
  <ds:schemaRefs/>
</ds:datastoreItem>
</file>

<file path=customXml/itemProps3.xml><?xml version="1.0" encoding="utf-8"?>
<ds:datastoreItem xmlns:ds="http://schemas.openxmlformats.org/officeDocument/2006/customXml" ds:itemID="{293c4986-bb41-4b60-b531-4879a5ef75e4}">
  <ds:schemaRefs/>
</ds:datastoreItem>
</file>

<file path=customXml/itemProps4.xml><?xml version="1.0" encoding="utf-8"?>
<ds:datastoreItem xmlns:ds="http://schemas.openxmlformats.org/officeDocument/2006/customXml" ds:itemID="{da9fd136-3b10-4108-bf17-2ee61c8877e6}">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2024-04-17T08:39:24Z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