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801" w:right="138" w:hanging="3507"/>
        <w:spacing w:before="139" w:line="29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中国共产党全州县委员会直属机关工作委</w:t>
      </w:r>
      <w:r>
        <w:rPr>
          <w:rFonts w:ascii="SimHei" w:hAnsi="SimHei" w:eastAsia="SimHei" w:cs="SimHei"/>
          <w:sz w:val="43"/>
          <w:szCs w:val="43"/>
          <w:spacing w:val="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8"/>
        </w:rPr>
        <w:t>员会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79" w:lineRule="auto"/>
        <w:rPr/>
      </w:pPr>
      <w:r/>
    </w:p>
    <w:p>
      <w:pPr>
        <w:ind w:left="74" w:right="31" w:firstLine="325"/>
        <w:spacing w:before="101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第一部分：中国共产党全州县委员会直属机关工作委员会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概况</w:t>
      </w:r>
    </w:p>
    <w:p>
      <w:pPr>
        <w:pStyle w:val="BodyText"/>
        <w:spacing w:line="293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  <w:p>
          <w:pPr>
            <w:ind w:right="28"/>
            <w:spacing w:before="63" w:line="226" w:lineRule="auto"/>
            <w:jc w:val="right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5"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第二部分：中国共产党全州县委员会直属机关工作委员会</w:t>
            </w:r>
          </w:hyperlink>
        </w:p>
        <w:p>
          <w:pPr>
            <w:ind w:left="75"/>
            <w:spacing w:before="244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6"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2025</w:t>
            </w:r>
            <w:r>
              <w:rPr>
                <w:rFonts w:ascii="SimHei" w:hAnsi="SimHei" w:eastAsia="SimHei" w:cs="SimHei"/>
                <w:sz w:val="31"/>
                <w:szCs w:val="31"/>
                <w:spacing w:val="-55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年部门预算情况说明</w:t>
            </w:r>
          </w:hyperlink>
        </w:p>
        <w:p>
          <w:pPr>
            <w:pStyle w:val="BodyText"/>
            <w:spacing w:line="268" w:lineRule="auto"/>
            <w:rPr/>
          </w:pPr>
          <w:r/>
        </w:p>
        <w:p>
          <w:pPr>
            <w:pStyle w:val="BodyText"/>
            <w:spacing w:line="268" w:lineRule="auto"/>
            <w:rPr/>
          </w:pPr>
          <w:r/>
        </w:p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60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3" w:lineRule="auto"/>
        <w:rPr/>
      </w:pPr>
      <w:r/>
    </w:p>
    <w:p>
      <w:pPr>
        <w:spacing w:before="101" w:line="224" w:lineRule="auto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第四部分：中国共产党全州县委员会直属机关工作委员会</w:t>
      </w:r>
    </w:p>
    <w:p>
      <w:pPr>
        <w:spacing w:line="224" w:lineRule="auto"/>
        <w:sectPr>
          <w:footerReference w:type="default" r:id="rId1"/>
          <w:pgSz w:w="11900" w:h="16840"/>
          <w:pgMar w:top="1431" w:right="1700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81"/>
        <w:spacing w:before="12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年部门预算报表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732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4049" w:right="129" w:hanging="4003"/>
        <w:spacing w:before="101" w:line="300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第一部分：中国共产党全州县委员会直属机关工作委员会概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况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64" w:lineRule="auto"/>
        <w:rPr/>
      </w:pPr>
      <w:r/>
    </w:p>
    <w:p>
      <w:pPr>
        <w:ind w:left="33" w:right="105" w:firstLine="649"/>
        <w:spacing w:before="10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1、贯彻落实党中央、自治区党委、市委和县委关于党的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工作的方针政策和决策部署，坚持和加强党对县直</w:t>
      </w:r>
      <w:r>
        <w:rPr>
          <w:rFonts w:ascii="FangSong" w:hAnsi="FangSong" w:eastAsia="FangSong" w:cs="FangSong"/>
          <w:sz w:val="31"/>
          <w:szCs w:val="31"/>
          <w:spacing w:val="8"/>
        </w:rPr>
        <w:t>属机关工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作的集中统一领导。</w:t>
      </w:r>
    </w:p>
    <w:p>
      <w:pPr>
        <w:ind w:left="32" w:right="105" w:firstLine="630"/>
        <w:spacing w:before="24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2、统一组织、规划、部署县直属机关党的</w:t>
      </w:r>
      <w:r>
        <w:rPr>
          <w:rFonts w:ascii="FangSong" w:hAnsi="FangSong" w:eastAsia="FangSong" w:cs="FangSong"/>
          <w:sz w:val="31"/>
          <w:szCs w:val="31"/>
          <w:spacing w:val="4"/>
        </w:rPr>
        <w:t>工作，提出加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强和改进机关党的建设的意见和建议，研究制定工作规划，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并抓好组织实施。</w:t>
      </w:r>
    </w:p>
    <w:p>
      <w:pPr>
        <w:ind w:left="33" w:firstLine="632"/>
        <w:spacing w:before="246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3、指导县直属机关党的政治建设、思想建设、组织建设、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作风建设、纪律建设，把制度建设贯穿其中，深入</w:t>
      </w:r>
      <w:r>
        <w:rPr>
          <w:rFonts w:ascii="FangSong" w:hAnsi="FangSong" w:eastAsia="FangSong" w:cs="FangSong"/>
          <w:sz w:val="31"/>
          <w:szCs w:val="31"/>
          <w:spacing w:val="8"/>
        </w:rPr>
        <w:t>推进反腐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败斗争。</w:t>
      </w:r>
    </w:p>
    <w:p>
      <w:pPr>
        <w:ind w:left="30" w:right="105" w:firstLine="628"/>
        <w:spacing w:before="24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4、指导县直属机关各级党组织和广大党员学习马克思列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主义、毛泽东思想、邓小平理论、“三个代表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”重要思想、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科学发展观、习近平新时代中国特色社会主义思想。</w:t>
      </w:r>
    </w:p>
    <w:p>
      <w:pPr>
        <w:ind w:left="28" w:right="105" w:firstLine="637"/>
        <w:spacing w:before="24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5、负责对县直属机关各级党组织、党员领导干部落实党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建责任制、遵守政治纪律和政治规矩情况进行监督检查。指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导督促县委各部门、县直各单位领导班子和党组认真履行党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建工作主体责任，并向县委报告。</w:t>
      </w:r>
    </w:p>
    <w:p>
      <w:pPr>
        <w:spacing w:line="334" w:lineRule="auto"/>
        <w:sectPr>
          <w:footerReference w:type="default" r:id="rId3"/>
          <w:pgSz w:w="11900" w:h="16840"/>
          <w:pgMar w:top="1431" w:right="1630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firstLine="630"/>
        <w:spacing w:before="63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6、指导县直属机关各级党组织实施对党员特</w:t>
      </w:r>
      <w:r>
        <w:rPr>
          <w:rFonts w:ascii="FangSong" w:hAnsi="FangSong" w:eastAsia="FangSong" w:cs="FangSong"/>
          <w:sz w:val="31"/>
          <w:szCs w:val="31"/>
          <w:spacing w:val="4"/>
        </w:rPr>
        <w:t>别是党员领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导干部的监督和管理，及时向县委反映各部门领导班子，领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导干部的情况。</w:t>
      </w:r>
    </w:p>
    <w:p>
      <w:pPr>
        <w:ind w:left="27" w:firstLine="639"/>
        <w:spacing w:before="241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7、配合县委有关部门抓好县直属机关各部门领导班子思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想政治建设，参与对党员领导干部民主生活会和县直属机关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各级党组织理论学习中心组学习的督促检查和指导，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了解掌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握情况，按规定向县委报送情况报告。</w:t>
      </w:r>
    </w:p>
    <w:p>
      <w:pPr>
        <w:ind w:left="33" w:firstLine="627"/>
        <w:spacing w:before="239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8、督促指导县直属机关党组织按期换届，审批</w:t>
      </w:r>
      <w:r>
        <w:rPr>
          <w:rFonts w:ascii="FangSong" w:hAnsi="FangSong" w:eastAsia="FangSong" w:cs="FangSong"/>
          <w:sz w:val="31"/>
          <w:szCs w:val="31"/>
          <w:spacing w:val="4"/>
        </w:rPr>
        <w:t>关于召开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党员大会或党员代表大会的请示，审批所属机关党</w:t>
      </w:r>
      <w:r>
        <w:rPr>
          <w:rFonts w:ascii="FangSong" w:hAnsi="FangSong" w:eastAsia="FangSong" w:cs="FangSong"/>
          <w:sz w:val="31"/>
          <w:szCs w:val="31"/>
          <w:spacing w:val="8"/>
        </w:rPr>
        <w:t>委、机关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纪委、机关党总支和机关党支部领导班子的组成及</w:t>
      </w:r>
      <w:r>
        <w:rPr>
          <w:rFonts w:ascii="FangSong" w:hAnsi="FangSong" w:eastAsia="FangSong" w:cs="FangSong"/>
          <w:sz w:val="31"/>
          <w:szCs w:val="31"/>
          <w:spacing w:val="8"/>
        </w:rPr>
        <w:t>书记、副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书记的任免。</w:t>
      </w:r>
    </w:p>
    <w:p>
      <w:pPr>
        <w:ind w:left="36" w:firstLine="624"/>
        <w:spacing w:before="239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9、指导县直属机关各级党组织加强基层组织建</w:t>
      </w:r>
      <w:r>
        <w:rPr>
          <w:rFonts w:ascii="FangSong" w:hAnsi="FangSong" w:eastAsia="FangSong" w:cs="FangSong"/>
          <w:sz w:val="31"/>
          <w:szCs w:val="31"/>
          <w:spacing w:val="4"/>
        </w:rPr>
        <w:t>设，做好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党员发展、教育和管理等工作。</w:t>
      </w:r>
    </w:p>
    <w:p>
      <w:pPr>
        <w:ind w:left="32" w:right="53" w:firstLine="650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10、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了解掌握县直属机关工作人员的思想状况，指导各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级党组织加强思想政治工作和精神文明建设。</w:t>
      </w:r>
    </w:p>
    <w:p>
      <w:pPr>
        <w:ind w:left="683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11、指导县直属机关各级党组织做好党的群众工作等。</w:t>
      </w:r>
    </w:p>
    <w:p>
      <w:pPr>
        <w:ind w:left="30" w:right="53" w:firstLine="653"/>
        <w:spacing w:before="244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12、协同县委有关部门指导、规划、协调、监督、检查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所属机关干部教育培训工作，培训轮训县直机关党务干部。</w:t>
      </w:r>
    </w:p>
    <w:p>
      <w:pPr>
        <w:ind w:left="30" w:right="53" w:firstLine="653"/>
        <w:spacing w:before="242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13、领导和指导县直机关的民兵武装工作、抓好民兵的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组织建设、思想建设、军事训练和征兵工作，提高国防后备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力量。</w:t>
      </w:r>
    </w:p>
    <w:p>
      <w:pPr>
        <w:ind w:left="683"/>
        <w:spacing w:before="23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14、完成县委交办的其他任务。</w:t>
      </w:r>
    </w:p>
    <w:p>
      <w:pPr>
        <w:spacing w:line="227" w:lineRule="auto"/>
        <w:sectPr>
          <w:footerReference w:type="default" r:id="rId4"/>
          <w:pgSz w:w="11900" w:h="16840"/>
          <w:pgMar w:top="1286" w:right="1736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44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8" w:lineRule="auto"/>
        <w:rPr/>
      </w:pPr>
      <w:r/>
    </w:p>
    <w:p>
      <w:pPr>
        <w:ind w:left="35" w:firstLine="628"/>
        <w:spacing w:before="100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年我委部门预算编制单位共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个，具体如下：行政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单位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个，即：全州县委员会直属机关工作委员会。</w:t>
      </w:r>
    </w:p>
    <w:p>
      <w:pPr>
        <w:ind w:left="645"/>
        <w:spacing w:before="24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8" w:lineRule="auto"/>
        <w:rPr/>
      </w:pPr>
      <w:r/>
    </w:p>
    <w:p>
      <w:pPr>
        <w:ind w:left="31" w:right="50" w:firstLine="639"/>
        <w:spacing w:before="100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本部门行政编制人数6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人，在职行政编制人数6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人。无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其他性质编制</w:t>
      </w:r>
    </w:p>
    <w:p>
      <w:pPr>
        <w:ind w:left="658"/>
        <w:spacing w:before="24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9" w:lineRule="auto"/>
        <w:rPr/>
      </w:pPr>
      <w:r/>
    </w:p>
    <w:p>
      <w:pPr>
        <w:ind w:left="30" w:right="50" w:firstLine="653"/>
        <w:spacing w:before="10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1、开展2025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年县直机关入党积极分子和发展对象理论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培训。</w:t>
      </w:r>
    </w:p>
    <w:p>
      <w:pPr>
        <w:ind w:left="27" w:firstLine="635"/>
        <w:spacing w:before="238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2、指导机关党支部换届选举和标准化规范</w:t>
      </w:r>
      <w:r>
        <w:rPr>
          <w:rFonts w:ascii="FangSong" w:hAnsi="FangSong" w:eastAsia="FangSong" w:cs="FangSong"/>
          <w:sz w:val="31"/>
          <w:szCs w:val="31"/>
          <w:spacing w:val="4"/>
        </w:rPr>
        <w:t>化建设，创建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模范机关、清廉机关建设。</w:t>
      </w:r>
    </w:p>
    <w:p>
      <w:pPr>
        <w:ind w:left="32" w:firstLine="633"/>
        <w:spacing w:before="24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3、完成民兵整组工作，应急分队训练工作和平时应急行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动，完成征兵各项任务。</w:t>
      </w:r>
    </w:p>
    <w:p>
      <w:pPr>
        <w:spacing w:line="299" w:lineRule="auto"/>
        <w:sectPr>
          <w:footerReference w:type="default" r:id="rId5"/>
          <w:pgSz w:w="11900" w:h="16840"/>
          <w:pgMar w:top="1287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95" w:right="421" w:hanging="2205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第二部分：中国共产党全州县委员会直属机关工作委员会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年部门预算情况说明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61" w:lineRule="auto"/>
        <w:rPr/>
      </w:pPr>
      <w:r/>
    </w:p>
    <w:p>
      <w:pPr>
        <w:ind w:left="30" w:right="299" w:firstLine="651"/>
        <w:spacing w:before="10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万元（不含财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政拨款上年未列支结转收支数）。总收入较上年度预算数</w:t>
      </w:r>
    </w:p>
    <w:p>
      <w:pPr>
        <w:ind w:left="31" w:right="248" w:firstLine="11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101.16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7.1</w:t>
      </w:r>
      <w:r>
        <w:rPr>
          <w:rFonts w:ascii="FangSong" w:hAnsi="FangSong" w:eastAsia="FangSong" w:cs="FangSong"/>
          <w:sz w:val="31"/>
          <w:szCs w:val="31"/>
        </w:rPr>
        <w:t>4%，主要原因是有退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休人员。总支出较上年度预算数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101.16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7.14%，主要原因是有退休人员。</w:t>
      </w:r>
    </w:p>
    <w:p>
      <w:pPr>
        <w:ind w:left="603"/>
        <w:spacing w:before="24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8" w:lineRule="auto"/>
        <w:rPr/>
      </w:pPr>
      <w:r/>
    </w:p>
    <w:p>
      <w:pPr>
        <w:ind w:left="25" w:firstLine="638"/>
        <w:spacing w:before="10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7.</w:t>
      </w:r>
      <w:r>
        <w:rPr>
          <w:rFonts w:ascii="FangSong" w:hAnsi="FangSong" w:eastAsia="FangSong" w:cs="FangSong"/>
          <w:sz w:val="31"/>
          <w:szCs w:val="31"/>
          <w:spacing w:val="3"/>
        </w:rPr>
        <w:t>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7.14%。其中：一般公共预算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占收入</w:t>
      </w:r>
      <w:r>
        <w:rPr>
          <w:rFonts w:ascii="FangSong" w:hAnsi="FangSong" w:eastAsia="FangSong" w:cs="FangSong"/>
          <w:sz w:val="31"/>
          <w:szCs w:val="31"/>
          <w:spacing w:val="2"/>
        </w:rPr>
        <w:t>总预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100.00%，同比减少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7.14%，主要原因是：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有退休人员；政府性基金预算0.00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万元，占收入总预算0.00%，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0%，主要原因是无。</w:t>
      </w:r>
    </w:p>
    <w:p>
      <w:pPr>
        <w:ind w:left="605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7" w:lineRule="auto"/>
        <w:rPr/>
      </w:pPr>
      <w:r/>
    </w:p>
    <w:p>
      <w:pPr>
        <w:ind w:left="32" w:right="158" w:firstLine="630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7.14%。其中：基本支出预算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93.9</w:t>
      </w:r>
      <w:r>
        <w:rPr>
          <w:rFonts w:ascii="FangSong" w:hAnsi="FangSong" w:eastAsia="FangSong" w:cs="FangSong"/>
          <w:sz w:val="31"/>
          <w:szCs w:val="31"/>
          <w:spacing w:val="2"/>
        </w:rPr>
        <w:t>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占支出预算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100.00%,同比增加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6.28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7.16%。主要原因是：2025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年无项目预算。项目支出预算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万元，占支</w:t>
      </w:r>
      <w:r>
        <w:rPr>
          <w:rFonts w:ascii="FangSong" w:hAnsi="FangSong" w:eastAsia="FangSong" w:cs="FangSong"/>
          <w:sz w:val="31"/>
          <w:szCs w:val="31"/>
          <w:spacing w:val="-1"/>
        </w:rPr>
        <w:t>出预算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0.00%,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13.50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100.00%。主要原因是：2025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无项目预算。</w:t>
      </w:r>
    </w:p>
    <w:p>
      <w:pPr>
        <w:spacing w:line="371" w:lineRule="auto"/>
        <w:sectPr>
          <w:footerReference w:type="default" r:id="rId6"/>
          <w:pgSz w:w="11900" w:h="16840"/>
          <w:pgMar w:top="1287" w:right="1487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17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4" w:lineRule="auto"/>
        <w:rPr/>
      </w:pPr>
      <w:r/>
    </w:p>
    <w:p>
      <w:pPr>
        <w:ind w:left="28" w:right="90" w:firstLine="634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7.22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7.14%。其中：一般公共预算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7.1</w:t>
      </w:r>
      <w:r>
        <w:rPr>
          <w:rFonts w:ascii="FangSong" w:hAnsi="FangSong" w:eastAsia="FangSong" w:cs="FangSong"/>
          <w:sz w:val="31"/>
          <w:szCs w:val="31"/>
          <w:spacing w:val="1"/>
        </w:rPr>
        <w:t>4%，主要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原因是：有退休人员；政府性基金预算0.00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万元，占收入总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1"/>
        </w:rPr>
        <w:t>%，主要原因是：本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部门无政府性基金。</w:t>
      </w:r>
    </w:p>
    <w:p>
      <w:pPr>
        <w:ind w:left="31" w:right="302" w:firstLine="632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93.94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7.22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7.14%，主要原因是：有退休人员。</w:t>
      </w:r>
    </w:p>
    <w:p>
      <w:pPr>
        <w:ind w:left="607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57" w:lineRule="auto"/>
        <w:rPr/>
      </w:pPr>
      <w:r/>
    </w:p>
    <w:p>
      <w:pPr>
        <w:ind w:left="31" w:firstLine="632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</w:t>
      </w:r>
      <w:r>
        <w:rPr>
          <w:rFonts w:ascii="FangSong" w:hAnsi="FangSong" w:eastAsia="FangSong" w:cs="FangSong"/>
          <w:sz w:val="31"/>
          <w:szCs w:val="31"/>
        </w:rPr>
        <w:t>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7.22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7.14%，按支出功能分类科目划分，共分</w:t>
      </w:r>
      <w:r>
        <w:rPr>
          <w:rFonts w:ascii="FangSong" w:hAnsi="FangSong" w:eastAsia="FangSong" w:cs="FangSong"/>
          <w:sz w:val="31"/>
          <w:szCs w:val="31"/>
          <w:spacing w:val="5"/>
        </w:rPr>
        <w:t>为4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类，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其中：</w:t>
      </w:r>
    </w:p>
    <w:p>
      <w:pPr>
        <w:ind w:left="28" w:right="90" w:firstLine="687"/>
        <w:spacing w:before="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65.36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>一般公共预算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支出预的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69.58%，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9.20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12.34%，具体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26" w:right="140" w:firstLine="645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65.36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7.04%,按要求开展相关工作。主要用于根据国家规定的基本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工资和津补贴标准等安排的人员经费支出,按县级公用经费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定额标准安排的办公费、印刷费、邮电费、水电费、差旅费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等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日常公用经费支出。</w:t>
      </w:r>
    </w:p>
    <w:p>
      <w:pPr>
        <w:ind w:left="715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18.07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</w:t>
      </w:r>
    </w:p>
    <w:p>
      <w:pPr>
        <w:spacing w:line="226" w:lineRule="auto"/>
        <w:sectPr>
          <w:footerReference w:type="default" r:id="rId7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113" w:hanging="2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19.24%，同比增加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1.48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8.92%，具体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如下：</w:t>
      </w:r>
    </w:p>
    <w:p>
      <w:pPr>
        <w:ind w:left="28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行政单位离退休科目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20.00%,新增了退休人员。主要用于退休人员生活补助。</w:t>
      </w:r>
    </w:p>
    <w:p>
      <w:pPr>
        <w:ind w:left="27" w:right="113" w:firstLine="641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机关事业单位基本养老保险缴费支出科目8.05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0.32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4.14%,新调入了人员。主</w:t>
      </w:r>
      <w:r>
        <w:rPr>
          <w:rFonts w:ascii="FangSong" w:hAnsi="FangSong" w:eastAsia="FangSong" w:cs="FangSong"/>
          <w:sz w:val="31"/>
          <w:szCs w:val="31"/>
          <w:spacing w:val="5"/>
        </w:rPr>
        <w:t>要用于按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标准缴纳养老保险。</w:t>
      </w:r>
    </w:p>
    <w:p>
      <w:pPr>
        <w:ind w:left="27" w:right="113" w:firstLine="641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机关事业单位职业年金缴费支出科目4.02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万元，同比增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0.16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4.15%,新调入了人员。主要用</w:t>
      </w:r>
      <w:r>
        <w:rPr>
          <w:rFonts w:ascii="FangSong" w:hAnsi="FangSong" w:eastAsia="FangSong" w:cs="FangSong"/>
          <w:sz w:val="31"/>
          <w:szCs w:val="31"/>
          <w:spacing w:val="5"/>
        </w:rPr>
        <w:t>于按标准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缴纳职业年金。</w:t>
      </w:r>
    </w:p>
    <w:p>
      <w:pPr>
        <w:ind w:left="31" w:right="166" w:firstLine="68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3.82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预的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4.07%，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2"/>
        </w:rPr>
        <w:t>增长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4.09%，具体如下：</w:t>
      </w:r>
    </w:p>
    <w:p>
      <w:pPr>
        <w:ind w:left="28" w:right="166" w:firstLine="643"/>
        <w:spacing w:before="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3.72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4.20%,新调入了人员。主要用于按标准缴纳医疗保险。</w:t>
      </w:r>
    </w:p>
    <w:p>
      <w:pPr>
        <w:ind w:left="21" w:right="114" w:firstLine="650"/>
        <w:spacing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0.00%,按要求开展其他行政事业单位医疗工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作。主要用于其他行政事业单位医疗支出。</w:t>
      </w:r>
    </w:p>
    <w:p>
      <w:pPr>
        <w:ind w:left="31" w:right="166" w:firstLine="68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6.68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7.11%，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0.34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5.36%，具体如下：</w:t>
      </w:r>
    </w:p>
    <w:p>
      <w:pPr>
        <w:ind w:left="25" w:right="166" w:firstLine="644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6.68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0.34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5.36%,新调入了人员。主要用于按要求缴纳住房公</w:t>
      </w:r>
      <w:r>
        <w:rPr>
          <w:rFonts w:ascii="FangSong" w:hAnsi="FangSong" w:eastAsia="FangSong" w:cs="FangSong"/>
          <w:sz w:val="31"/>
          <w:szCs w:val="31"/>
          <w:spacing w:val="7"/>
        </w:rPr>
        <w:t>积金。</w:t>
      </w:r>
    </w:p>
    <w:p>
      <w:pPr>
        <w:ind w:left="608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spacing w:line="226" w:lineRule="auto"/>
        <w:sectPr>
          <w:footerReference w:type="default" r:id="rId8"/>
          <w:pgSz w:w="11900" w:h="16840"/>
          <w:pgMar w:top="1286" w:right="1622" w:bottom="1062" w:left="1785" w:header="0" w:footer="911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31" w:right="88" w:firstLine="632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93.94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6.28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7.16%，主要原因是新调入了人员</w:t>
      </w:r>
      <w:r>
        <w:rPr>
          <w:rFonts w:ascii="FangSong" w:hAnsi="FangSong" w:eastAsia="FangSong" w:cs="FangSong"/>
          <w:sz w:val="31"/>
          <w:szCs w:val="31"/>
          <w:spacing w:val="6"/>
        </w:rPr>
        <w:t>。其中：</w:t>
      </w:r>
    </w:p>
    <w:p>
      <w:pPr>
        <w:ind w:left="37" w:firstLine="63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工资福利支出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78.28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3.87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5.20%，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主要原因是：新调入了人员。</w:t>
      </w:r>
    </w:p>
    <w:p>
      <w:pPr>
        <w:ind w:left="37" w:firstLine="643"/>
        <w:spacing w:before="2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商品和服务支出9.66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1.41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万元，增长17.09%，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主要原因是：按要求开展相关工作。</w:t>
      </w:r>
    </w:p>
    <w:p>
      <w:pPr>
        <w:ind w:left="22" w:right="143" w:firstLine="64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  <w:spacing w:val="3"/>
        </w:rPr>
        <w:t>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20.00%，主要原因是：按要求开展相关工作。</w:t>
      </w:r>
    </w:p>
    <w:p>
      <w:pPr>
        <w:ind w:left="677"/>
        <w:spacing w:before="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工资福利支出包括以下内容：</w:t>
      </w:r>
    </w:p>
    <w:p>
      <w:pPr>
        <w:ind w:left="30" w:right="143" w:firstLine="639"/>
        <w:spacing w:before="23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基本工资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23.31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万元,津贴补贴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13.81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万元,奖金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18.58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万元,机关事业单位基本养老保险缴费8.05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万元,职业年金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缴费4.02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万元,职工基本医疗保险缴费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3.72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万元,其</w:t>
      </w:r>
      <w:r>
        <w:rPr>
          <w:rFonts w:ascii="FangSong" w:hAnsi="FangSong" w:eastAsia="FangSong" w:cs="FangSong"/>
          <w:sz w:val="31"/>
          <w:szCs w:val="31"/>
          <w:spacing w:val="7"/>
        </w:rPr>
        <w:t>他社会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保障缴费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万元,住房公积金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6.68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</w:t>
      </w:r>
    </w:p>
    <w:p>
      <w:pPr>
        <w:ind w:left="681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商品和服务支出包括以下内容：</w:t>
      </w:r>
    </w:p>
    <w:p>
      <w:pPr>
        <w:ind w:left="30" w:right="88" w:firstLine="649"/>
        <w:spacing w:before="238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办公费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0.80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万元,印刷费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0.65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万元,邮电费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差旅费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1.50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万元,维修（护）费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万元,会议费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0.1</w:t>
      </w:r>
      <w:r>
        <w:rPr>
          <w:rFonts w:ascii="FangSong" w:hAnsi="FangSong" w:eastAsia="FangSong" w:cs="FangSong"/>
          <w:sz w:val="31"/>
          <w:szCs w:val="31"/>
          <w:spacing w:val="-6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培训费0.10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万元,公务接待费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0.10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万元,其他交通费</w:t>
      </w:r>
      <w:r>
        <w:rPr>
          <w:rFonts w:ascii="FangSong" w:hAnsi="FangSong" w:eastAsia="FangSong" w:cs="FangSong"/>
          <w:sz w:val="31"/>
          <w:szCs w:val="31"/>
          <w:spacing w:val="6"/>
        </w:rPr>
        <w:t>用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5.16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万元,其他商品和服务支出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0.80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万元。</w:t>
      </w:r>
    </w:p>
    <w:p>
      <w:pPr>
        <w:ind w:left="672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对个人和家庭的补助包括以下内容：</w:t>
      </w:r>
    </w:p>
    <w:p>
      <w:pPr>
        <w:ind w:left="676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退休费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万元。</w:t>
      </w:r>
    </w:p>
    <w:p>
      <w:pPr>
        <w:pStyle w:val="BodyText"/>
        <w:spacing w:line="380" w:lineRule="auto"/>
        <w:rPr/>
      </w:pPr>
      <w:r/>
    </w:p>
    <w:p>
      <w:pPr>
        <w:ind w:left="59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</w:p>
    <w:p>
      <w:pPr>
        <w:spacing w:line="227" w:lineRule="auto"/>
        <w:sectPr>
          <w:footerReference w:type="default" r:id="rId9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0.00%。具体如下：</w:t>
      </w:r>
    </w:p>
    <w:p>
      <w:pPr>
        <w:ind w:left="683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87" w:firstLine="642"/>
        <w:spacing w:before="24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</w:t>
      </w:r>
      <w:r>
        <w:rPr>
          <w:rFonts w:ascii="FangSong" w:hAnsi="FangSong" w:eastAsia="FangSong" w:cs="FangSong"/>
          <w:sz w:val="31"/>
          <w:szCs w:val="31"/>
          <w:spacing w:val="4"/>
        </w:rPr>
        <w:t>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0.00%。主要原因：根据工作需要开展接待；主要用</w:t>
      </w:r>
      <w:r>
        <w:rPr>
          <w:rFonts w:ascii="FangSong" w:hAnsi="FangSong" w:eastAsia="FangSong" w:cs="FangSong"/>
          <w:sz w:val="31"/>
          <w:szCs w:val="31"/>
          <w:spacing w:val="4"/>
        </w:rPr>
        <w:t>于单位按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规定开支的各类公务接待费用。</w:t>
      </w:r>
    </w:p>
    <w:p>
      <w:pPr>
        <w:ind w:left="26" w:right="86" w:firstLine="639"/>
        <w:spacing w:before="240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</w:t>
      </w:r>
      <w:r>
        <w:rPr>
          <w:rFonts w:ascii="FangSong" w:hAnsi="FangSong" w:eastAsia="FangSong" w:cs="FangSong"/>
          <w:sz w:val="31"/>
          <w:szCs w:val="31"/>
          <w:spacing w:val="-4"/>
        </w:rPr>
        <w:t>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万元，增长0%，主要原因：本部门无公务用车</w:t>
      </w:r>
      <w:r>
        <w:rPr>
          <w:rFonts w:ascii="FangSong" w:hAnsi="FangSong" w:eastAsia="FangSong" w:cs="FangSong"/>
          <w:sz w:val="31"/>
          <w:szCs w:val="31"/>
          <w:spacing w:val="10"/>
        </w:rPr>
        <w:t>；主要用于单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位执行公务活动所发生的公务用车燃料费、维修费、过桥过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路费、保险费等支出。</w:t>
      </w:r>
    </w:p>
    <w:p>
      <w:pPr>
        <w:ind w:left="37" w:firstLine="620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</w:t>
      </w:r>
      <w:r>
        <w:rPr>
          <w:rFonts w:ascii="FangSong" w:hAnsi="FangSong" w:eastAsia="FangSong" w:cs="FangSong"/>
          <w:sz w:val="31"/>
          <w:szCs w:val="31"/>
          <w:spacing w:val="-5"/>
        </w:rPr>
        <w:t>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主要原因是按要求开展相关会议；</w:t>
      </w:r>
    </w:p>
    <w:p>
      <w:pPr>
        <w:ind w:left="37" w:firstLine="628"/>
        <w:spacing w:before="239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</w:t>
      </w:r>
      <w:r>
        <w:rPr>
          <w:rFonts w:ascii="FangSong" w:hAnsi="FangSong" w:eastAsia="FangSong" w:cs="FangSong"/>
          <w:sz w:val="31"/>
          <w:szCs w:val="31"/>
          <w:spacing w:val="-5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主要原因是按要求开展相关培训。</w:t>
      </w:r>
    </w:p>
    <w:p>
      <w:pPr>
        <w:pStyle w:val="BodyText"/>
        <w:spacing w:line="380" w:lineRule="auto"/>
        <w:rPr/>
      </w:pPr>
      <w:r/>
    </w:p>
    <w:p>
      <w:pPr>
        <w:ind w:left="598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6" w:firstLine="632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80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681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</w:t>
      </w:r>
    </w:p>
    <w:p>
      <w:pPr>
        <w:spacing w:line="227" w:lineRule="auto"/>
        <w:sectPr>
          <w:footerReference w:type="default" r:id="rId10"/>
          <w:pgSz w:w="11900" w:h="16840"/>
          <w:pgMar w:top="1286" w:right="164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5" w:line="22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比增加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0%，主要原因是本部门无国有资产。</w:t>
      </w:r>
    </w:p>
    <w:p>
      <w:pPr>
        <w:pStyle w:val="BodyText"/>
        <w:spacing w:line="377" w:lineRule="auto"/>
        <w:rPr/>
      </w:pPr>
      <w:r/>
    </w:p>
    <w:p>
      <w:pPr>
        <w:ind w:left="60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28" w:right="113" w:firstLine="634"/>
        <w:spacing w:before="24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9.66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度预算数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8.25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1.41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17.09%，主要原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因是：按要求开展相关工作。</w:t>
      </w:r>
    </w:p>
    <w:p>
      <w:pPr>
        <w:ind w:left="674"/>
        <w:spacing w:before="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113" w:firstLine="648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28" w:right="28" w:firstLine="640"/>
        <w:spacing w:before="23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截至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31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</w:t>
      </w:r>
      <w:r>
        <w:rPr>
          <w:rFonts w:ascii="FangSong" w:hAnsi="FangSong" w:eastAsia="FangSong" w:cs="FangSong"/>
          <w:sz w:val="31"/>
          <w:szCs w:val="31"/>
          <w:spacing w:val="-14"/>
        </w:rPr>
        <w:t>元，其中：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流动资产0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万元，固定资产0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万元，在建工程0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万元，</w:t>
      </w:r>
      <w:r>
        <w:rPr>
          <w:rFonts w:ascii="FangSong" w:hAnsi="FangSong" w:eastAsia="FangSong" w:cs="FangSong"/>
          <w:sz w:val="31"/>
          <w:szCs w:val="31"/>
          <w:spacing w:val="14"/>
        </w:rPr>
        <w:t>无形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资产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万元。</w:t>
      </w:r>
    </w:p>
    <w:p>
      <w:pPr>
        <w:ind w:left="27" w:right="164" w:firstLine="643"/>
        <w:spacing w:before="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right="76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ind w:left="663"/>
        <w:spacing w:before="24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spacing w:line="227" w:lineRule="auto"/>
        <w:sectPr>
          <w:footerReference w:type="default" r:id="rId11"/>
          <w:pgSz w:w="11900" w:h="16840"/>
          <w:pgMar w:top="1286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0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本部门2025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年无项目预算</w:t>
      </w:r>
    </w:p>
    <w:p>
      <w:pPr>
        <w:spacing w:line="227" w:lineRule="auto"/>
        <w:sectPr>
          <w:footerReference w:type="default" r:id="rId12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3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4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3"/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第四部分：中国共产党全州县委员会直属机关工作委员会</w:t>
      </w:r>
    </w:p>
    <w:p>
      <w:pPr>
        <w:ind w:left="2724"/>
        <w:spacing w:before="24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2025</w:t>
      </w:r>
      <w:r>
        <w:rPr>
          <w:rFonts w:ascii="SimHei" w:hAnsi="SimHei" w:eastAsia="SimHei" w:cs="SimHei"/>
          <w:sz w:val="31"/>
          <w:szCs w:val="31"/>
          <w:spacing w:val="-5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年部门预算报表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5"/>
      <w:pgSz w:w="11900" w:h="16840"/>
      <w:pgMar w:top="1287" w:right="1785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2025-03-14T11:14:25</vt:filetime>
  </property>
</Properties>
</file>