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956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中国共产党全州委员会政法委员会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240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80" w:lineRule="auto"/>
        <w:rPr/>
      </w:pPr>
      <w:r/>
    </w:p>
    <w:p>
      <w:pPr>
        <w:ind w:left="39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第一部分：中国共产党全州委员会政法委员会概况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0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</w:sdtContent>
    </w:sdt>
    <w:p>
      <w:pPr>
        <w:ind w:left="82" w:firstLine="316"/>
        <w:spacing w:before="62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第二部分：中国共产党全州委员会政法委员会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2</w:t>
      </w:r>
      <w:r>
        <w:rPr>
          <w:rFonts w:ascii="SimHei" w:hAnsi="SimHei" w:eastAsia="SimHei" w:cs="SimHei"/>
          <w:sz w:val="31"/>
          <w:szCs w:val="31"/>
          <w:spacing w:val="3"/>
        </w:rPr>
        <w:t>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年部门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预算情况说明</w:t>
      </w:r>
    </w:p>
    <w:p>
      <w:pPr>
        <w:pStyle w:val="BodyText"/>
        <w:spacing w:line="296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9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59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1" w:lineRule="auto"/>
        <w:rPr/>
      </w:pPr>
      <w:r/>
    </w:p>
    <w:p>
      <w:pPr>
        <w:ind w:left="80" w:firstLine="319"/>
        <w:spacing w:before="102" w:line="29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</w:rPr>
        <w:t>第四部分：中国共产党全州委员会政法委员会</w:t>
      </w:r>
      <w:r>
        <w:rPr>
          <w:rFonts w:ascii="SimSun" w:hAnsi="SimSun" w:eastAsia="SimSun" w:cs="SimSun"/>
          <w:sz w:val="31"/>
          <w:szCs w:val="31"/>
          <w:spacing w:val="-4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2025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年部门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预算报表</w:t>
      </w:r>
    </w:p>
    <w:p>
      <w:pPr>
        <w:spacing w:line="298" w:lineRule="auto"/>
        <w:sectPr>
          <w:footerReference w:type="default" r:id="rId1"/>
          <w:pgSz w:w="11900" w:h="16840"/>
          <w:pgMar w:top="1431" w:right="1676" w:bottom="1062" w:left="1785" w:header="0" w:footer="91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732"/>
        <w:spacing w:before="28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737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687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第一部分：中国共产党全州委员会政法委员会概况</w:t>
      </w:r>
    </w:p>
    <w:p>
      <w:pPr>
        <w:pStyle w:val="BodyText"/>
        <w:spacing w:line="349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57" w:lineRule="auto"/>
        <w:rPr/>
      </w:pPr>
      <w:r/>
    </w:p>
    <w:p>
      <w:pPr>
        <w:ind w:left="30" w:firstLine="685"/>
        <w:spacing w:before="101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(一)指导督促政法各部门贯彻执行中共的路线、方针、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政策和上级的指示及同级党委、政府的工作部署,统一</w:t>
      </w:r>
      <w:r>
        <w:rPr>
          <w:rFonts w:ascii="FangSong" w:hAnsi="FangSong" w:eastAsia="FangSong" w:cs="FangSong"/>
          <w:sz w:val="31"/>
          <w:szCs w:val="31"/>
          <w:spacing w:val="4"/>
        </w:rPr>
        <w:t>政法各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部门的思想和行动。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33" w:right="213" w:firstLine="681"/>
        <w:spacing w:before="101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(二)定期分析社会治安形势,对一定时期本地的政法工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作作出全面部署。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3" w:right="52" w:firstLine="681"/>
        <w:spacing w:before="101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(三)组织推动政法部门开展新形势下加强和改革政法工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作的调查研究,及时向同级党委提出建议和意见。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2" w:right="213" w:firstLine="683"/>
        <w:spacing w:before="10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(四)指导社会治安综合治理,协调各部门落实社会治安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综合治理各项措施。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30" w:right="53" w:firstLine="685"/>
        <w:spacing w:before="101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(五)研究指导政法执委会的建设和队伍建设,协助组织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部门做好政法各部门领导班子建设和科、处、队、庭、室干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部的考察和管理。</w:t>
      </w:r>
    </w:p>
    <w:p>
      <w:pPr>
        <w:spacing w:line="323" w:lineRule="auto"/>
        <w:sectPr>
          <w:footerReference w:type="default" r:id="rId3"/>
          <w:pgSz w:w="11900" w:h="16840"/>
          <w:pgMar w:top="1431" w:right="1736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7" w:right="50" w:firstLine="688"/>
        <w:spacing w:before="6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(六)切实履行政法委职能,抓好执法督促工作,支持和督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促政法各部门依法行使职权,协调政法各部门的关系</w:t>
      </w:r>
      <w:r>
        <w:rPr>
          <w:rFonts w:ascii="FangSong" w:hAnsi="FangSong" w:eastAsia="FangSong" w:cs="FangSong"/>
          <w:sz w:val="31"/>
          <w:szCs w:val="31"/>
          <w:spacing w:val="8"/>
        </w:rPr>
        <w:t>,重大业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务问题和有争议的重大疑难案件。</w:t>
      </w:r>
    </w:p>
    <w:p>
      <w:pPr>
        <w:ind w:left="644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pStyle w:val="BodyText"/>
        <w:spacing w:line="258" w:lineRule="auto"/>
        <w:rPr/>
      </w:pPr>
      <w:r/>
    </w:p>
    <w:p>
      <w:pPr>
        <w:ind w:left="70" w:right="211" w:firstLine="600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本部门为汇总预算部门,包括全州县社会治安综合事务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中心和全州县网格化服务管理中心。</w:t>
      </w:r>
    </w:p>
    <w:p>
      <w:pPr>
        <w:ind w:left="645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58" w:lineRule="auto"/>
        <w:rPr/>
      </w:pPr>
      <w:r/>
    </w:p>
    <w:p>
      <w:pPr>
        <w:ind w:left="22" w:firstLine="646"/>
        <w:spacing w:before="10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截止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12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日，全州县委政法委员会现有编制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21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人,其中公务员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人,事业编制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11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人(含机关工勤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人)。</w:t>
      </w:r>
    </w:p>
    <w:p>
      <w:pPr>
        <w:ind w:left="658"/>
        <w:spacing w:before="23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pStyle w:val="BodyText"/>
        <w:spacing w:line="259" w:lineRule="auto"/>
        <w:rPr/>
      </w:pPr>
      <w:r/>
    </w:p>
    <w:p>
      <w:pPr>
        <w:ind w:left="31" w:right="51" w:firstLine="642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传达上级政法工作会议精神,维护全州县辖区安全稳定,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推进网格化服务管理工作。</w:t>
      </w:r>
    </w:p>
    <w:p>
      <w:pPr>
        <w:spacing w:line="371" w:lineRule="auto"/>
        <w:sectPr>
          <w:footerReference w:type="default" r:id="rId4"/>
          <w:pgSz w:w="11900" w:h="16840"/>
          <w:pgMar w:top="1286" w:right="1736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03" w:hanging="3383"/>
        <w:spacing w:before="65" w:line="29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第二部分：中国共产党全州委员会政法委员会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</w:rPr>
        <w:t>年部门预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算情况说明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59" w:lineRule="auto"/>
        <w:rPr/>
      </w:pPr>
      <w:r/>
    </w:p>
    <w:p>
      <w:pPr>
        <w:ind w:left="17" w:firstLine="663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416.38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416.38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万元（不含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财政拨款上年未列支结转收支数）。总收入较上年度预算数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481.24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64.86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13.48%，主要原因是项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目减少。总支出较上年度预算数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481.24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64.</w:t>
      </w:r>
      <w:r>
        <w:rPr>
          <w:rFonts w:ascii="FangSong" w:hAnsi="FangSong" w:eastAsia="FangSong" w:cs="FangSong"/>
          <w:sz w:val="31"/>
          <w:szCs w:val="31"/>
          <w:spacing w:val="1"/>
        </w:rPr>
        <w:t>86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13.48%，主要原因是项目支出减少。</w:t>
      </w:r>
    </w:p>
    <w:p>
      <w:pPr>
        <w:ind w:left="603"/>
        <w:spacing w:before="24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54" w:lineRule="auto"/>
        <w:rPr/>
      </w:pPr>
      <w:r/>
    </w:p>
    <w:p>
      <w:pPr>
        <w:ind w:left="28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416.38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64.86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13.48%。其中：一般公共预算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416.38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64.86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13.48%，主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要原因是：项目减少；政府性基金预算0.00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万元，占收入总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0%，</w:t>
      </w:r>
      <w:r>
        <w:rPr>
          <w:rFonts w:ascii="FangSong" w:hAnsi="FangSong" w:eastAsia="FangSong" w:cs="FangSong"/>
          <w:sz w:val="31"/>
          <w:szCs w:val="31"/>
          <w:spacing w:val="1"/>
        </w:rPr>
        <w:t>主要原因是无政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府性基金预算。</w:t>
      </w:r>
    </w:p>
    <w:p>
      <w:pPr>
        <w:ind w:left="605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58" w:lineRule="auto"/>
        <w:rPr/>
      </w:pPr>
      <w:r/>
    </w:p>
    <w:p>
      <w:pPr>
        <w:ind w:left="33" w:right="52" w:firstLine="629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416.38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64.86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13.48%。其中：基本支出预算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368.38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出预算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88.47%,同比增加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59.34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19.20</w:t>
      </w:r>
      <w:r>
        <w:rPr>
          <w:rFonts w:ascii="FangSong" w:hAnsi="FangSong" w:eastAsia="FangSong" w:cs="FangSong"/>
          <w:sz w:val="31"/>
          <w:szCs w:val="31"/>
          <w:spacing w:val="3"/>
        </w:rPr>
        <w:t>%。主要原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因是：人员增加。项目支出预算48.00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占支出预算</w:t>
      </w:r>
    </w:p>
    <w:p>
      <w:pPr>
        <w:spacing w:before="2" w:line="22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11.53%,同比减少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124.20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72.13%。</w:t>
      </w:r>
      <w:r>
        <w:rPr>
          <w:rFonts w:ascii="FangSong" w:hAnsi="FangSong" w:eastAsia="FangSong" w:cs="FangSong"/>
          <w:sz w:val="31"/>
          <w:szCs w:val="31"/>
          <w:spacing w:val="1"/>
        </w:rPr>
        <w:t>主要原因是：</w:t>
      </w:r>
    </w:p>
    <w:p>
      <w:pPr>
        <w:spacing w:line="227" w:lineRule="auto"/>
        <w:sectPr>
          <w:footerReference w:type="default" r:id="rId5"/>
          <w:pgSz w:w="11900" w:h="16840"/>
          <w:pgMar w:top="1287" w:right="1736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/>
        <w:spacing w:before="6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项目减少。</w:t>
      </w:r>
    </w:p>
    <w:p>
      <w:pPr>
        <w:pStyle w:val="BodyText"/>
        <w:spacing w:line="375" w:lineRule="auto"/>
        <w:rPr/>
      </w:pPr>
      <w:r/>
    </w:p>
    <w:p>
      <w:pPr>
        <w:ind w:left="617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55" w:lineRule="auto"/>
        <w:rPr/>
      </w:pPr>
      <w:r/>
    </w:p>
    <w:p>
      <w:pPr>
        <w:ind w:left="31" w:firstLine="632"/>
        <w:spacing w:before="10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416.38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64.86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13.48%。其中：一般公共预算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416.38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收入总预算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64.86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13.48%，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主要原因是：项目减少；政府性基金预算0.00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万元，占收入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总预算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0%，主要原因是：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无政府性基金预算。</w:t>
      </w:r>
    </w:p>
    <w:p>
      <w:pPr>
        <w:ind w:left="31" w:right="31" w:firstLine="632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416.38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64.86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13.48%，主要原因是：项目减少。</w:t>
      </w:r>
    </w:p>
    <w:p>
      <w:pPr>
        <w:ind w:left="607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61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2025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年一般公共预算支出共416.38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同比减少</w:t>
      </w:r>
    </w:p>
    <w:p>
      <w:pPr>
        <w:ind w:left="39" w:right="82" w:hanging="18"/>
        <w:spacing w:before="240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64.86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13.48%，按支出功能分类科</w:t>
      </w:r>
      <w:r>
        <w:rPr>
          <w:rFonts w:ascii="FangSong" w:hAnsi="FangSong" w:eastAsia="FangSong" w:cs="FangSong"/>
          <w:sz w:val="31"/>
          <w:szCs w:val="31"/>
          <w:spacing w:val="5"/>
        </w:rPr>
        <w:t>目划分，共分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4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类，其中：</w:t>
      </w:r>
    </w:p>
    <w:p>
      <w:pPr>
        <w:ind w:left="28" w:right="32" w:firstLine="687"/>
        <w:spacing w:before="4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(1)一般公共服务支出科目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330.09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79.28%，同比减少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78.71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19.25%，具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体如下：</w:t>
      </w:r>
    </w:p>
    <w:p>
      <w:pPr>
        <w:ind w:left="42" w:right="32" w:firstLine="627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事业运行科目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21.00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21.00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100%,全都是基本支出预算。主要用于办公、印刷、差旅等支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出。</w:t>
      </w:r>
    </w:p>
    <w:p>
      <w:pPr>
        <w:ind w:right="32"/>
        <w:spacing w:before="1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行政运行科目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216.49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42.60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</w:p>
    <w:p>
      <w:pPr>
        <w:spacing w:line="226" w:lineRule="auto"/>
        <w:sectPr>
          <w:footerReference w:type="default" r:id="rId6"/>
          <w:pgSz w:w="11900" w:h="16840"/>
          <w:pgMar w:top="1286" w:right="1703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8" w:right="113" w:hanging="6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24.50%,全都是基本支出预算。主要</w:t>
      </w:r>
      <w:r>
        <w:rPr>
          <w:rFonts w:ascii="FangSong" w:hAnsi="FangSong" w:eastAsia="FangSong" w:cs="FangSong"/>
          <w:sz w:val="31"/>
          <w:szCs w:val="31"/>
          <w:spacing w:val="4"/>
        </w:rPr>
        <w:t>用于办公、印刷、差旅等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1" w:right="112" w:firstLine="640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其他共产党事务支出科目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92.60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万元，同比减</w:t>
      </w:r>
      <w:r>
        <w:rPr>
          <w:rFonts w:ascii="FangSong" w:hAnsi="FangSong" w:eastAsia="FangSong" w:cs="FangSong"/>
          <w:sz w:val="31"/>
          <w:szCs w:val="31"/>
          <w:spacing w:val="3"/>
        </w:rPr>
        <w:t>少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113.80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55.14%,全都是基本支出预算。主要</w:t>
      </w:r>
      <w:r>
        <w:rPr>
          <w:rFonts w:ascii="FangSong" w:hAnsi="FangSong" w:eastAsia="FangSong" w:cs="FangSong"/>
          <w:sz w:val="31"/>
          <w:szCs w:val="31"/>
          <w:spacing w:val="6"/>
        </w:rPr>
        <w:t>用于办公、</w:t>
      </w:r>
    </w:p>
    <w:p>
      <w:pPr>
        <w:ind w:left="5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印刷、差旅等支出。</w:t>
      </w:r>
    </w:p>
    <w:p>
      <w:pPr>
        <w:ind w:left="28" w:right="113" w:firstLine="687"/>
        <w:spacing w:before="24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(2)社会保障和就业支出科目46.42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万元，占一般公共预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11.15%，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7.43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19.06%，具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体如下：</w:t>
      </w:r>
    </w:p>
    <w:p>
      <w:pPr>
        <w:ind w:left="30" w:right="113" w:firstLine="639"/>
        <w:spacing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机关事业单位基本养老保险缴费支出科目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30.</w:t>
      </w:r>
      <w:r>
        <w:rPr>
          <w:rFonts w:ascii="FangSong" w:hAnsi="FangSong" w:eastAsia="FangSong" w:cs="FangSong"/>
          <w:sz w:val="31"/>
          <w:szCs w:val="31"/>
          <w:spacing w:val="7"/>
        </w:rPr>
        <w:t>70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4.89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18.95%,人员增加。主要用于社会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保险支出。</w:t>
      </w:r>
    </w:p>
    <w:p>
      <w:pPr>
        <w:ind w:left="28" w:right="113" w:firstLine="640"/>
        <w:spacing w:before="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机关事业单位职业年金缴费支出科目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15.35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增加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2.44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18.90%,人员增加。主要用于职业年金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1" w:right="112" w:firstLine="640"/>
        <w:spacing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其他社会保障和就业支出科目0.37万元，同比增加0.10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37.04%,人员增加。主要用于社会</w:t>
      </w:r>
      <w:r>
        <w:rPr>
          <w:rFonts w:ascii="FangSong" w:hAnsi="FangSong" w:eastAsia="FangSong" w:cs="FangSong"/>
          <w:sz w:val="31"/>
          <w:szCs w:val="31"/>
          <w:spacing w:val="6"/>
        </w:rPr>
        <w:t>保险支出。</w:t>
      </w:r>
    </w:p>
    <w:p>
      <w:pPr>
        <w:ind w:left="31" w:right="81" w:firstLine="684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(3)卫生健康支出科目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14.58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预的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3.50%，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2.32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</w:t>
      </w:r>
      <w:r>
        <w:rPr>
          <w:rFonts w:ascii="FangSong" w:hAnsi="FangSong" w:eastAsia="FangSong" w:cs="FangSong"/>
          <w:sz w:val="31"/>
          <w:szCs w:val="31"/>
          <w:spacing w:val="-1"/>
        </w:rPr>
        <w:t>8.92%，具体如下：</w:t>
      </w:r>
    </w:p>
    <w:p>
      <w:pPr>
        <w:ind w:left="28" w:right="113" w:firstLine="643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行政单位医疗科目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14.20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2.26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长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18.93%,人员增加。主要用于医疗保险支出。</w:t>
      </w:r>
    </w:p>
    <w:p>
      <w:pPr>
        <w:ind w:left="21" w:firstLine="650"/>
        <w:spacing w:before="3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其他行政事业单位医疗支出科目0.38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同比增加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"/>
        </w:rPr>
        <w:t>0.06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18.75%,人员增加。主要用于医疗保险支出。</w:t>
      </w:r>
    </w:p>
    <w:p>
      <w:pPr>
        <w:spacing w:line="369" w:lineRule="auto"/>
        <w:sectPr>
          <w:footerReference w:type="default" r:id="rId7"/>
          <w:pgSz w:w="11900" w:h="16840"/>
          <w:pgMar w:top="1286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right="216" w:firstLine="684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(4)住房保障支出科目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25.29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万元，占一般公</w:t>
      </w:r>
      <w:r>
        <w:rPr>
          <w:rFonts w:ascii="FangSong" w:hAnsi="FangSong" w:eastAsia="FangSong" w:cs="FangSong"/>
          <w:sz w:val="31"/>
          <w:szCs w:val="31"/>
        </w:rPr>
        <w:t>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预的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6.07%，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4.09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19.29%，具体如</w:t>
      </w:r>
      <w:r>
        <w:rPr>
          <w:rFonts w:ascii="FangSong" w:hAnsi="FangSong" w:eastAsia="FangSong" w:cs="FangSong"/>
          <w:sz w:val="31"/>
          <w:szCs w:val="31"/>
          <w:spacing w:val="-1"/>
        </w:rPr>
        <w:t>下：</w:t>
      </w:r>
    </w:p>
    <w:p>
      <w:pPr>
        <w:ind w:left="42" w:right="248" w:firstLine="627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25.29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4.09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19.29%,人员增加。主要用于住房公积金支出。</w:t>
      </w:r>
    </w:p>
    <w:p>
      <w:pPr>
        <w:ind w:left="608"/>
        <w:spacing w:before="23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pStyle w:val="BodyText"/>
        <w:spacing w:line="258" w:lineRule="auto"/>
        <w:rPr/>
      </w:pPr>
      <w:r/>
    </w:p>
    <w:p>
      <w:pPr>
        <w:ind w:left="25" w:right="696" w:firstLine="638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年一般公共预算基本支出共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368.38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59.34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19.20%，主要原因是人员增加。其中：</w:t>
      </w:r>
    </w:p>
    <w:p>
      <w:pPr>
        <w:ind w:left="37" w:firstLine="639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工资福利支出297.07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万元，增长47.99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万元，增长19.27%，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主要原因是：人员增加。</w:t>
      </w:r>
    </w:p>
    <w:p>
      <w:pPr>
        <w:ind w:left="22" w:right="620" w:firstLine="658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商品和服务支出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65.16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11.36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21.12%，主要原因是：会议增多。</w:t>
      </w:r>
    </w:p>
    <w:p>
      <w:pPr>
        <w:ind w:left="21" w:right="301" w:firstLine="650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对个人和家庭的补助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6.16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0.00%，主要原因是：无变化。</w:t>
      </w:r>
    </w:p>
    <w:p>
      <w:pPr>
        <w:ind w:left="597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62" w:lineRule="auto"/>
        <w:rPr/>
      </w:pPr>
      <w:r/>
    </w:p>
    <w:p>
      <w:pPr>
        <w:ind w:left="28" w:right="248" w:firstLine="645"/>
        <w:spacing w:before="10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算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6.97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0.00%。具体如下：</w:t>
      </w:r>
    </w:p>
    <w:p>
      <w:pPr>
        <w:ind w:left="683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1" w:right="248" w:firstLine="642"/>
        <w:spacing w:before="240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6.97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</w:t>
      </w:r>
      <w:r>
        <w:rPr>
          <w:rFonts w:ascii="FangSong" w:hAnsi="FangSong" w:eastAsia="FangSong" w:cs="FangSong"/>
          <w:sz w:val="31"/>
          <w:szCs w:val="31"/>
          <w:spacing w:val="4"/>
        </w:rPr>
        <w:t>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0.00%。主要原因：无变化；主要用于单位按规定开</w:t>
      </w:r>
      <w:r>
        <w:rPr>
          <w:rFonts w:ascii="FangSong" w:hAnsi="FangSong" w:eastAsia="FangSong" w:cs="FangSong"/>
          <w:sz w:val="31"/>
          <w:szCs w:val="31"/>
          <w:spacing w:val="4"/>
        </w:rPr>
        <w:t>支的各类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公务接待费用。</w:t>
      </w:r>
    </w:p>
    <w:p>
      <w:pPr>
        <w:ind w:left="666"/>
        <w:spacing w:before="240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3、公务用车购置及运行费支出预算0.00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增加0.00</w:t>
      </w:r>
    </w:p>
    <w:p>
      <w:pPr>
        <w:spacing w:line="225" w:lineRule="auto"/>
        <w:sectPr>
          <w:footerReference w:type="default" r:id="rId8"/>
          <w:pgSz w:w="11900" w:h="16840"/>
          <w:pgMar w:top="1286" w:right="1487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right="86"/>
        <w:spacing w:before="6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0%。其中：公务用车购置费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</w:t>
      </w:r>
      <w:r>
        <w:rPr>
          <w:rFonts w:ascii="FangSong" w:hAnsi="FangSong" w:eastAsia="FangSong" w:cs="FangSong"/>
          <w:sz w:val="31"/>
          <w:szCs w:val="31"/>
          <w:spacing w:val="-4"/>
        </w:rPr>
        <w:t>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万元，增长0%，主要原因：无变化；主要用于单位执行公务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活动所发生的公务用车燃料费、维修费、过桥过路费、保险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费等支出。</w:t>
      </w:r>
    </w:p>
    <w:p>
      <w:pPr>
        <w:ind w:left="37" w:firstLine="620"/>
        <w:spacing w:before="3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6.10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</w:t>
      </w:r>
      <w:r>
        <w:rPr>
          <w:rFonts w:ascii="FangSong" w:hAnsi="FangSong" w:eastAsia="FangSong" w:cs="FangSong"/>
          <w:sz w:val="31"/>
          <w:szCs w:val="31"/>
          <w:spacing w:val="-5"/>
        </w:rPr>
        <w:t>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主要原因是无变化；</w:t>
      </w:r>
    </w:p>
    <w:p>
      <w:pPr>
        <w:ind w:left="37" w:firstLine="62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5、培训费预算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2.35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主要原因是无变化。</w:t>
      </w:r>
    </w:p>
    <w:p>
      <w:pPr>
        <w:pStyle w:val="BodyText"/>
        <w:spacing w:line="378" w:lineRule="auto"/>
        <w:rPr/>
      </w:pPr>
      <w:r/>
    </w:p>
    <w:p>
      <w:pPr>
        <w:ind w:left="59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58" w:lineRule="auto"/>
        <w:rPr/>
      </w:pPr>
      <w:r/>
    </w:p>
    <w:p>
      <w:pPr>
        <w:ind w:left="68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right="86" w:firstLine="632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77" w:lineRule="auto"/>
        <w:rPr/>
      </w:pPr>
      <w:r/>
    </w:p>
    <w:p>
      <w:pPr>
        <w:ind w:left="606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61" w:lineRule="auto"/>
        <w:rPr/>
      </w:pPr>
      <w:r/>
    </w:p>
    <w:p>
      <w:pPr>
        <w:ind w:left="28" w:right="140" w:firstLine="652"/>
        <w:spacing w:before="102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我部门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比增加0.00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万元，增长0%，主要原因是无国有资本经</w:t>
      </w:r>
      <w:r>
        <w:rPr>
          <w:rFonts w:ascii="FangSong" w:hAnsi="FangSong" w:eastAsia="FangSong" w:cs="FangSong"/>
          <w:sz w:val="31"/>
          <w:szCs w:val="31"/>
          <w:spacing w:val="12"/>
        </w:rPr>
        <w:t>营预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算。</w:t>
      </w:r>
    </w:p>
    <w:p>
      <w:pPr>
        <w:ind w:left="602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59" w:lineRule="auto"/>
        <w:rPr/>
      </w:pPr>
      <w:r/>
    </w:p>
    <w:p>
      <w:pPr>
        <w:ind w:left="674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35" w:right="87" w:firstLine="628"/>
        <w:spacing w:before="24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年本部门机关运行经费预算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65.16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2024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年度预算数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53.80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11.36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21.12%，主</w:t>
      </w:r>
    </w:p>
    <w:p>
      <w:pPr>
        <w:spacing w:line="370" w:lineRule="auto"/>
        <w:sectPr>
          <w:footerReference w:type="default" r:id="rId9"/>
          <w:pgSz w:w="11900" w:h="16840"/>
          <w:pgMar w:top="1286" w:right="1648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"/>
        <w:spacing w:before="6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要原因是：项目支出。</w:t>
      </w:r>
    </w:p>
    <w:p>
      <w:pPr>
        <w:ind w:left="674"/>
        <w:spacing w:before="23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2" w:right="85" w:firstLine="648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28" w:firstLine="640"/>
        <w:spacing w:before="239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截至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12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31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日，本部门资产总计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万</w:t>
      </w:r>
      <w:r>
        <w:rPr>
          <w:rFonts w:ascii="FangSong" w:hAnsi="FangSong" w:eastAsia="FangSong" w:cs="FangSong"/>
          <w:sz w:val="31"/>
          <w:szCs w:val="31"/>
          <w:spacing w:val="-14"/>
        </w:rPr>
        <w:t>元，其中：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流动资产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万元，固定资产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13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万元，在建工程</w:t>
      </w:r>
      <w:r>
        <w:rPr>
          <w:rFonts w:ascii="FangSong" w:hAnsi="FangSong" w:eastAsia="FangSong" w:cs="FangSong"/>
          <w:sz w:val="31"/>
          <w:szCs w:val="31"/>
          <w:spacing w:val="5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形资产0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万元。</w:t>
      </w:r>
    </w:p>
    <w:p>
      <w:pPr>
        <w:ind w:left="27" w:right="135" w:firstLine="643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本部门实际可调配使用车辆0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辆、一般执法执勤</w:t>
      </w:r>
      <w:r>
        <w:rPr>
          <w:rFonts w:ascii="FangSong" w:hAnsi="FangSong" w:eastAsia="FangSong" w:cs="FangSong"/>
          <w:sz w:val="31"/>
          <w:szCs w:val="31"/>
          <w:spacing w:val="11"/>
        </w:rPr>
        <w:t>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2" w:right="47" w:firstLine="650"/>
        <w:spacing w:before="24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年所有项目支出全面实施绩</w:t>
      </w:r>
      <w:r>
        <w:rPr>
          <w:rFonts w:ascii="FangSong" w:hAnsi="FangSong" w:eastAsia="FangSong" w:cs="FangSong"/>
          <w:sz w:val="31"/>
          <w:szCs w:val="31"/>
          <w:spacing w:val="6"/>
        </w:rPr>
        <w:t>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涉及项目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个，预算资金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18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万元。绩效目标情况</w:t>
      </w:r>
      <w:r>
        <w:rPr>
          <w:rFonts w:ascii="FangSong" w:hAnsi="FangSong" w:eastAsia="FangSong" w:cs="FangSong"/>
          <w:sz w:val="31"/>
          <w:szCs w:val="31"/>
          <w:spacing w:val="-15"/>
        </w:rPr>
        <w:t>详见报表（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常运转类项目、工资类人员经费项目和涉密项目等除外）。</w:t>
      </w:r>
    </w:p>
    <w:p>
      <w:pPr>
        <w:ind w:left="663"/>
        <w:spacing w:before="24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2.重点项目预算绩效目标说明。</w:t>
      </w:r>
    </w:p>
    <w:p>
      <w:pPr>
        <w:ind w:left="672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预计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12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31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日前完成目标</w:t>
      </w:r>
    </w:p>
    <w:p>
      <w:pPr>
        <w:spacing w:line="227" w:lineRule="auto"/>
        <w:sectPr>
          <w:footerReference w:type="default" r:id="rId10"/>
          <w:pgSz w:w="11900" w:h="16840"/>
          <w:pgMar w:top="1286" w:right="1651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1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spacing w:line="370" w:lineRule="auto"/>
        <w:sectPr>
          <w:footerReference w:type="default" r:id="rId12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65" w:line="226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第四部分：中国共产党全州委员会政法委员会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202</w:t>
      </w:r>
      <w:r>
        <w:rPr>
          <w:rFonts w:ascii="SimHei" w:hAnsi="SimHei" w:eastAsia="SimHei" w:cs="SimHei"/>
          <w:sz w:val="31"/>
          <w:szCs w:val="31"/>
          <w:spacing w:val="3"/>
        </w:rPr>
        <w:t>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年部门</w:t>
      </w:r>
    </w:p>
    <w:p>
      <w:pPr>
        <w:ind w:left="3572"/>
        <w:spacing w:before="24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预算报表</w:t>
      </w:r>
    </w:p>
    <w:p>
      <w:pPr>
        <w:pStyle w:val="BodyText"/>
        <w:spacing w:line="377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4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3"/>
      <w:pgSz w:w="11900" w:h="16840"/>
      <w:pgMar w:top="1287" w:right="1736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2025-03-14T11:14:27</vt:filetime>
  </property>
</Properties>
</file>