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18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全州县公务接待服务中心</w:t>
      </w:r>
    </w:p>
    <w:p>
      <w:pPr>
        <w:pStyle w:val="BodyText"/>
        <w:spacing w:line="263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80" w:lineRule="auto"/>
        <w:rPr/>
      </w:pPr>
      <w:r/>
    </w:p>
    <w:p>
      <w:pPr>
        <w:ind w:left="39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第一部分：全州县公务接待服务中心概况</w:t>
      </w:r>
    </w:p>
    <w:p>
      <w:pPr>
        <w:pStyle w:val="BodyText"/>
        <w:spacing w:line="268" w:lineRule="auto"/>
        <w:rPr/>
      </w:pPr>
      <w:r/>
    </w:p>
    <w:p>
      <w:pPr>
        <w:pStyle w:val="BodyText"/>
        <w:spacing w:line="268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0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82" w:firstLine="316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第二部分：全州县公务接待服务中心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年部门</w:t>
      </w:r>
      <w:r>
        <w:rPr>
          <w:rFonts w:ascii="SimHei" w:hAnsi="SimHei" w:eastAsia="SimHei" w:cs="SimHei"/>
          <w:sz w:val="31"/>
          <w:szCs w:val="31"/>
          <w:spacing w:val="3"/>
        </w:rPr>
        <w:t>预算情况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</w:rPr>
        <w:t>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59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right="2"/>
        <w:spacing w:before="101" w:line="224" w:lineRule="auto"/>
        <w:jc w:val="righ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</w:rPr>
        <w:t>第四部分：全州县公务接待服务中心</w:t>
      </w:r>
      <w:r>
        <w:rPr>
          <w:rFonts w:ascii="SimSun" w:hAnsi="SimSun" w:eastAsia="SimSun" w:cs="SimSun"/>
          <w:sz w:val="31"/>
          <w:szCs w:val="31"/>
          <w:spacing w:val="-4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2025</w:t>
      </w:r>
      <w:r>
        <w:rPr>
          <w:rFonts w:ascii="SimSun" w:hAnsi="SimSun" w:eastAsia="SimSun" w:cs="SimSun"/>
          <w:sz w:val="31"/>
          <w:szCs w:val="31"/>
          <w:spacing w:val="-6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年部门预算报表</w:t>
      </w:r>
    </w:p>
    <w:p>
      <w:pPr>
        <w:spacing w:line="224" w:lineRule="auto"/>
        <w:sectPr>
          <w:footerReference w:type="default" r:id="rId1"/>
          <w:pgSz w:w="11900" w:h="16840"/>
          <w:pgMar w:top="1431" w:right="1673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325"/>
        <w:spacing w:before="101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第一部分：全州县公务接待服务中心概况</w:t>
      </w:r>
    </w:p>
    <w:p>
      <w:pPr>
        <w:pStyle w:val="BodyText"/>
        <w:spacing w:line="349" w:lineRule="auto"/>
        <w:rPr/>
      </w:pPr>
      <w:r/>
    </w:p>
    <w:p>
      <w:pPr>
        <w:pStyle w:val="BodyText"/>
        <w:spacing w:line="349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60" w:lineRule="auto"/>
        <w:rPr/>
      </w:pPr>
      <w:r/>
    </w:p>
    <w:p>
      <w:pPr>
        <w:ind w:left="39" w:firstLine="644"/>
        <w:spacing w:before="10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1、负责县本级党政机关公务接待工作,承担县大型</w:t>
      </w:r>
      <w:r>
        <w:rPr>
          <w:rFonts w:ascii="FangSong" w:hAnsi="FangSong" w:eastAsia="FangSong" w:cs="FangSong"/>
          <w:sz w:val="31"/>
          <w:szCs w:val="31"/>
          <w:spacing w:val="1"/>
        </w:rPr>
        <w:t>活动、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重要会议接待服务,统一管理和使用接待经费;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2、负责县廉政食堂的日常管理工作;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6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3、负责对各乡(镇)、县各部门的接待工作业务指导。</w:t>
      </w:r>
    </w:p>
    <w:p>
      <w:pPr>
        <w:pStyle w:val="BodyText"/>
        <w:spacing w:line="380" w:lineRule="auto"/>
        <w:rPr/>
      </w:pPr>
      <w:r/>
    </w:p>
    <w:p>
      <w:pPr>
        <w:ind w:left="644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62" w:lineRule="auto"/>
        <w:rPr/>
      </w:pPr>
      <w:r/>
    </w:p>
    <w:p>
      <w:pPr>
        <w:ind w:left="670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本部门无下属单位,部门预算为本级预算。</w:t>
      </w:r>
    </w:p>
    <w:p>
      <w:pPr>
        <w:pStyle w:val="BodyText"/>
        <w:spacing w:line="378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61" w:lineRule="auto"/>
        <w:rPr/>
      </w:pPr>
      <w:r/>
    </w:p>
    <w:p>
      <w:pPr>
        <w:ind w:left="30" w:right="158" w:firstLine="647"/>
        <w:spacing w:before="10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全州县公务接待服务中心部门编制人数为6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人,其中:行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政编制(含参公单位)0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人,全额事业6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人,工勤编制0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人。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ind w:left="21" w:right="105" w:firstLine="650"/>
        <w:spacing w:before="10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编内在职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5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人,其中:行政在职(含参公单位)0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人,全额事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业在职5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人,工勤在职0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人。离退休人员0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人,其中:离休人员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元,退休人员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人。</w:t>
      </w:r>
    </w:p>
    <w:p>
      <w:pPr>
        <w:ind w:left="658"/>
        <w:spacing w:before="24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spacing w:line="226" w:lineRule="auto"/>
        <w:sectPr>
          <w:footerReference w:type="default" r:id="rId3"/>
          <w:pgSz w:w="11900" w:h="16840"/>
          <w:pgMar w:top="1431" w:right="1630" w:bottom="1062" w:left="1785" w:header="0" w:footer="911" w:gutter="0"/>
        </w:sectPr>
        <w:rPr>
          <w:rFonts w:ascii="SimHei" w:hAnsi="SimHei" w:eastAsia="SimHei" w:cs="SimHei"/>
          <w:sz w:val="31"/>
          <w:szCs w:val="31"/>
        </w:rPr>
      </w:pPr>
    </w:p>
    <w:p>
      <w:pPr>
        <w:ind w:left="39" w:firstLine="644"/>
        <w:spacing w:before="64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1、负责县本级党政机关公务接待工作,承担县大型</w:t>
      </w:r>
      <w:r>
        <w:rPr>
          <w:rFonts w:ascii="FangSong" w:hAnsi="FangSong" w:eastAsia="FangSong" w:cs="FangSong"/>
          <w:sz w:val="31"/>
          <w:szCs w:val="31"/>
          <w:spacing w:val="1"/>
        </w:rPr>
        <w:t>活动、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重要会议接待服务,统一管理和使用接待经费;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2、负责县廉政食堂的日常管理工作;</w:t>
      </w:r>
    </w:p>
    <w:p>
      <w:pPr>
        <w:pStyle w:val="BodyText"/>
        <w:spacing w:line="252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pStyle w:val="BodyText"/>
        <w:spacing w:line="253" w:lineRule="auto"/>
        <w:rPr/>
      </w:pPr>
      <w:r/>
    </w:p>
    <w:p>
      <w:pPr>
        <w:ind w:left="666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3、负责对各乡(镇)、县各部门的接待工作业务指导。</w:t>
      </w:r>
    </w:p>
    <w:p>
      <w:pPr>
        <w:spacing w:line="226" w:lineRule="auto"/>
        <w:sectPr>
          <w:footerReference w:type="default" r:id="rId4"/>
          <w:pgSz w:w="11900" w:h="16840"/>
          <w:pgMar w:top="1286" w:right="1630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059" w:right="90" w:hanging="4039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第二部分：全州县公务接待服务中心</w:t>
      </w:r>
      <w:r>
        <w:rPr>
          <w:rFonts w:ascii="SimHei" w:hAnsi="SimHei" w:eastAsia="SimHei" w:cs="SimHei"/>
          <w:sz w:val="31"/>
          <w:szCs w:val="31"/>
          <w:spacing w:val="-6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2025</w:t>
      </w:r>
      <w:r>
        <w:rPr>
          <w:rFonts w:ascii="SimHei" w:hAnsi="SimHei" w:eastAsia="SimHei" w:cs="SimHei"/>
          <w:sz w:val="31"/>
          <w:szCs w:val="31"/>
          <w:spacing w:val="-5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年部门预算情况说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4"/>
        </w:rPr>
        <w:t>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61" w:lineRule="auto"/>
        <w:rPr/>
      </w:pPr>
      <w:r/>
    </w:p>
    <w:p>
      <w:pPr>
        <w:ind w:left="30" w:right="140" w:firstLine="651"/>
        <w:spacing w:before="10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53.58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53.58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万元（不含财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政拨款上年未列支结转收支数）。总收入较上年度预算数</w:t>
      </w:r>
    </w:p>
    <w:p>
      <w:pPr>
        <w:ind w:left="31" w:firstLine="11"/>
        <w:spacing w:before="1" w:line="37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102.02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48.44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47.48%，主要原因是公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务接待次数、人数减少。总支出较上年度预算数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102.02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</w:t>
      </w:r>
      <w:r>
        <w:rPr>
          <w:rFonts w:ascii="FangSong" w:hAnsi="FangSong" w:eastAsia="FangSong" w:cs="FangSong"/>
          <w:sz w:val="31"/>
          <w:szCs w:val="31"/>
          <w:spacing w:val="-6"/>
        </w:rPr>
        <w:t>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减少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48.44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47.48%，主要原因是公务接待次数、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人数减少。</w:t>
      </w:r>
    </w:p>
    <w:p>
      <w:pPr>
        <w:ind w:left="603"/>
        <w:spacing w:before="23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5" w:lineRule="auto"/>
        <w:rPr/>
      </w:pPr>
      <w:r/>
    </w:p>
    <w:p>
      <w:pPr>
        <w:ind w:left="28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53.58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48.44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下降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47.48%。其中：一般公共预算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53.58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算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47.48%，主要原因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6"/>
        </w:rPr>
        <w:t>是：公务接待次数、人数减少；政府性基金预算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  <w:spacing w:val="1"/>
        </w:rPr>
        <w:t>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0%，主要原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因是无政府性基金预算。</w:t>
      </w:r>
    </w:p>
    <w:p>
      <w:pPr>
        <w:ind w:left="605"/>
        <w:spacing w:before="24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6" w:lineRule="auto"/>
        <w:rPr/>
      </w:pPr>
      <w:r/>
    </w:p>
    <w:p>
      <w:pPr>
        <w:ind w:left="35" w:firstLine="628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2025</w:t>
      </w:r>
      <w:r>
        <w:rPr>
          <w:rFonts w:ascii="FangSong" w:hAnsi="FangSong" w:eastAsia="FangSong" w:cs="FangSong"/>
          <w:sz w:val="31"/>
          <w:szCs w:val="31"/>
          <w:spacing w:val="-4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53.58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7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48.44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47.48%。其中：基本支出预算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53.58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占支出预算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100.00%,同比增加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0.61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</w:t>
      </w:r>
      <w:r>
        <w:rPr>
          <w:rFonts w:ascii="FangSong" w:hAnsi="FangSong" w:eastAsia="FangSong" w:cs="FangSong"/>
          <w:sz w:val="31"/>
          <w:szCs w:val="31"/>
          <w:spacing w:val="3"/>
        </w:rPr>
        <w:t>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1.15%。主要原因是：人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员社保缴纳基数有调整。项目支出预算0.00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万元，占支出预</w:t>
      </w:r>
    </w:p>
    <w:p>
      <w:pPr>
        <w:spacing w:line="371" w:lineRule="auto"/>
        <w:sectPr>
          <w:footerReference w:type="default" r:id="rId5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4" w:right="28" w:hanging="6"/>
        <w:spacing w:before="66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0.00%,同比减少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49.05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100.00%。主要原因是：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公务接待次数、人数减少。</w:t>
      </w:r>
    </w:p>
    <w:p>
      <w:pPr>
        <w:ind w:left="617"/>
        <w:spacing w:before="239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7" w:lineRule="auto"/>
        <w:rPr/>
      </w:pPr>
      <w:r/>
    </w:p>
    <w:p>
      <w:pPr>
        <w:ind w:left="28" w:right="76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53.58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48.44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47.48%。其中：一般公共预算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48.44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47.48%，主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要原因是：公务接待次数、人数减少；政府性基金预算0.00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主要原因是：本单位无政府性基金预算。</w:t>
      </w:r>
    </w:p>
    <w:p>
      <w:pPr>
        <w:ind w:left="31" w:firstLine="632"/>
        <w:spacing w:before="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53.58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48.44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47.48%，主要原因是：公务接待次数、人数减</w:t>
      </w:r>
      <w:r>
        <w:rPr>
          <w:rFonts w:ascii="FangSong" w:hAnsi="FangSong" w:eastAsia="FangSong" w:cs="FangSong"/>
          <w:sz w:val="31"/>
          <w:szCs w:val="31"/>
          <w:spacing w:val="-1"/>
        </w:rPr>
        <w:t>少。</w:t>
      </w:r>
    </w:p>
    <w:p>
      <w:pPr>
        <w:ind w:left="60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7" w:lineRule="auto"/>
        <w:rPr/>
      </w:pPr>
      <w:r/>
    </w:p>
    <w:p>
      <w:pPr>
        <w:ind w:left="31" w:right="23" w:firstLine="632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年一般公共预算支出共53.58</w:t>
      </w:r>
      <w:r>
        <w:rPr>
          <w:rFonts w:ascii="FangSong" w:hAnsi="FangSong" w:eastAsia="FangSong" w:cs="FangSong"/>
          <w:sz w:val="31"/>
          <w:szCs w:val="31"/>
          <w:spacing w:val="-8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万元，同比减少48</w:t>
      </w:r>
      <w:r>
        <w:rPr>
          <w:rFonts w:ascii="FangSong" w:hAnsi="FangSong" w:eastAsia="FangSong" w:cs="FangSong"/>
          <w:sz w:val="31"/>
          <w:szCs w:val="31"/>
          <w:spacing w:val="3"/>
        </w:rPr>
        <w:t>.44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47.48%，按支出功能分类科目划分，</w:t>
      </w:r>
      <w:r>
        <w:rPr>
          <w:rFonts w:ascii="FangSong" w:hAnsi="FangSong" w:eastAsia="FangSong" w:cs="FangSong"/>
          <w:sz w:val="31"/>
          <w:szCs w:val="31"/>
        </w:rPr>
        <w:t>共分为4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类，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其中：</w:t>
      </w:r>
    </w:p>
    <w:p>
      <w:pPr>
        <w:ind w:left="28" w:right="113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39.33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支出预的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73.40%，同比减少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48.62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55.28%，具体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21" w:right="325" w:firstLine="648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事业运行科目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10.50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0.00%,无增长。主要用于单位事业运行。</w:t>
      </w:r>
    </w:p>
    <w:p>
      <w:pPr>
        <w:ind w:left="67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其他政府办公厅（室）及相关机构事务支出科目28.83</w:t>
      </w:r>
    </w:p>
    <w:p>
      <w:pPr>
        <w:spacing w:line="227" w:lineRule="auto"/>
        <w:sectPr>
          <w:footerReference w:type="default" r:id="rId6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3" w:right="277" w:hanging="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48.62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62.78%</w:t>
      </w:r>
      <w:r>
        <w:rPr>
          <w:rFonts w:ascii="FangSong" w:hAnsi="FangSong" w:eastAsia="FangSong" w:cs="FangSong"/>
          <w:sz w:val="31"/>
          <w:szCs w:val="31"/>
          <w:spacing w:val="1"/>
        </w:rPr>
        <w:t>,公务接待次数、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人数减少。主要用于公务接待。</w:t>
      </w:r>
    </w:p>
    <w:p>
      <w:pPr>
        <w:ind w:left="28" w:right="90" w:firstLine="687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7.61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2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14.20%，同比增加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1.20%，具体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28" w:right="90" w:firstLine="640"/>
        <w:spacing w:before="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机关事业单位基本养老保险缴费支出科目4.97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1.22%,年度人员养老保险基数有所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调整，所以呈现增长。主要用于在职人员养老保险缴纳。</w:t>
      </w:r>
    </w:p>
    <w:p>
      <w:pPr>
        <w:ind w:left="27" w:firstLine="641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机关事业单位职业年金缴费支出科目2.49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万元，同比增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加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1.22%,年度人员职业年金基数有所调整，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所以呈现增长。主要用于在职人员职业年金缴纳。</w:t>
      </w:r>
    </w:p>
    <w:p>
      <w:pPr>
        <w:ind w:left="28" w:right="88" w:firstLine="643"/>
        <w:spacing w:before="5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其他社会保障和就业支出科目0.16万元，同比增加0.01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万元，增长6.67%,年度人员其他社会保障和就业基数有</w:t>
      </w:r>
      <w:r>
        <w:rPr>
          <w:rFonts w:ascii="FangSong" w:hAnsi="FangSong" w:eastAsia="FangSong" w:cs="FangSong"/>
          <w:sz w:val="31"/>
          <w:szCs w:val="31"/>
          <w:spacing w:val="9"/>
        </w:rPr>
        <w:t>所调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整，所以呈现增长。主要用于工伤、失业保险缴纳。</w:t>
      </w:r>
    </w:p>
    <w:p>
      <w:pPr>
        <w:ind w:left="31" w:right="143" w:firstLine="684"/>
        <w:spacing w:before="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(3)卫生健康支出科目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2.36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4.40%，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1.29%</w:t>
      </w:r>
      <w:r>
        <w:rPr>
          <w:rFonts w:ascii="FangSong" w:hAnsi="FangSong" w:eastAsia="FangSong" w:cs="FangSong"/>
          <w:sz w:val="31"/>
          <w:szCs w:val="31"/>
          <w:spacing w:val="1"/>
        </w:rPr>
        <w:t>，具体如下：</w:t>
      </w:r>
    </w:p>
    <w:p>
      <w:pPr>
        <w:ind w:left="28" w:right="108" w:firstLine="640"/>
        <w:spacing w:before="4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事业单位医疗科目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长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1.32%,年度人员医疗保险基数有所调整，所以呈现增长。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主要用于在职人员医疗保险缴纳。</w:t>
      </w:r>
    </w:p>
    <w:p>
      <w:pPr>
        <w:ind w:left="21" w:right="90" w:firstLine="650"/>
        <w:spacing w:before="3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0.00%,无增加。主要用于其他行政事业单位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医疗支出。</w:t>
      </w:r>
    </w:p>
    <w:p>
      <w:pPr>
        <w:spacing w:line="371" w:lineRule="auto"/>
        <w:sectPr>
          <w:footerReference w:type="default" r:id="rId7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143" w:firstLine="684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(4)住房保障支出科目4.27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预的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7.97%，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0.05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1.18%，具体如下：</w:t>
      </w:r>
    </w:p>
    <w:p>
      <w:pPr>
        <w:ind w:left="37" w:right="143" w:firstLine="631"/>
        <w:spacing w:before="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4.27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万元，增长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1.18%,年度人员住房公积金基数有所调整，所以</w:t>
      </w:r>
      <w:r>
        <w:rPr>
          <w:rFonts w:ascii="FangSong" w:hAnsi="FangSong" w:eastAsia="FangSong" w:cs="FangSong"/>
          <w:sz w:val="31"/>
          <w:szCs w:val="31"/>
          <w:spacing w:val="7"/>
        </w:rPr>
        <w:t>呈现增长。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主要用于在职人员住房公积金缴纳。</w:t>
      </w:r>
    </w:p>
    <w:p>
      <w:pPr>
        <w:ind w:left="608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9" w:lineRule="auto"/>
        <w:rPr/>
      </w:pPr>
      <w:r/>
    </w:p>
    <w:p>
      <w:pPr>
        <w:ind w:left="30" w:firstLine="633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年一般公共预算基本支出共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53.58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万元，增</w:t>
      </w:r>
      <w:r>
        <w:rPr>
          <w:rFonts w:ascii="FangSong" w:hAnsi="FangSong" w:eastAsia="FangSong" w:cs="FangSong"/>
          <w:sz w:val="31"/>
          <w:szCs w:val="31"/>
        </w:rPr>
        <w:t>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0.61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1.15%，主要原因是年度人</w:t>
      </w:r>
      <w:r>
        <w:rPr>
          <w:rFonts w:ascii="FangSong" w:hAnsi="FangSong" w:eastAsia="FangSong" w:cs="FangSong"/>
          <w:sz w:val="31"/>
          <w:szCs w:val="31"/>
          <w:spacing w:val="3"/>
        </w:rPr>
        <w:t>员社保基数有所调整，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所以呈现增长。其中：</w:t>
      </w:r>
    </w:p>
    <w:p>
      <w:pPr>
        <w:ind w:left="37" w:firstLine="639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5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6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49.83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0.61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1.</w:t>
      </w:r>
      <w:r>
        <w:rPr>
          <w:rFonts w:ascii="FangSong" w:hAnsi="FangSong" w:eastAsia="FangSong" w:cs="FangSong"/>
          <w:sz w:val="31"/>
          <w:szCs w:val="31"/>
          <w:spacing w:val="-6"/>
        </w:rPr>
        <w:t>24%，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主要原因是：年度人员社保基数有所调整，所以呈现增长。</w:t>
      </w:r>
    </w:p>
    <w:p>
      <w:pPr>
        <w:ind w:left="37" w:firstLine="643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商品和服务支出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3.75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0.00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主要原因是：无增加。</w:t>
      </w:r>
    </w:p>
    <w:p>
      <w:pPr>
        <w:ind w:left="677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工资福利支出包括以下内容：</w:t>
      </w:r>
    </w:p>
    <w:p>
      <w:pPr>
        <w:ind w:left="66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基本工资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15.34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万元,津贴补贴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1.32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万元,绩效工资</w:t>
      </w:r>
    </w:p>
    <w:p>
      <w:pPr>
        <w:ind w:left="28" w:right="90" w:firstLine="13"/>
        <w:spacing w:before="238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18.92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万元,机关事业单位基本养老保险缴费4.</w:t>
      </w:r>
      <w:r>
        <w:rPr>
          <w:rFonts w:ascii="FangSong" w:hAnsi="FangSong" w:eastAsia="FangSong" w:cs="FangSong"/>
          <w:sz w:val="31"/>
          <w:szCs w:val="31"/>
          <w:spacing w:val="7"/>
        </w:rPr>
        <w:t>97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万元,职业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年金缴费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2.49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万元,职工基本医疗保险缴费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2.3</w:t>
      </w:r>
      <w:r>
        <w:rPr>
          <w:rFonts w:ascii="FangSong" w:hAnsi="FangSong" w:eastAsia="FangSong" w:cs="FangSong"/>
          <w:sz w:val="31"/>
          <w:szCs w:val="31"/>
          <w:spacing w:val="4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万元,其他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社会保障缴费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0.22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万元,住房公积金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4.27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</w:t>
      </w:r>
      <w:r>
        <w:rPr>
          <w:rFonts w:ascii="FangSong" w:hAnsi="FangSong" w:eastAsia="FangSong" w:cs="FangSong"/>
          <w:sz w:val="31"/>
          <w:szCs w:val="31"/>
          <w:spacing w:val="3"/>
        </w:rPr>
        <w:t>元。</w:t>
      </w:r>
    </w:p>
    <w:p>
      <w:pPr>
        <w:ind w:left="681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商品和服务支出包括以下内容：</w:t>
      </w:r>
    </w:p>
    <w:p>
      <w:pPr>
        <w:ind w:left="33" w:right="90" w:firstLine="645"/>
        <w:spacing w:before="242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办公费0.08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万元,培训费0.30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万元,公务接待费0.57</w:t>
      </w:r>
      <w:r>
        <w:rPr>
          <w:rFonts w:ascii="FangSong" w:hAnsi="FangSong" w:eastAsia="FangSong" w:cs="FangSong"/>
          <w:sz w:val="31"/>
          <w:szCs w:val="31"/>
          <w:spacing w:val="-7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元,其他商品和服务支出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2.80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万元。</w:t>
      </w:r>
    </w:p>
    <w:p>
      <w:pPr>
        <w:spacing w:line="370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597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60" w:lineRule="auto"/>
        <w:rPr/>
      </w:pPr>
      <w:r/>
    </w:p>
    <w:p>
      <w:pPr>
        <w:ind w:left="28" w:right="90" w:firstLine="645"/>
        <w:spacing w:before="101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0.57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48.48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98.84%</w:t>
      </w:r>
      <w:r>
        <w:rPr>
          <w:rFonts w:ascii="FangSong" w:hAnsi="FangSong" w:eastAsia="FangSong" w:cs="FangSong"/>
          <w:sz w:val="31"/>
          <w:szCs w:val="31"/>
          <w:spacing w:val="3"/>
        </w:rPr>
        <w:t>。具体如下：</w:t>
      </w:r>
    </w:p>
    <w:p>
      <w:pPr>
        <w:ind w:left="683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0" w:right="143" w:firstLine="643"/>
        <w:spacing w:before="240" w:line="3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0.57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48.48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98.84%。主要原因：公务接待次数、人数减少；主要用于单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位按规定开支的各类公务接待费用。</w:t>
      </w:r>
    </w:p>
    <w:p>
      <w:pPr>
        <w:ind w:left="24" w:right="88" w:firstLine="642"/>
        <w:spacing w:before="240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</w:t>
      </w:r>
      <w:r>
        <w:rPr>
          <w:rFonts w:ascii="FangSong" w:hAnsi="FangSong" w:eastAsia="FangSong" w:cs="FangSong"/>
          <w:sz w:val="31"/>
          <w:szCs w:val="31"/>
          <w:spacing w:val="-4"/>
        </w:rPr>
        <w:t>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万元，增长0%，主要原因：本单位无公务用车购置</w:t>
      </w:r>
      <w:r>
        <w:rPr>
          <w:rFonts w:ascii="FangSong" w:hAnsi="FangSong" w:eastAsia="FangSong" w:cs="FangSong"/>
          <w:sz w:val="31"/>
          <w:szCs w:val="31"/>
          <w:spacing w:val="10"/>
        </w:rPr>
        <w:t>；主要用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于单位执行公务活动所发生的公务用车燃料费、维修费、过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桥过路费、保险费等支出。</w:t>
      </w:r>
    </w:p>
    <w:p>
      <w:pPr>
        <w:ind w:left="37" w:firstLine="620"/>
        <w:spacing w:before="241" w:line="29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0.00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0.20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3"/>
        </w:rPr>
        <w:t>100.00%，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主要原因是会议次数及花费减少；</w:t>
      </w:r>
    </w:p>
    <w:p>
      <w:pPr>
        <w:ind w:left="37" w:right="2" w:firstLine="628"/>
        <w:spacing w:before="246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5、培训费预算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0.30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</w:t>
      </w:r>
      <w:r>
        <w:rPr>
          <w:rFonts w:ascii="FangSong" w:hAnsi="FangSong" w:eastAsia="FangSong" w:cs="FangSong"/>
          <w:sz w:val="31"/>
          <w:szCs w:val="31"/>
          <w:spacing w:val="-5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主要原因是无增长。</w:t>
      </w:r>
    </w:p>
    <w:p>
      <w:pPr>
        <w:pStyle w:val="BodyText"/>
        <w:spacing w:line="377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ind w:left="31" w:right="88" w:firstLine="632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spacing w:line="227" w:lineRule="auto"/>
        <w:sectPr>
          <w:footerReference w:type="default" r:id="rId9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06"/>
        <w:spacing w:before="6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31" w:right="90" w:firstLine="649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预算无国有资本经营预算。</w:t>
      </w:r>
    </w:p>
    <w:p>
      <w:pPr>
        <w:ind w:left="602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59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0" w:firstLine="633"/>
        <w:spacing w:before="24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年本部门事业单位相关运行费用预算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3.75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较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3.75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主要原因是：2024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年与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年预算指</w:t>
      </w:r>
      <w:r>
        <w:rPr>
          <w:rFonts w:ascii="FangSong" w:hAnsi="FangSong" w:eastAsia="FangSong" w:cs="FangSong"/>
          <w:sz w:val="31"/>
          <w:szCs w:val="31"/>
          <w:spacing w:val="4"/>
        </w:rPr>
        <w:t>标持平，无增加。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90" w:firstLine="648"/>
        <w:spacing w:before="239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right="90" w:firstLine="638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截至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12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月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31</w:t>
      </w:r>
      <w:r>
        <w:rPr>
          <w:rFonts w:ascii="FangSong" w:hAnsi="FangSong" w:eastAsia="FangSong" w:cs="FangSong"/>
          <w:sz w:val="31"/>
          <w:szCs w:val="31"/>
          <w:spacing w:val="-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5.84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5.84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万元，在</w:t>
      </w:r>
      <w:r>
        <w:rPr>
          <w:rFonts w:ascii="FangSong" w:hAnsi="FangSong" w:eastAsia="FangSong" w:cs="FangSong"/>
          <w:sz w:val="31"/>
          <w:szCs w:val="31"/>
          <w:spacing w:val="-1"/>
        </w:rPr>
        <w:t>建工程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元，无形资产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万元。</w:t>
      </w:r>
    </w:p>
    <w:p>
      <w:pPr>
        <w:ind w:left="27" w:right="140" w:firstLine="643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辆、一般执法执勤</w:t>
      </w:r>
      <w:r>
        <w:rPr>
          <w:rFonts w:ascii="FangSong" w:hAnsi="FangSong" w:eastAsia="FangSong" w:cs="FangSong"/>
          <w:sz w:val="31"/>
          <w:szCs w:val="31"/>
          <w:spacing w:val="11"/>
        </w:rPr>
        <w:t>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0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spacing w:before="241" w:line="227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</w:p>
    <w:p>
      <w:pPr>
        <w:spacing w:line="227" w:lineRule="auto"/>
        <w:sectPr>
          <w:footerReference w:type="default" r:id="rId10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5" w:hanging="13"/>
        <w:spacing w:before="64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涉及项目0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个，预算资金0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常运转类项目、工资类人员经费项目和涉密项目等除外）。</w:t>
      </w:r>
    </w:p>
    <w:p>
      <w:pPr>
        <w:ind w:left="663"/>
        <w:spacing w:before="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673"/>
        <w:spacing w:before="242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无</w:t>
      </w:r>
    </w:p>
    <w:p>
      <w:pPr>
        <w:spacing w:line="231" w:lineRule="auto"/>
        <w:sectPr>
          <w:footerReference w:type="default" r:id="rId11"/>
          <w:pgSz w:w="11900" w:h="16840"/>
          <w:pgMar w:top="1286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2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3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5" w:line="226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4"/>
        </w:rPr>
        <w:t>第四部分：全州县公务接待服务中心</w:t>
      </w:r>
      <w:r>
        <w:rPr>
          <w:rFonts w:ascii="SimHei" w:hAnsi="SimHei" w:eastAsia="SimHei" w:cs="SimHei"/>
          <w:sz w:val="31"/>
          <w:szCs w:val="31"/>
          <w:spacing w:val="-63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2025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4"/>
        </w:rPr>
        <w:t>年</w:t>
      </w:r>
      <w:r>
        <w:rPr>
          <w:rFonts w:ascii="SimHei" w:hAnsi="SimHei" w:eastAsia="SimHei" w:cs="SimHei"/>
          <w:sz w:val="31"/>
          <w:szCs w:val="31"/>
          <w:spacing w:val="3"/>
        </w:rPr>
        <w:t>部门预算报表</w:t>
      </w:r>
    </w:p>
    <w:p>
      <w:pPr>
        <w:pStyle w:val="BodyText"/>
        <w:spacing w:line="379" w:lineRule="auto"/>
        <w:rPr/>
      </w:pPr>
      <w:r/>
    </w:p>
    <w:p>
      <w:pPr>
        <w:ind w:left="674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4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4"/>
      <w:pgSz w:w="11900" w:h="16840"/>
      <w:pgMar w:top="1287" w:right="1736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2025-03-14T11:12:24Z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2025-03-14T11:14:27</vt:filetime>
  </property>
</Properties>
</file>