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809"/>
        <w:spacing w:before="140" w:line="226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全州县永岁镇中心幼儿园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2409"/>
        <w:spacing w:before="139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80" w:lineRule="auto"/>
        <w:rPr/>
      </w:pPr>
      <w:r/>
    </w:p>
    <w:p>
      <w:pPr>
        <w:ind w:left="39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第一部分：全州县永岁镇中心幼儿园概况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0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</w:sdtContent>
    </w:sdt>
    <w:p>
      <w:pPr>
        <w:ind w:left="82" w:firstLine="316"/>
        <w:spacing w:before="62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第二部分：全州县永岁镇中心幼儿园2025</w:t>
      </w:r>
      <w:r>
        <w:rPr>
          <w:rFonts w:ascii="SimHei" w:hAnsi="SimHei" w:eastAsia="SimHei" w:cs="SimHei"/>
          <w:sz w:val="31"/>
          <w:szCs w:val="31"/>
          <w:spacing w:val="-5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年部门预算情况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说明</w:t>
      </w:r>
    </w:p>
    <w:p>
      <w:pPr>
        <w:pStyle w:val="BodyText"/>
        <w:spacing w:line="296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9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59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1" w:lineRule="auto"/>
        <w:rPr/>
      </w:pPr>
      <w:r/>
    </w:p>
    <w:p>
      <w:pPr>
        <w:ind w:right="2"/>
        <w:spacing w:before="101" w:line="224" w:lineRule="auto"/>
        <w:jc w:val="righ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</w:rPr>
        <w:t>第四部分：全州县永岁镇中心幼儿园</w:t>
      </w:r>
      <w:r>
        <w:rPr>
          <w:rFonts w:ascii="SimSun" w:hAnsi="SimSun" w:eastAsia="SimSun" w:cs="SimSun"/>
          <w:sz w:val="31"/>
          <w:szCs w:val="31"/>
          <w:spacing w:val="-4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2025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年部门预算报表</w:t>
      </w:r>
    </w:p>
    <w:p>
      <w:pPr>
        <w:spacing w:line="224" w:lineRule="auto"/>
        <w:sectPr>
          <w:footerReference w:type="default" r:id="rId1"/>
          <w:pgSz w:w="11900" w:h="16840"/>
          <w:pgMar w:top="1431" w:right="1673" w:bottom="1062" w:left="1785" w:header="0" w:footer="91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732"/>
        <w:spacing w:before="28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737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325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第一部分：全州县永岁镇中心幼儿园概况</w:t>
      </w:r>
    </w:p>
    <w:p>
      <w:pPr>
        <w:pStyle w:val="BodyText"/>
        <w:spacing w:line="349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59" w:lineRule="auto"/>
        <w:rPr/>
      </w:pPr>
      <w:r/>
    </w:p>
    <w:p>
      <w:pPr>
        <w:ind w:left="670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培养幼儿养成教育，开发幼儿智力。</w:t>
      </w:r>
    </w:p>
    <w:p>
      <w:pPr>
        <w:pStyle w:val="BodyText"/>
        <w:spacing w:line="379" w:lineRule="auto"/>
        <w:rPr/>
      </w:pPr>
      <w:r/>
    </w:p>
    <w:p>
      <w:pPr>
        <w:ind w:left="668" w:right="2299" w:hanging="24"/>
        <w:spacing w:before="101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二、机构设置（本级和二层单位构成）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设立事业机构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个。</w:t>
      </w:r>
    </w:p>
    <w:p>
      <w:pPr>
        <w:pStyle w:val="BodyText"/>
        <w:spacing w:line="378" w:lineRule="auto"/>
        <w:rPr/>
      </w:pPr>
      <w:r/>
    </w:p>
    <w:p>
      <w:pPr>
        <w:ind w:left="64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59" w:lineRule="auto"/>
        <w:rPr/>
      </w:pPr>
      <w:r/>
    </w:p>
    <w:p>
      <w:pPr>
        <w:ind w:left="683"/>
        <w:spacing w:before="10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学校核定编制人数为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12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人，实有在编人数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人。</w:t>
      </w:r>
    </w:p>
    <w:p>
      <w:pPr>
        <w:pStyle w:val="BodyText"/>
        <w:spacing w:line="381" w:lineRule="auto"/>
        <w:rPr/>
      </w:pPr>
      <w:r/>
    </w:p>
    <w:p>
      <w:pPr>
        <w:ind w:left="65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pStyle w:val="BodyText"/>
        <w:spacing w:line="259" w:lineRule="auto"/>
        <w:rPr/>
      </w:pPr>
      <w:r/>
    </w:p>
    <w:p>
      <w:pPr>
        <w:ind w:left="670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培养幼儿养成教育，开发幼儿智力。</w:t>
      </w:r>
    </w:p>
    <w:p>
      <w:pPr>
        <w:spacing w:line="226" w:lineRule="auto"/>
        <w:sectPr>
          <w:footerReference w:type="default" r:id="rId3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059" w:right="90" w:hanging="4039"/>
        <w:spacing w:before="65" w:line="29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第二部分：全州县永岁镇中心幼儿园2025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年部门预算</w:t>
      </w: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情况说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59" w:lineRule="auto"/>
        <w:rPr/>
      </w:pPr>
      <w:r/>
    </w:p>
    <w:p>
      <w:pPr>
        <w:ind w:left="27" w:right="90" w:firstLine="653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198.79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198</w:t>
      </w:r>
      <w:r>
        <w:rPr>
          <w:rFonts w:ascii="FangSong" w:hAnsi="FangSong" w:eastAsia="FangSong" w:cs="FangSong"/>
          <w:sz w:val="31"/>
          <w:szCs w:val="31"/>
          <w:spacing w:val="2"/>
        </w:rPr>
        <w:t>.79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万元（不含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财政拨款上年未列支结转收支数）。总收入较上年度预算数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185.36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13.43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7.2</w:t>
      </w:r>
      <w:r>
        <w:rPr>
          <w:rFonts w:ascii="FangSong" w:hAnsi="FangSong" w:eastAsia="FangSong" w:cs="FangSong"/>
          <w:sz w:val="31"/>
          <w:szCs w:val="31"/>
          <w:spacing w:val="3"/>
        </w:rPr>
        <w:t>5%，主要原因是工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资结构变动，引起人员经费预算变化。总支出较上年度预算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数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185.36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13.43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7.25%</w:t>
      </w:r>
      <w:r>
        <w:rPr>
          <w:rFonts w:ascii="FangSong" w:hAnsi="FangSong" w:eastAsia="FangSong" w:cs="FangSong"/>
          <w:sz w:val="31"/>
          <w:szCs w:val="31"/>
          <w:spacing w:val="1"/>
        </w:rPr>
        <w:t>，主要原因是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工资结构变动，引起人员经费预算变化。</w:t>
      </w:r>
    </w:p>
    <w:p>
      <w:pPr>
        <w:ind w:left="603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55" w:lineRule="auto"/>
        <w:rPr/>
      </w:pPr>
      <w:r/>
    </w:p>
    <w:p>
      <w:pPr>
        <w:ind w:left="28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198.79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13.43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7.25%。其中：一般公共预算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19</w:t>
      </w:r>
      <w:r>
        <w:rPr>
          <w:rFonts w:ascii="FangSong" w:hAnsi="FangSong" w:eastAsia="FangSong" w:cs="FangSong"/>
          <w:sz w:val="31"/>
          <w:szCs w:val="31"/>
          <w:spacing w:val="1"/>
        </w:rPr>
        <w:t>8.79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占收入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总预算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100.00%，同比增加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13.43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7.25%，主要原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因是：工资结构变动，引起人员经费预算变化；政府性基金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预算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占收入总预算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增长0%，主要原因是本单位2025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年无政府性基金预算。</w:t>
      </w:r>
    </w:p>
    <w:p>
      <w:pPr>
        <w:ind w:left="605"/>
        <w:spacing w:before="24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57" w:lineRule="auto"/>
        <w:rPr/>
      </w:pPr>
      <w:r/>
    </w:p>
    <w:p>
      <w:pPr>
        <w:ind w:left="30" w:right="90" w:firstLine="633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198.79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13.</w:t>
      </w:r>
      <w:r>
        <w:rPr>
          <w:rFonts w:ascii="FangSong" w:hAnsi="FangSong" w:eastAsia="FangSong" w:cs="FangSong"/>
          <w:sz w:val="31"/>
          <w:szCs w:val="31"/>
          <w:spacing w:val="-1"/>
        </w:rPr>
        <w:t>43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7.25%。其中：基本支出预算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198.79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预算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100.00%,同比增加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13.43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7.25%。主要原因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是：工资结构变动，引起人员经费预算变化。项目支出预算</w:t>
      </w:r>
    </w:p>
    <w:p>
      <w:pPr>
        <w:spacing w:line="371" w:lineRule="auto"/>
        <w:sectPr>
          <w:footerReference w:type="default" r:id="rId4"/>
          <w:pgSz w:w="11900" w:h="16840"/>
          <w:pgMar w:top="1287" w:right="1645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7" w:hanging="16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0.00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万元，占支出预算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0.00%,同比增加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主要原因是：本单位2025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年无项目经费预算。</w:t>
      </w:r>
    </w:p>
    <w:p>
      <w:pPr>
        <w:ind w:left="617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56" w:lineRule="auto"/>
        <w:rPr/>
      </w:pPr>
      <w:r/>
    </w:p>
    <w:p>
      <w:pPr>
        <w:ind w:left="28" w:right="112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198.79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</w:t>
      </w:r>
      <w:r>
        <w:rPr>
          <w:rFonts w:ascii="FangSong" w:hAnsi="FangSong" w:eastAsia="FangSong" w:cs="FangSong"/>
          <w:sz w:val="31"/>
          <w:szCs w:val="31"/>
          <w:spacing w:val="-1"/>
        </w:rPr>
        <w:t>元，同比增加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13.43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7.25%。其中：一般公共预算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198.79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100.00%，同比增加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13.43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7.25%，主要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原因是：工资结构变动，引起人员经费预算变化；政府性基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金预算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占收入总预算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0%，主要原因是：本单位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年无政府性基</w:t>
      </w:r>
      <w:r>
        <w:rPr>
          <w:rFonts w:ascii="FangSong" w:hAnsi="FangSong" w:eastAsia="FangSong" w:cs="FangSong"/>
          <w:sz w:val="31"/>
          <w:szCs w:val="31"/>
          <w:spacing w:val="5"/>
        </w:rPr>
        <w:t>金预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算。</w:t>
      </w:r>
    </w:p>
    <w:p>
      <w:pPr>
        <w:ind w:left="28" w:right="112" w:firstLine="634"/>
        <w:spacing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2025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198.79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</w:t>
      </w:r>
      <w:r>
        <w:rPr>
          <w:rFonts w:ascii="FangSong" w:hAnsi="FangSong" w:eastAsia="FangSong" w:cs="FangSong"/>
          <w:sz w:val="31"/>
          <w:szCs w:val="31"/>
          <w:spacing w:val="-1"/>
        </w:rPr>
        <w:t>，同比增加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13.43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7.25%，主要原因是：工资结构变动，引起人员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经费预算变化。</w:t>
      </w:r>
    </w:p>
    <w:p>
      <w:pPr>
        <w:ind w:left="607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61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年一般公共预算支出共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198.79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</w:t>
      </w:r>
      <w:r>
        <w:rPr>
          <w:rFonts w:ascii="FangSong" w:hAnsi="FangSong" w:eastAsia="FangSong" w:cs="FangSong"/>
          <w:sz w:val="31"/>
          <w:szCs w:val="31"/>
          <w:spacing w:val="1"/>
        </w:rPr>
        <w:t>比增加</w:t>
      </w:r>
    </w:p>
    <w:p>
      <w:pPr>
        <w:ind w:left="17" w:right="113" w:firstLine="24"/>
        <w:spacing w:before="240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13.43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7.25%，按支出功能分类科目划分，共分为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类，其中：</w:t>
      </w:r>
    </w:p>
    <w:p>
      <w:pPr>
        <w:ind w:left="47" w:right="166" w:firstLine="668"/>
        <w:spacing w:before="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(1)教育支出科目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144.40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占一般公共</w:t>
      </w:r>
      <w:r>
        <w:rPr>
          <w:rFonts w:ascii="FangSong" w:hAnsi="FangSong" w:eastAsia="FangSong" w:cs="FangSong"/>
          <w:sz w:val="31"/>
          <w:szCs w:val="31"/>
        </w:rPr>
        <w:t>预算支出预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72.64%，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9.59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7.11%，具体如下：</w:t>
      </w:r>
    </w:p>
    <w:p>
      <w:pPr>
        <w:ind w:left="42" w:right="113" w:firstLine="640"/>
        <w:spacing w:before="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学前教育科目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144.40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13.31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10.15%,工资结构变动，引起人员经费预算变化。主要用于发</w:t>
      </w:r>
    </w:p>
    <w:p>
      <w:pPr>
        <w:spacing w:line="370" w:lineRule="auto"/>
        <w:sectPr>
          <w:footerReference w:type="default" r:id="rId5"/>
          <w:pgSz w:w="11900" w:h="16840"/>
          <w:pgMar w:top="1286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放教师工资及商品服务支出。</w:t>
      </w:r>
    </w:p>
    <w:p>
      <w:pPr>
        <w:ind w:left="28" w:right="113" w:firstLine="687"/>
        <w:spacing w:before="237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(2)社会保障和就业支出科目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29.62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万元，占</w:t>
      </w:r>
      <w:r>
        <w:rPr>
          <w:rFonts w:ascii="FangSong" w:hAnsi="FangSong" w:eastAsia="FangSong" w:cs="FangSong"/>
          <w:sz w:val="31"/>
          <w:szCs w:val="31"/>
        </w:rPr>
        <w:t>一般公共预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14.90%，同比增加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2.11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7.67%，具体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如下：</w:t>
      </w:r>
    </w:p>
    <w:p>
      <w:pPr>
        <w:ind w:left="31" w:right="234" w:firstLine="638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机关事业单位基本养老保险缴费支出科目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19.34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1.37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7.62%,工资结</w:t>
      </w:r>
      <w:r>
        <w:rPr>
          <w:rFonts w:ascii="FangSong" w:hAnsi="FangSong" w:eastAsia="FangSong" w:cs="FangSong"/>
          <w:sz w:val="31"/>
          <w:szCs w:val="31"/>
          <w:spacing w:val="4"/>
        </w:rPr>
        <w:t>构变化引起职工养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老保险缴费变化。主要用于职工养老保险单位部分缴费。</w:t>
      </w:r>
    </w:p>
    <w:p>
      <w:pPr>
        <w:ind w:left="27" w:right="113" w:firstLine="641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机关事业单位职业年金缴费支出科目9.67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万元，同比增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加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0.69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7.68%,工资结构变化引起职工职业年金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缴费变化。主要用于职工职业年金单位部分缴费。</w:t>
      </w:r>
    </w:p>
    <w:p>
      <w:pPr>
        <w:ind w:left="31" w:firstLine="640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其他社会保障和就业支出科目0.60万元，同比增加0.04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万元，增长7.14%,工资结构变化引起职工失业保险缴费变化。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主要用于职工失业保险单位部分缴费。</w:t>
      </w:r>
    </w:p>
    <w:p>
      <w:pPr>
        <w:ind w:left="31" w:right="166" w:firstLine="684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(3)卫生健康支出科目9.19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4.62%，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0.66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7.74%，具体如下：</w:t>
      </w:r>
    </w:p>
    <w:p>
      <w:pPr>
        <w:ind w:left="28" w:right="113" w:firstLine="640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事业单位医疗科目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8.95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0.64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长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7.70%,工资结构变化引起职工医疗保险缴费变化。主要用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于职工医疗保险单位部分缴费。</w:t>
      </w:r>
    </w:p>
    <w:p>
      <w:pPr>
        <w:ind w:left="21" w:right="114" w:firstLine="650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其他行政事业单位医疗支出科目0.24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同比增加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0.02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万元，增长9.09%,工资结构变化引起职工工伤保险缴费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变化。主要用于职工工伤保险单位部分缴费。</w:t>
      </w:r>
    </w:p>
    <w:p>
      <w:pPr>
        <w:ind w:left="715"/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(4)住房保障支出科目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15.59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万元，占一般公共预算支出</w:t>
      </w:r>
    </w:p>
    <w:p>
      <w:pPr>
        <w:spacing w:line="226" w:lineRule="auto"/>
        <w:sectPr>
          <w:footerReference w:type="default" r:id="rId6"/>
          <w:pgSz w:w="11900" w:h="16840"/>
          <w:pgMar w:top="1286" w:right="1622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预的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7.84%，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1.09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7.52%，具体如下：</w:t>
      </w:r>
    </w:p>
    <w:p>
      <w:pPr>
        <w:ind w:left="26" w:right="90" w:firstLine="643"/>
        <w:spacing w:before="237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15.59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万元，同比增加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1.09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7.52%,工资结构变化引起职工住房公积金缴费变化。主要用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于职工住房公积金单位部分缴费。</w:t>
      </w:r>
    </w:p>
    <w:p>
      <w:pPr>
        <w:ind w:left="608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pStyle w:val="BodyText"/>
        <w:spacing w:line="259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年一般公共预算基本支出共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198.79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万元，增加</w:t>
      </w:r>
    </w:p>
    <w:p>
      <w:pPr>
        <w:ind w:left="53" w:right="90" w:hanging="11"/>
        <w:spacing w:before="24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13.43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7.25%，主要原因是工资结构变动，引起人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员经费预算变化。其中：</w:t>
      </w:r>
    </w:p>
    <w:p>
      <w:pPr>
        <w:ind w:left="37" w:firstLine="639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工资福利支出195.07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13.43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</w:t>
      </w:r>
      <w:r>
        <w:rPr>
          <w:rFonts w:ascii="FangSong" w:hAnsi="FangSong" w:eastAsia="FangSong" w:cs="FangSong"/>
          <w:sz w:val="31"/>
          <w:szCs w:val="31"/>
          <w:spacing w:val="-6"/>
        </w:rPr>
        <w:t>长7.39%，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主要原因是：工资结构变动，引起人员经费预算变化。</w:t>
      </w:r>
    </w:p>
    <w:p>
      <w:pPr>
        <w:ind w:left="37" w:firstLine="643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商品和服务支出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3.72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0.00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主要原因是：幼儿人数及公用经费标准没有变。</w:t>
      </w:r>
    </w:p>
    <w:p>
      <w:pPr>
        <w:ind w:left="677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工资福利支出包括以下内容：</w:t>
      </w:r>
    </w:p>
    <w:p>
      <w:pPr>
        <w:ind w:left="669"/>
        <w:spacing w:before="23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基本工资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56.60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万元,津贴补贴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21.75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万元,绩效工资</w:t>
      </w:r>
    </w:p>
    <w:p>
      <w:pPr>
        <w:ind w:left="28" w:right="143" w:hanging="7"/>
        <w:spacing w:before="24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62.34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万元,机关事业单位基本养老保险缴费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19.</w:t>
      </w:r>
      <w:r>
        <w:rPr>
          <w:rFonts w:ascii="FangSong" w:hAnsi="FangSong" w:eastAsia="FangSong" w:cs="FangSong"/>
          <w:sz w:val="31"/>
          <w:szCs w:val="31"/>
          <w:spacing w:val="4"/>
        </w:rPr>
        <w:t>34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万元,职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业年金缴费9.67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万元,职工基本医疗保险缴费8.95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万元,其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他社会保障缴费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0.85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万元,住房公积金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15.59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万元。</w:t>
      </w:r>
    </w:p>
    <w:p>
      <w:pPr>
        <w:ind w:left="681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商品和服务支出包括以下内容：</w:t>
      </w:r>
    </w:p>
    <w:p>
      <w:pPr>
        <w:ind w:left="679"/>
        <w:spacing w:before="239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办公费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3.72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</w:t>
      </w:r>
    </w:p>
    <w:p>
      <w:pPr>
        <w:pStyle w:val="BodyText"/>
        <w:spacing w:line="376" w:lineRule="auto"/>
        <w:rPr/>
      </w:pPr>
      <w:r/>
    </w:p>
    <w:p>
      <w:pPr>
        <w:ind w:left="597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59" w:lineRule="auto"/>
        <w:rPr/>
      </w:pPr>
      <w:r/>
    </w:p>
    <w:p>
      <w:pPr>
        <w:ind w:left="674"/>
        <w:spacing w:before="10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</w:p>
    <w:p>
      <w:pPr>
        <w:spacing w:line="227" w:lineRule="auto"/>
        <w:sectPr>
          <w:footerReference w:type="default" r:id="rId7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8"/>
        <w:spacing w:before="6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算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0%。具体如下：</w:t>
      </w:r>
    </w:p>
    <w:p>
      <w:pPr>
        <w:ind w:left="683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1" w:right="143" w:firstLine="642"/>
        <w:spacing w:before="240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</w:t>
      </w:r>
      <w:r>
        <w:rPr>
          <w:rFonts w:ascii="FangSong" w:hAnsi="FangSong" w:eastAsia="FangSong" w:cs="FangSong"/>
          <w:sz w:val="31"/>
          <w:szCs w:val="31"/>
          <w:spacing w:val="4"/>
        </w:rPr>
        <w:t>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0%。主要原因：本单位无公务接待费预算安排；主要用于单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位按规定开支的各类公务接待费用。</w:t>
      </w:r>
    </w:p>
    <w:p>
      <w:pPr>
        <w:ind w:left="31" w:right="3" w:firstLine="634"/>
        <w:spacing w:before="240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3、公务用车购置及运行费支出预算0.00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增加0.00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0%。其中：公务用车购置费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</w:t>
      </w:r>
      <w:r>
        <w:rPr>
          <w:rFonts w:ascii="FangSong" w:hAnsi="FangSong" w:eastAsia="FangSong" w:cs="FangSong"/>
          <w:sz w:val="31"/>
          <w:szCs w:val="31"/>
          <w:spacing w:val="-4"/>
        </w:rPr>
        <w:t>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万元，增长0%，主要原因：本单位无公务用车经费预算安排；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主要用于单位执行公务活动所发生的公务用车燃料费、维修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费、过桥过路费、保险费等支出。</w:t>
      </w:r>
    </w:p>
    <w:p>
      <w:pPr>
        <w:ind w:left="37" w:right="292" w:firstLine="620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主要原因是本单位无会议经费预算安排；</w:t>
      </w:r>
    </w:p>
    <w:p>
      <w:pPr>
        <w:ind w:left="37" w:firstLine="628"/>
        <w:spacing w:before="242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5、培训费预算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0.00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0.20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1</w:t>
      </w:r>
      <w:r>
        <w:rPr>
          <w:rFonts w:ascii="FangSong" w:hAnsi="FangSong" w:eastAsia="FangSong" w:cs="FangSong"/>
          <w:sz w:val="31"/>
          <w:szCs w:val="31"/>
          <w:spacing w:val="-14"/>
        </w:rPr>
        <w:t>00.00%，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主要原因是本单位无培训经费预算安排。</w:t>
      </w:r>
    </w:p>
    <w:p>
      <w:pPr>
        <w:pStyle w:val="BodyText"/>
        <w:spacing w:line="381" w:lineRule="auto"/>
        <w:rPr/>
      </w:pPr>
      <w:r/>
    </w:p>
    <w:p>
      <w:pPr>
        <w:ind w:left="59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58" w:lineRule="auto"/>
        <w:rPr/>
      </w:pPr>
      <w:r/>
    </w:p>
    <w:p>
      <w:pPr>
        <w:ind w:left="68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right="88" w:firstLine="632"/>
        <w:spacing w:before="24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80" w:lineRule="auto"/>
        <w:rPr/>
      </w:pPr>
      <w:r/>
    </w:p>
    <w:p>
      <w:pPr>
        <w:ind w:left="606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59" w:lineRule="auto"/>
        <w:rPr/>
      </w:pPr>
      <w:r/>
    </w:p>
    <w:p>
      <w:pPr>
        <w:ind w:left="681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</w:t>
      </w:r>
    </w:p>
    <w:p>
      <w:pPr>
        <w:spacing w:line="227" w:lineRule="auto"/>
        <w:sectPr>
          <w:footerReference w:type="default" r:id="rId8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8" w:right="222" w:firstLine="36"/>
        <w:spacing w:before="66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比增加0.00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万元，增长0%，主要原因是本单位无国有资本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经营预算安排。</w:t>
      </w:r>
    </w:p>
    <w:p>
      <w:pPr>
        <w:ind w:left="602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62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28" w:right="90" w:firstLine="634"/>
        <w:spacing w:before="239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年本部门机关运行经费预算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3.72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度预算数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3.72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0.00%，主要原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因是：本单位无机关运行经费预算安排。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2" w:right="90" w:firstLine="648"/>
        <w:spacing w:before="24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32" w:firstLine="636"/>
        <w:spacing w:before="24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截至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12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31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日，本部门资产</w:t>
      </w:r>
      <w:r>
        <w:rPr>
          <w:rFonts w:ascii="FangSong" w:hAnsi="FangSong" w:eastAsia="FangSong" w:cs="FangSong"/>
          <w:sz w:val="31"/>
          <w:szCs w:val="31"/>
          <w:spacing w:val="-6"/>
        </w:rPr>
        <w:t>总计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6.5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万元，其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中：流动资产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6.5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万元，固定资产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</w:t>
      </w:r>
      <w:r>
        <w:rPr>
          <w:rFonts w:ascii="FangSong" w:hAnsi="FangSong" w:eastAsia="FangSong" w:cs="FangSong"/>
          <w:sz w:val="31"/>
          <w:szCs w:val="31"/>
          <w:spacing w:val="-3"/>
        </w:rPr>
        <w:t>在建工程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无形资产0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万元。</w:t>
      </w:r>
    </w:p>
    <w:p>
      <w:pPr>
        <w:ind w:left="27" w:right="140" w:firstLine="643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本部门实际可调配使用车辆0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辆、一般执法执勤</w:t>
      </w:r>
      <w:r>
        <w:rPr>
          <w:rFonts w:ascii="FangSong" w:hAnsi="FangSong" w:eastAsia="FangSong" w:cs="FangSong"/>
          <w:sz w:val="31"/>
          <w:szCs w:val="31"/>
          <w:spacing w:val="11"/>
        </w:rPr>
        <w:t>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2" w:right="52" w:firstLine="650"/>
        <w:spacing w:before="244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年所有项目支出全面实施绩</w:t>
      </w:r>
      <w:r>
        <w:rPr>
          <w:rFonts w:ascii="FangSong" w:hAnsi="FangSong" w:eastAsia="FangSong" w:cs="FangSong"/>
          <w:sz w:val="31"/>
          <w:szCs w:val="31"/>
          <w:spacing w:val="6"/>
        </w:rPr>
        <w:t>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涉及项目0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个，预算资金0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万元。绩效目标情况详见报表（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常运转类项目、工资类人员经费项目和涉密项目等除外）。</w:t>
      </w:r>
    </w:p>
    <w:p>
      <w:pPr>
        <w:spacing w:line="369" w:lineRule="auto"/>
        <w:sectPr>
          <w:footerReference w:type="default" r:id="rId9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70" w:right="3089" w:hanging="7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2.重点项目预算绩效目标说明。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本单位2025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年无重点项目预算。</w:t>
      </w:r>
    </w:p>
    <w:p>
      <w:pPr>
        <w:spacing w:line="370" w:lineRule="auto"/>
        <w:sectPr>
          <w:footerReference w:type="default" r:id="rId10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1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spacing w:line="370" w:lineRule="auto"/>
        <w:sectPr>
          <w:footerReference w:type="default" r:id="rId12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64" w:line="227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第四部分：全州县永岁镇中心幼儿园2025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年部门预算报表</w:t>
      </w:r>
    </w:p>
    <w:p>
      <w:pPr>
        <w:pStyle w:val="BodyText"/>
        <w:spacing w:line="377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4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3"/>
      <w:pgSz w:w="11900" w:h="16840"/>
      <w:pgMar w:top="1287" w:right="1736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2025-03-14T11:15:09</vt:filetime>
  </property>
</Properties>
</file>