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692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全州县第七中学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第一部分：全州县第七中学概况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  <w:p>
          <w:pPr>
            <w:ind w:left="399"/>
            <w:spacing w:before="63" w:line="226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5"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第二部分：全州县第七中学</w:t>
            </w:r>
            <w:r>
              <w:rPr>
                <w:rFonts w:ascii="SimHei" w:hAnsi="SimHei" w:eastAsia="SimHei" w:cs="SimHei"/>
                <w:sz w:val="31"/>
                <w:szCs w:val="31"/>
                <w:spacing w:val="-52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2025</w:t>
            </w:r>
            <w:r>
              <w:rPr>
                <w:rFonts w:ascii="SimHei" w:hAnsi="SimHei" w:eastAsia="SimHei" w:cs="SimHei"/>
                <w:sz w:val="31"/>
                <w:szCs w:val="31"/>
                <w:spacing w:val="-60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年部门预算情况说明</w:t>
            </w:r>
          </w:hyperlink>
        </w:p>
        <w:p>
          <w:pPr>
            <w:pStyle w:val="BodyText"/>
            <w:spacing w:line="268" w:lineRule="auto"/>
            <w:rPr/>
          </w:pPr>
          <w:r/>
        </w:p>
        <w:p>
          <w:pPr>
            <w:pStyle w:val="BodyText"/>
            <w:spacing w:line="268" w:lineRule="auto"/>
            <w:rPr/>
          </w:pPr>
          <w:r/>
        </w:p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3" w:lineRule="auto"/>
        <w:rPr/>
      </w:pPr>
      <w:r/>
    </w:p>
    <w:p>
      <w:pPr>
        <w:ind w:left="399"/>
        <w:spacing w:before="102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第四部分：全州县第七中学</w:t>
      </w:r>
      <w:r>
        <w:rPr>
          <w:rFonts w:ascii="SimSun" w:hAnsi="SimSun" w:eastAsia="SimSun" w:cs="SimSun"/>
          <w:sz w:val="31"/>
          <w:szCs w:val="31"/>
          <w:spacing w:val="-5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年部门预算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报表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732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spacing w:line="227" w:lineRule="auto"/>
        <w:sectPr>
          <w:footerReference w:type="default" r:id="rId1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737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7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966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第一部分：全州县第七中学概况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59" w:lineRule="auto"/>
        <w:rPr/>
      </w:pPr>
      <w:r/>
    </w:p>
    <w:p>
      <w:pPr>
        <w:ind w:left="32" w:right="105" w:firstLine="650"/>
        <w:spacing w:before="100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1、规划教育教学、职业技术教育综合管理，加强学生的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专业技能、思想、德育、心理健康教育、艺术教育、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国防教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育等，推进学生均衡发展。</w:t>
      </w:r>
    </w:p>
    <w:p>
      <w:pPr>
        <w:ind w:left="663"/>
        <w:spacing w:before="243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2、实行财政预算，决算与预算相同。</w:t>
      </w:r>
    </w:p>
    <w:p>
      <w:pPr>
        <w:ind w:left="32" w:firstLine="633"/>
        <w:spacing w:before="241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3、努力改善办学条件，加强学校教育信息化，提高教学、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专业技能质量，指导学生社会实践工作。</w:t>
      </w:r>
    </w:p>
    <w:p>
      <w:pPr>
        <w:pStyle w:val="BodyText"/>
        <w:spacing w:line="380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59" w:lineRule="auto"/>
        <w:rPr/>
      </w:pPr>
      <w:r/>
    </w:p>
    <w:p>
      <w:pPr>
        <w:ind w:left="27" w:firstLine="635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年我校部门预算编制全额拨款事业单位共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个，学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校实行校长负责制，下设办公室、总务室、教务处、后勤处、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教研室、团委会、工会委员等中层机构，管理学生的教育教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学、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日常生活、专业技能等各项事务。</w:t>
      </w:r>
    </w:p>
    <w:p>
      <w:pPr>
        <w:ind w:left="645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60" w:lineRule="auto"/>
        <w:rPr/>
      </w:pPr>
      <w:r/>
    </w:p>
    <w:p>
      <w:pPr>
        <w:ind w:left="27" w:right="158" w:firstLine="655"/>
        <w:spacing w:before="101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学校核定编制人数为0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人，实有在编人数0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人。编内在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职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人，全额事业在职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人，退休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人。</w:t>
      </w:r>
    </w:p>
    <w:p>
      <w:pPr>
        <w:ind w:left="658"/>
        <w:spacing w:before="24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61" w:lineRule="auto"/>
        <w:rPr/>
      </w:pPr>
      <w:r/>
    </w:p>
    <w:p>
      <w:pPr>
        <w:ind w:left="68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1、贯彻落实国家教育方针，教书育人，培训人才，发展</w:t>
      </w:r>
    </w:p>
    <w:p>
      <w:pPr>
        <w:spacing w:line="228" w:lineRule="auto"/>
        <w:sectPr>
          <w:footerReference w:type="default" r:id="rId3"/>
          <w:pgSz w:w="11900" w:h="16840"/>
          <w:pgMar w:top="1431" w:right="1630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科技，服务社会。</w:t>
      </w:r>
    </w:p>
    <w:p>
      <w:pPr>
        <w:ind w:left="663"/>
        <w:spacing w:before="23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2、努力改善办学条件，提高教学质量。</w:t>
      </w:r>
    </w:p>
    <w:p>
      <w:pPr>
        <w:ind w:left="50" w:firstLine="615"/>
        <w:spacing w:before="238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3、加大学校教师培训，强化管理，努力建设高素质的教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师队伍。</w:t>
      </w:r>
    </w:p>
    <w:p>
      <w:pPr>
        <w:ind w:left="658"/>
        <w:spacing w:before="23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4、加强学校安全工作，切实维护学校学生安全。</w:t>
      </w:r>
    </w:p>
    <w:p>
      <w:pPr>
        <w:spacing w:line="226" w:lineRule="auto"/>
        <w:sectPr>
          <w:footerReference w:type="default" r:id="rId4"/>
          <w:pgSz w:w="11900" w:h="16840"/>
          <w:pgMar w:top="1286" w:right="1736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30"/>
        <w:spacing w:before="65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第二部分：全州县第七中学</w:t>
      </w:r>
      <w:r>
        <w:rPr>
          <w:rFonts w:ascii="SimHei" w:hAnsi="SimHei" w:eastAsia="SimHei" w:cs="SimHei"/>
          <w:sz w:val="31"/>
          <w:szCs w:val="31"/>
          <w:spacing w:val="-5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2025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年部门预算情况说明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8" w:lineRule="auto"/>
        <w:rPr/>
      </w:pPr>
      <w:r/>
    </w:p>
    <w:p>
      <w:pPr>
        <w:ind w:left="28" w:firstLine="652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16.74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16.74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  <w:spacing w:val="2"/>
        </w:rPr>
        <w:t>元（不含财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政拨款上年未列支结转收支数）。总收入较上年度预算数0.00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16.74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100%，主要原因是学校教育支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出增加。总支出较上年度预算数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</w:t>
      </w:r>
      <w:r>
        <w:rPr>
          <w:rFonts w:ascii="FangSong" w:hAnsi="FangSong" w:eastAsia="FangSong" w:cs="FangSong"/>
          <w:sz w:val="31"/>
          <w:szCs w:val="31"/>
          <w:spacing w:val="-7"/>
        </w:rPr>
        <w:t>，增加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16.74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增长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100%，主要原因是学校教育支出增加。</w:t>
      </w:r>
    </w:p>
    <w:p>
      <w:pPr>
        <w:ind w:left="603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9" w:lineRule="auto"/>
        <w:rPr/>
      </w:pPr>
      <w:r/>
    </w:p>
    <w:p>
      <w:pPr>
        <w:ind w:left="28" w:firstLine="634"/>
        <w:spacing w:before="10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2025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16.74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16.74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增长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100%。其中：一般公共预算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16.74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占收入总预算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16.74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100%，主要原因是：</w:t>
      </w:r>
    </w:p>
    <w:p>
      <w:pPr>
        <w:ind w:left="28" w:right="90" w:firstLine="13"/>
        <w:spacing w:before="4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学校教育支出增加；政府性基金预算0.00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万元，占收入总预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算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0%，主要原因是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年学校没有政府性基金预算。</w:t>
      </w:r>
    </w:p>
    <w:p>
      <w:pPr>
        <w:ind w:left="605"/>
        <w:spacing w:before="24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8" w:lineRule="auto"/>
        <w:rPr/>
      </w:pPr>
      <w:r/>
    </w:p>
    <w:p>
      <w:pPr>
        <w:ind w:left="27" w:firstLine="635"/>
        <w:spacing w:before="10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2025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16.74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16.74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增长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100%。其中：基本支出预算0.0</w:t>
      </w:r>
      <w:r>
        <w:rPr>
          <w:rFonts w:ascii="FangSong" w:hAnsi="FangSong" w:eastAsia="FangSong" w:cs="FangSong"/>
          <w:sz w:val="31"/>
          <w:szCs w:val="31"/>
          <w:spacing w:val="-6"/>
        </w:rPr>
        <w:t>0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万元，占支出预算0.00%,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0%。主要原因是：学校教育支出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增加。项目支出预算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16.74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占支出预算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100.00%,同比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增加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16.74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100%。主要原因是：学校项目支出增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加。</w:t>
      </w:r>
    </w:p>
    <w:p>
      <w:pPr>
        <w:spacing w:line="372" w:lineRule="auto"/>
        <w:sectPr>
          <w:footerReference w:type="default" r:id="rId5"/>
          <w:pgSz w:w="11900" w:h="16840"/>
          <w:pgMar w:top="1287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17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61" w:lineRule="auto"/>
        <w:rPr/>
      </w:pPr>
      <w:r/>
    </w:p>
    <w:p>
      <w:pPr>
        <w:ind w:left="31" w:right="85" w:firstLine="632"/>
        <w:spacing w:before="10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</w:rPr>
        <w:t>6.74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100%。其中：一般公共预算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16.74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总预算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</w:rPr>
        <w:t>00%，主要原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因是：学校教育支出增加；政府性基金预算0.00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万元，占收</w:t>
      </w:r>
    </w:p>
    <w:p>
      <w:pPr>
        <w:ind w:left="22" w:firstLine="6"/>
        <w:spacing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</w:t>
      </w:r>
      <w:r>
        <w:rPr>
          <w:rFonts w:ascii="FangSong" w:hAnsi="FangSong" w:eastAsia="FangSong" w:cs="FangSong"/>
          <w:sz w:val="31"/>
          <w:szCs w:val="31"/>
          <w:spacing w:val="-6"/>
        </w:rPr>
        <w:t>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0%，主要原因是：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年学校没有政府性基金预算。</w:t>
      </w:r>
    </w:p>
    <w:p>
      <w:pPr>
        <w:ind w:left="31" w:right="136" w:firstLine="632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</w:t>
      </w:r>
      <w:r>
        <w:rPr>
          <w:rFonts w:ascii="FangSong" w:hAnsi="FangSong" w:eastAsia="FangSong" w:cs="FangSong"/>
          <w:sz w:val="31"/>
          <w:szCs w:val="31"/>
        </w:rPr>
        <w:t>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16.74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100%，主要原因是：学校教育支出增加。</w:t>
      </w:r>
    </w:p>
    <w:p>
      <w:pPr>
        <w:ind w:left="607"/>
        <w:spacing w:before="2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57" w:lineRule="auto"/>
        <w:rPr/>
      </w:pPr>
      <w:r/>
    </w:p>
    <w:p>
      <w:pPr>
        <w:ind w:left="31" w:right="83" w:firstLine="632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2025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16.74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16.74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100%，按支出功能分类科目划分，</w:t>
      </w:r>
      <w:r>
        <w:rPr>
          <w:rFonts w:ascii="FangSong" w:hAnsi="FangSong" w:eastAsia="FangSong" w:cs="FangSong"/>
          <w:sz w:val="31"/>
          <w:szCs w:val="31"/>
          <w:spacing w:val="3"/>
        </w:rPr>
        <w:t>共分为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类，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其中：</w:t>
      </w:r>
    </w:p>
    <w:p>
      <w:pPr>
        <w:ind w:left="42" w:right="85" w:firstLine="673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(1)教育支出科目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16.74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万元，占一般公共预算支出预的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16.74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100%，具体如下：</w:t>
      </w:r>
    </w:p>
    <w:p>
      <w:pPr>
        <w:ind w:left="28" w:right="137" w:firstLine="640"/>
        <w:spacing w:before="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初中教育科目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16.74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16.74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100%,全都是基本支出预算。主要用于2025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年学校预算项目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调整。</w:t>
      </w:r>
    </w:p>
    <w:p>
      <w:pPr>
        <w:ind w:left="608"/>
        <w:spacing w:before="23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62" w:lineRule="auto"/>
        <w:rPr/>
      </w:pPr>
      <w:r/>
    </w:p>
    <w:p>
      <w:pPr>
        <w:ind w:left="31" w:right="136" w:firstLine="632"/>
        <w:spacing w:before="10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年一般公共预算基本支出共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万元，增长0%，主要原因是2025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年学校</w:t>
      </w:r>
      <w:r>
        <w:rPr>
          <w:rFonts w:ascii="FangSong" w:hAnsi="FangSong" w:eastAsia="FangSong" w:cs="FangSong"/>
          <w:sz w:val="31"/>
          <w:szCs w:val="31"/>
          <w:spacing w:val="12"/>
        </w:rPr>
        <w:t>没有一般公共预算</w:t>
      </w:r>
    </w:p>
    <w:p>
      <w:pPr>
        <w:spacing w:line="370" w:lineRule="auto"/>
        <w:sectPr>
          <w:footerReference w:type="default" r:id="rId6"/>
          <w:pgSz w:w="11900" w:h="16840"/>
          <w:pgMar w:top="1287" w:right="1651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基本支出。其中：</w:t>
      </w:r>
    </w:p>
    <w:p>
      <w:pPr>
        <w:pStyle w:val="BodyText"/>
        <w:spacing w:line="376" w:lineRule="auto"/>
        <w:rPr/>
      </w:pPr>
      <w:r/>
    </w:p>
    <w:p>
      <w:pPr>
        <w:ind w:left="59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58" w:lineRule="auto"/>
        <w:rPr/>
      </w:pPr>
      <w:r/>
    </w:p>
    <w:p>
      <w:pPr>
        <w:ind w:left="28" w:right="90" w:firstLine="645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0%。具体如下：</w:t>
      </w:r>
    </w:p>
    <w:p>
      <w:pPr>
        <w:ind w:left="68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1" w:right="90" w:firstLine="642"/>
        <w:spacing w:before="238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</w:t>
      </w:r>
      <w:r>
        <w:rPr>
          <w:rFonts w:ascii="FangSong" w:hAnsi="FangSong" w:eastAsia="FangSong" w:cs="FangSong"/>
          <w:sz w:val="31"/>
          <w:szCs w:val="31"/>
          <w:spacing w:val="4"/>
        </w:rPr>
        <w:t>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0%。主要原因：2025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年预算没有细化到未级科目；主要用于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单位按规定开支的各类公务接待费用。</w:t>
      </w:r>
    </w:p>
    <w:p>
      <w:pPr>
        <w:ind w:left="31" w:right="88" w:firstLine="634"/>
        <w:spacing w:before="248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</w:t>
      </w:r>
      <w:r>
        <w:rPr>
          <w:rFonts w:ascii="FangSong" w:hAnsi="FangSong" w:eastAsia="FangSong" w:cs="FangSong"/>
          <w:sz w:val="31"/>
          <w:szCs w:val="31"/>
          <w:spacing w:val="-4"/>
        </w:rPr>
        <w:t>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万元，增长0%，主要原因：学校没有公务用车，没有公务用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车购置及运行支出预算；主要用于单位执行公务活动所发生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的公务用车燃料费、维修费、过桥过路费、保险费等支出。</w:t>
      </w:r>
    </w:p>
    <w:p>
      <w:pPr>
        <w:ind w:left="37" w:right="292" w:firstLine="620"/>
        <w:spacing w:before="24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主要原因是义务教育学校没有会议费预算；</w:t>
      </w:r>
    </w:p>
    <w:p>
      <w:pPr>
        <w:ind w:left="37" w:firstLine="62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主要原因是2025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年学校培训预算项目增加。</w:t>
      </w:r>
    </w:p>
    <w:p>
      <w:pPr>
        <w:pStyle w:val="BodyText"/>
        <w:spacing w:line="377" w:lineRule="auto"/>
        <w:rPr/>
      </w:pPr>
      <w:r/>
    </w:p>
    <w:p>
      <w:pPr>
        <w:ind w:left="598"/>
        <w:spacing w:before="10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8" w:firstLine="632"/>
        <w:spacing w:before="24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spacing w:line="370" w:lineRule="auto"/>
        <w:sectPr>
          <w:footerReference w:type="default" r:id="rId7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63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77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59" w:lineRule="auto"/>
        <w:rPr/>
      </w:pPr>
      <w:r/>
    </w:p>
    <w:p>
      <w:pPr>
        <w:ind w:left="25" w:right="85" w:firstLine="655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比增加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0%，主要原因是是我部门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有国有资本经营预算支出。</w:t>
      </w:r>
    </w:p>
    <w:p>
      <w:pPr>
        <w:ind w:left="602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62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22" w:firstLine="640"/>
        <w:spacing w:before="239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度预算数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0%，主要原因是：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年我部门无机关运行经费。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85" w:firstLine="648"/>
        <w:spacing w:before="24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28" w:firstLine="640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截至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12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31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</w:t>
      </w:r>
      <w:r>
        <w:rPr>
          <w:rFonts w:ascii="FangSong" w:hAnsi="FangSong" w:eastAsia="FangSong" w:cs="FangSong"/>
          <w:sz w:val="31"/>
          <w:szCs w:val="31"/>
          <w:spacing w:val="-14"/>
        </w:rPr>
        <w:t>元，其中：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流动资产0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万元，固定资产00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万元，在建工程0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万元，无形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资产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万元。</w:t>
      </w:r>
    </w:p>
    <w:p>
      <w:pPr>
        <w:ind w:left="27" w:right="135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spacing w:line="370" w:lineRule="auto"/>
        <w:sectPr>
          <w:footerReference w:type="default" r:id="rId8"/>
          <w:pgSz w:w="11900" w:h="16840"/>
          <w:pgMar w:top="1286" w:right="1651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74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firstLine="650"/>
        <w:spacing w:before="24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涉及项目0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个，预算资金0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常运转类项目、工资类人员经费项目和涉密项目等除外）。</w:t>
      </w:r>
    </w:p>
    <w:p>
      <w:pPr>
        <w:ind w:left="663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663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年学校无重点预算项目。</w:t>
      </w:r>
    </w:p>
    <w:p>
      <w:pPr>
        <w:spacing w:line="227" w:lineRule="auto"/>
        <w:sectPr>
          <w:footerReference w:type="default" r:id="rId9"/>
          <w:pgSz w:w="11900" w:h="16840"/>
          <w:pgMar w:top="1286" w:right="169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0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1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927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第四部分：全州县第七中学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年部门预算报表</w:t>
      </w:r>
    </w:p>
    <w:p>
      <w:pPr>
        <w:pStyle w:val="BodyText"/>
        <w:spacing w:line="379" w:lineRule="auto"/>
        <w:rPr/>
      </w:pPr>
      <w:r/>
    </w:p>
    <w:p>
      <w:pPr>
        <w:ind w:left="674"/>
        <w:spacing w:before="1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2"/>
      <w:pgSz w:w="11900" w:h="16840"/>
      <w:pgMar w:top="1287" w:right="1785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2025-03-14T11:15:29</vt:filetime>
  </property>
</Properties>
</file>