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6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2021年预算绩效评价结果</w:t>
      </w:r>
    </w:p>
    <w:p>
      <w:pPr>
        <w:spacing w:line="586" w:lineRule="exact"/>
        <w:ind w:firstLine="880" w:firstLineChars="200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586" w:lineRule="exact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2021年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全州县</w:t>
      </w:r>
      <w:r>
        <w:rPr>
          <w:rFonts w:ascii="Times New Roman" w:hAnsi="Times New Roman" w:eastAsia="仿宋_GB2312"/>
          <w:sz w:val="32"/>
          <w:szCs w:val="32"/>
        </w:rPr>
        <w:t>财政局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为深入贯彻落实上级全面实施预算绩效管理的决策部署，</w:t>
      </w:r>
      <w:r>
        <w:rPr>
          <w:rFonts w:ascii="Times New Roman" w:hAnsi="Times New Roman" w:eastAsia="仿宋_GB2312"/>
          <w:sz w:val="32"/>
          <w:szCs w:val="32"/>
        </w:rPr>
        <w:t>坚持绩效导向，严格落实政府过紧日子的要求，按照“花钱要问效、有效多安排、低效多压减、无效要问责”原则，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结合我县实际情况开展了</w:t>
      </w:r>
      <w:r>
        <w:rPr>
          <w:rFonts w:ascii="Times New Roman" w:hAnsi="Times New Roman" w:eastAsia="仿宋_GB2312"/>
          <w:sz w:val="32"/>
          <w:szCs w:val="32"/>
        </w:rPr>
        <w:t>预算绩效管理。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县</w:t>
      </w:r>
      <w:r>
        <w:rPr>
          <w:rFonts w:ascii="Times New Roman" w:hAnsi="Times New Roman" w:eastAsia="仿宋_GB2312"/>
          <w:sz w:val="32"/>
          <w:szCs w:val="32"/>
        </w:rPr>
        <w:t>本级绩效评价除涉密部门外，实行一级预算部门全覆盖，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委托由广西旗开公司、嘉华公司、达成公司等第三方中介司审核</w:t>
      </w:r>
      <w:r>
        <w:rPr>
          <w:rFonts w:ascii="Times New Roman" w:hAnsi="Times New Roman" w:eastAsia="仿宋_GB2312"/>
          <w:sz w:val="32"/>
          <w:szCs w:val="32"/>
        </w:rPr>
        <w:t>绩效评价项目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目标160</w:t>
      </w:r>
      <w:r>
        <w:rPr>
          <w:rFonts w:ascii="Times New Roman" w:hAnsi="Times New Roman" w:eastAsia="仿宋_GB2312"/>
          <w:sz w:val="32"/>
          <w:szCs w:val="32"/>
        </w:rPr>
        <w:t>个，绩效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</w:t>
      </w:r>
      <w:r>
        <w:rPr>
          <w:rFonts w:ascii="Times New Roman" w:hAnsi="Times New Roman" w:eastAsia="仿宋_GB2312"/>
          <w:sz w:val="32"/>
          <w:szCs w:val="32"/>
        </w:rPr>
        <w:t>总额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20043万</w:t>
      </w:r>
      <w:r>
        <w:rPr>
          <w:rFonts w:ascii="Times New Roman" w:hAnsi="Times New Roman" w:eastAsia="仿宋_GB2312"/>
          <w:sz w:val="32"/>
          <w:szCs w:val="32"/>
        </w:rPr>
        <w:t>元，委托重点评价项目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个，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项目资金总额12184.2万元，</w:t>
      </w:r>
      <w:r>
        <w:rPr>
          <w:rFonts w:ascii="Times New Roman" w:hAnsi="Times New Roman" w:eastAsia="仿宋_GB2312"/>
          <w:sz w:val="32"/>
          <w:szCs w:val="32"/>
        </w:rPr>
        <w:t>部门整体支出评价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/>
          <w:sz w:val="32"/>
          <w:szCs w:val="32"/>
        </w:rPr>
        <w:t>个一级预算部门。部门和项目绩效评价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的相关</w:t>
      </w:r>
      <w:r>
        <w:rPr>
          <w:rFonts w:ascii="Times New Roman" w:hAnsi="Times New Roman" w:eastAsia="仿宋_GB2312"/>
          <w:sz w:val="32"/>
          <w:szCs w:val="32"/>
        </w:rPr>
        <w:t>结果纳入政府绩效考核，并作为预算安排主要参考依据。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4B0479"/>
    <w:rsid w:val="5E4B0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2023-05-29T03:02:00Z</dcterms:created>
  <dc:creator>Administrator</dc:creator>
  <cp:lastModifiedBy>Administrator</cp:lastModifiedBy>
  <dcterms:modified xsi:type="dcterms:W3CDTF">2023-05-29T03:18:34Z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