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4AE4F">
      <w:pPr>
        <w:adjustRightInd w:val="0"/>
        <w:snapToGrid w:val="0"/>
        <w:spacing w:line="570" w:lineRule="exact"/>
        <w:jc w:val="center"/>
        <w:rPr>
          <w:rFonts w:ascii="方正小标宋_GBK" w:eastAsia="方正小标宋_GBK"/>
          <w:sz w:val="44"/>
          <w:szCs w:val="44"/>
        </w:rPr>
      </w:pPr>
      <w:r>
        <w:rPr>
          <w:rFonts w:hint="eastAsia" w:ascii="方正小标宋_GBK" w:eastAsia="方正小标宋_GBK"/>
          <w:sz w:val="44"/>
          <w:szCs w:val="44"/>
          <w:lang w:val="en-US" w:eastAsia="zh-CN"/>
        </w:rPr>
        <w:t>全州县退役军人事务局</w:t>
      </w:r>
      <w:r>
        <w:rPr>
          <w:rFonts w:hint="eastAsia" w:ascii="方正小标宋_GBK" w:eastAsia="方正小标宋_GBK"/>
          <w:sz w:val="44"/>
          <w:szCs w:val="44"/>
        </w:rPr>
        <w:t>权责清单</w:t>
      </w:r>
    </w:p>
    <w:p w14:paraId="506D7A98">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992"/>
        <w:gridCol w:w="495"/>
        <w:gridCol w:w="529"/>
        <w:gridCol w:w="881"/>
        <w:gridCol w:w="3885"/>
        <w:gridCol w:w="1618"/>
        <w:gridCol w:w="7652"/>
        <w:gridCol w:w="1800"/>
        <w:gridCol w:w="2067"/>
        <w:gridCol w:w="532"/>
        <w:gridCol w:w="381"/>
      </w:tblGrid>
      <w:tr w14:paraId="0A125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7A62A57">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序号</w:t>
            </w:r>
          </w:p>
        </w:tc>
        <w:tc>
          <w:tcPr>
            <w:tcW w:w="308" w:type="dxa"/>
            <w:vMerge w:val="restart"/>
            <w:vAlign w:val="center"/>
          </w:tcPr>
          <w:p w14:paraId="1FA60CFB">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权力分类</w:t>
            </w:r>
          </w:p>
        </w:tc>
        <w:tc>
          <w:tcPr>
            <w:tcW w:w="6782" w:type="dxa"/>
            <w:gridSpan w:val="5"/>
            <w:vAlign w:val="center"/>
          </w:tcPr>
          <w:p w14:paraId="4D22CA96">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权力清单</w:t>
            </w:r>
          </w:p>
        </w:tc>
        <w:tc>
          <w:tcPr>
            <w:tcW w:w="13669" w:type="dxa"/>
            <w:gridSpan w:val="5"/>
            <w:vAlign w:val="center"/>
          </w:tcPr>
          <w:p w14:paraId="304CEA79">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责任清单</w:t>
            </w:r>
          </w:p>
        </w:tc>
        <w:tc>
          <w:tcPr>
            <w:tcW w:w="381" w:type="dxa"/>
            <w:vMerge w:val="restart"/>
            <w:vAlign w:val="center"/>
          </w:tcPr>
          <w:p w14:paraId="0001C70D">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备注</w:t>
            </w:r>
          </w:p>
        </w:tc>
      </w:tr>
      <w:tr w14:paraId="45A0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8F9A5E">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p>
        </w:tc>
        <w:tc>
          <w:tcPr>
            <w:tcW w:w="308" w:type="dxa"/>
            <w:vMerge w:val="continue"/>
            <w:vAlign w:val="center"/>
          </w:tcPr>
          <w:p w14:paraId="05A12821">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p>
        </w:tc>
        <w:tc>
          <w:tcPr>
            <w:tcW w:w="992" w:type="dxa"/>
            <w:vAlign w:val="center"/>
          </w:tcPr>
          <w:p w14:paraId="2F4B1B50">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项目名称</w:t>
            </w:r>
          </w:p>
        </w:tc>
        <w:tc>
          <w:tcPr>
            <w:tcW w:w="495" w:type="dxa"/>
            <w:vAlign w:val="center"/>
          </w:tcPr>
          <w:p w14:paraId="5ABCE2F2">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子项名称</w:t>
            </w:r>
          </w:p>
        </w:tc>
        <w:tc>
          <w:tcPr>
            <w:tcW w:w="529" w:type="dxa"/>
            <w:vAlign w:val="center"/>
          </w:tcPr>
          <w:p w14:paraId="1A000B0B">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实施主体</w:t>
            </w:r>
          </w:p>
        </w:tc>
        <w:tc>
          <w:tcPr>
            <w:tcW w:w="881" w:type="dxa"/>
            <w:vAlign w:val="center"/>
          </w:tcPr>
          <w:p w14:paraId="1B08A1B2">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承办的</w:t>
            </w:r>
          </w:p>
          <w:p w14:paraId="5DEBB83F">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内设机构</w:t>
            </w:r>
          </w:p>
        </w:tc>
        <w:tc>
          <w:tcPr>
            <w:tcW w:w="3885" w:type="dxa"/>
            <w:vAlign w:val="center"/>
          </w:tcPr>
          <w:p w14:paraId="16E6BFA6">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实施依据</w:t>
            </w:r>
          </w:p>
        </w:tc>
        <w:tc>
          <w:tcPr>
            <w:tcW w:w="1618" w:type="dxa"/>
            <w:vAlign w:val="center"/>
          </w:tcPr>
          <w:p w14:paraId="7B22B30B">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责任事项</w:t>
            </w:r>
          </w:p>
          <w:p w14:paraId="6EDCF2CA">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(明确责任主体)</w:t>
            </w:r>
          </w:p>
        </w:tc>
        <w:tc>
          <w:tcPr>
            <w:tcW w:w="7652" w:type="dxa"/>
            <w:vAlign w:val="center"/>
          </w:tcPr>
          <w:p w14:paraId="3DBE8D1F">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责任事项依据</w:t>
            </w:r>
          </w:p>
        </w:tc>
        <w:tc>
          <w:tcPr>
            <w:tcW w:w="1800" w:type="dxa"/>
            <w:vAlign w:val="center"/>
          </w:tcPr>
          <w:p w14:paraId="1697ECC9">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追责情形（明确内部追责主体）</w:t>
            </w:r>
          </w:p>
        </w:tc>
        <w:tc>
          <w:tcPr>
            <w:tcW w:w="2067" w:type="dxa"/>
            <w:vAlign w:val="center"/>
          </w:tcPr>
          <w:p w14:paraId="0C788A77">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追责依据</w:t>
            </w:r>
          </w:p>
        </w:tc>
        <w:tc>
          <w:tcPr>
            <w:tcW w:w="532" w:type="dxa"/>
            <w:vAlign w:val="center"/>
          </w:tcPr>
          <w:p w14:paraId="663D3CE9">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r>
              <w:rPr>
                <w:rFonts w:hint="eastAsia" w:ascii="方正黑体_GBK" w:hAnsi="黑体" w:eastAsia="方正黑体_GBK" w:cs="宋体"/>
                <w:color w:val="000000" w:themeColor="text1"/>
                <w:kern w:val="0"/>
                <w:sz w:val="20"/>
                <w:szCs w:val="20"/>
                <w14:textFill>
                  <w14:solidFill>
                    <w14:schemeClr w14:val="tx1"/>
                  </w14:solidFill>
                </w14:textFill>
              </w:rPr>
              <w:t>免责事项</w:t>
            </w:r>
          </w:p>
        </w:tc>
        <w:tc>
          <w:tcPr>
            <w:tcW w:w="381" w:type="dxa"/>
            <w:vMerge w:val="continue"/>
            <w:vAlign w:val="center"/>
          </w:tcPr>
          <w:p w14:paraId="5CF5CFE7">
            <w:pPr>
              <w:adjustRightInd w:val="0"/>
              <w:snapToGrid w:val="0"/>
              <w:spacing w:line="300" w:lineRule="exact"/>
              <w:jc w:val="center"/>
              <w:rPr>
                <w:rFonts w:ascii="方正黑体_GBK" w:hAnsi="黑体" w:eastAsia="方正黑体_GBK" w:cs="宋体"/>
                <w:color w:val="000000" w:themeColor="text1"/>
                <w:kern w:val="0"/>
                <w:sz w:val="20"/>
                <w:szCs w:val="20"/>
                <w14:textFill>
                  <w14:solidFill>
                    <w14:schemeClr w14:val="tx1"/>
                  </w14:solidFill>
                </w14:textFill>
              </w:rPr>
            </w:pPr>
          </w:p>
        </w:tc>
      </w:tr>
      <w:tr w14:paraId="09AE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14:paraId="1DBF7E6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1</w:t>
            </w:r>
          </w:p>
        </w:tc>
        <w:tc>
          <w:tcPr>
            <w:tcW w:w="308" w:type="dxa"/>
            <w:vAlign w:val="center"/>
          </w:tcPr>
          <w:p w14:paraId="3C8FCD9C">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行政处罚</w:t>
            </w:r>
          </w:p>
        </w:tc>
        <w:tc>
          <w:tcPr>
            <w:tcW w:w="992" w:type="dxa"/>
            <w:vAlign w:val="center"/>
          </w:tcPr>
          <w:p w14:paraId="2569DA95">
            <w:pPr>
              <w:adjustRightInd w:val="0"/>
              <w:snapToGrid w:val="0"/>
              <w:spacing w:line="300" w:lineRule="exact"/>
              <w:jc w:val="both"/>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对接收安置退役士兵的单位拒绝、无故拖延安置工作任务，或者未依法与退役士兵签订劳动合同、聘用合同，与残疾退役士兵解除劳动关系或人事关系的处罚</w:t>
            </w:r>
          </w:p>
        </w:tc>
        <w:tc>
          <w:tcPr>
            <w:tcW w:w="495" w:type="dxa"/>
            <w:vAlign w:val="center"/>
          </w:tcPr>
          <w:p w14:paraId="4B011584">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7761B75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2F380F2C">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6433A34">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1.【法律】《中华人民共和国退役军人保障法》第七十七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违反本法规定，拒绝或者无故拖延执行退役军人安置任务的，由安置地人民政府退役军人工作主管部门责令限期改正；逾期不改正的，予以通报批评。对该单位主要负责人和直接责任人员，由有关部门依法给予处分。</w:t>
            </w:r>
          </w:p>
          <w:p w14:paraId="04BCDA1A">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2.【行政法规】《退役士兵安置条例》（2011年国务院、中央军事委员会令第608号）第五十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接收安置退役士兵的单位</w:t>
            </w:r>
            <w:bookmarkStart w:id="0" w:name="_GoBack"/>
            <w:bookmarkEnd w:id="0"/>
            <w:r>
              <w:rPr>
                <w:rFonts w:hint="eastAsia" w:ascii="Times New Roman" w:hAnsi="Times New Roman" w:eastAsia="仿宋_GB2312"/>
                <w:color w:val="000000" w:themeColor="text1"/>
                <w:kern w:val="0"/>
                <w:sz w:val="20"/>
                <w:szCs w:val="20"/>
                <w14:textFill>
                  <w14:solidFill>
                    <w14:schemeClr w14:val="tx1"/>
                  </w14:solidFill>
                </w14:textFill>
              </w:rPr>
              <w:t>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14:paraId="1A7CECB5">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（一）拒绝或者无故拖延执行人民政府下达的安排退役士兵工作任务的；</w:t>
            </w:r>
          </w:p>
          <w:p w14:paraId="4B9DB815">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（二）未依法与退役士兵签订劳动合同、聘用合同的；</w:t>
            </w:r>
          </w:p>
          <w:p w14:paraId="60E92B0B">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（三）与残疾退役士兵解除劳动关系或者人事关系的。</w:t>
            </w:r>
          </w:p>
          <w:p w14:paraId="070D5E8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3.【地方政府规章】《广西壮族自治区退役士兵安置办法》（2018年广西壮族自治区人民政府令第122号）第三十九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接收安置退役士兵的单位违反本办法规定，有下列情形之一的，由安置地退役士兵安置工作主管部门责令限期改正；逾期不改的，对国家机关、社会团体、事业单位主要负责人和直接责任人依法予以处理。对企业按照国家规定处以罚款，并对该企业及其主要负责人予以通报批评：</w:t>
            </w:r>
          </w:p>
          <w:p w14:paraId="287E582E">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（一）拒绝或者无故拖延执行人民政府下达的安排退役士兵工作任务；</w:t>
            </w:r>
          </w:p>
          <w:p w14:paraId="47DAE1E7">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（二）未依法与退役士兵签订劳动合同或者聘用合同；</w:t>
            </w:r>
          </w:p>
          <w:p w14:paraId="6C94DE62">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（三）以劳务派遣等形式接收安置退役士兵。</w:t>
            </w:r>
          </w:p>
        </w:tc>
        <w:tc>
          <w:tcPr>
            <w:tcW w:w="1618" w:type="dxa"/>
            <w:vAlign w:val="center"/>
          </w:tcPr>
          <w:p w14:paraId="39A530F1">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1.立案责任：通过举报、巡查（或者当地人民政府退役士兵安置工作主管部门反映），发现拒绝接收、安置退役士兵的，予以审查，决定是否立案。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A67E09D">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2.调查取证责任：当地人民政府退役士兵安置工作主管部门指定专人负责，及时组织调查取证，通过</w:t>
            </w:r>
            <w:r>
              <w:rPr>
                <w:rFonts w:hint="eastAsia" w:eastAsia="仿宋_GB2312"/>
                <w:color w:val="000000" w:themeColor="text1"/>
                <w:kern w:val="0"/>
                <w:sz w:val="20"/>
                <w:szCs w:val="20"/>
                <w:lang w:eastAsia="zh-CN"/>
                <w14:textFill>
                  <w14:solidFill>
                    <w14:schemeClr w14:val="tx1"/>
                  </w14:solidFill>
                </w14:textFill>
              </w:rPr>
              <w:t>收集证据</w:t>
            </w:r>
            <w:r>
              <w:rPr>
                <w:rFonts w:hint="eastAsia" w:ascii="Times New Roman" w:hAnsi="Times New Roman" w:eastAsia="仿宋_GB2312"/>
                <w:color w:val="000000" w:themeColor="text1"/>
                <w:kern w:val="0"/>
                <w:sz w:val="20"/>
                <w:szCs w:val="20"/>
                <w14:textFill>
                  <w14:solidFill>
                    <w14:schemeClr w14:val="tx1"/>
                  </w14:solidFill>
                </w14:textFill>
              </w:rPr>
              <w:t>、现场了解核实情况等进行调查，并制作笔录。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8FFC37D">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C0EDDE1">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4.告知责任：作出行政处罚决定前，应制作《行政处罚告知书》送达当事人，告知违法事实及其享有的陈述、申辩等权利。符合听证规定的，制作并送达《行政处罚听证告知书》。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2087AF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5.决定责任：作出处罚决定，制作行政处罚决定书，载明行政处罚告知当事人陈述申辩或者听证情况等内容。</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0B81339">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6.送达责任：行政处罚决定书应当在宣告后当场交付当事人；当事人不在场的，行政机关应当在七日内依照民事诉讼法的有关规定，将行政处罚决定书送达当事人。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C9A8496">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7.执行责任：依照生效的行政处罚决定，自觉履行或强制执行。</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F134019">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8.监管责任：对机关、团体、企事业单位接收安置退役士兵的监督检查。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946312F">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1EE5EE11">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《广西壮族自治区行政执法程序规定》（1997年广西壮族自治区人民政府令第13号）第二十八条</w:t>
            </w:r>
            <w:r>
              <w:rPr>
                <w:rFonts w:hint="eastAsia" w:ascii="Times New Roman" w:hAnsi="Times New Roman" w:eastAsia="仿宋_GB2312"/>
                <w:color w:val="000000" w:themeColor="text1"/>
                <w:kern w:val="0"/>
                <w:sz w:val="20"/>
                <w:szCs w:val="20"/>
                <w14:textFill>
                  <w14:solidFill>
                    <w14:schemeClr w14:val="tx1"/>
                  </w14:solidFill>
                </w14:textFill>
              </w:rPr>
              <w:t>第一、二款  行政执法机关对违法事项经过审查，认为有违法事实，依法需要给予行政处罚的，应当登记立案。两个以上行政执法机关联合办理的违法案件，由主办机关立案，立案报告应经联合办理机关会签。</w:t>
            </w:r>
          </w:p>
          <w:p w14:paraId="174D1348">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《广西壮族自治区行政执法程序规定》（1997年广西壮族自治区人民政府令第13号）第二十九条</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w:t>
            </w:r>
            <w:r>
              <w:rPr>
                <w:rFonts w:hint="eastAsia" w:ascii="Times New Roman" w:hAnsi="Times New Roman" w:eastAsia="仿宋_GB2312"/>
                <w:color w:val="000000" w:themeColor="text1"/>
                <w:spacing w:val="-4"/>
                <w:kern w:val="0"/>
                <w:sz w:val="20"/>
                <w:szCs w:val="20"/>
                <w14:textFill>
                  <w14:solidFill>
                    <w14:schemeClr w14:val="tx1"/>
                  </w14:solidFill>
                </w14:textFill>
              </w:rPr>
              <w:t>行政执法机关对已经立案的案件应及时组织调查取证。行政执法机关调查、收集证据，应遵循合法、客观、全面、及时的原则，证据必须经过查证核实。</w:t>
            </w:r>
          </w:p>
          <w:p w14:paraId="0C4CDB93">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39D9AC42">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第三十一条第三款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在证据可能灭失或者以后难以取得的情况下，行政执法机关经</w:t>
            </w:r>
            <w:r>
              <w:rPr>
                <w:rFonts w:hint="eastAsia" w:ascii="Times New Roman" w:hAnsi="Times New Roman" w:eastAsia="仿宋_GB2312"/>
                <w:color w:val="000000" w:themeColor="text1"/>
                <w:spacing w:val="-4"/>
                <w:kern w:val="0"/>
                <w:sz w:val="20"/>
                <w:szCs w:val="20"/>
                <w14:textFill>
                  <w14:solidFill>
                    <w14:schemeClr w14:val="tx1"/>
                  </w14:solidFill>
                </w14:textFill>
              </w:rPr>
              <w:t>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44E78D5B">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41C01215">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行政执法机关对相对人的陈述和申辩应当制作笔录，对相对人提出的事实、理由或者证据应当进行审核。相对人所提出的事实、理由或者提供的证据成立的，行政执法机关应当采纳。</w:t>
            </w:r>
          </w:p>
          <w:p w14:paraId="3616FF30">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《广西壮族自治区行政执法程序规定》（1997年广西壮族自治区人民政府令第13号）第三十三条：</w:t>
            </w:r>
            <w:r>
              <w:rPr>
                <w:rFonts w:hint="eastAsia" w:ascii="Times New Roman" w:hAnsi="Times New Roman" w:eastAsia="仿宋_GB2312"/>
                <w:color w:val="000000" w:themeColor="text1"/>
                <w:kern w:val="0"/>
                <w:sz w:val="20"/>
                <w:szCs w:val="20"/>
                <w14:textFill>
                  <w14:solidFill>
                    <w14:schemeClr w14:val="tx1"/>
                  </w14:solidFill>
                </w14:textFill>
              </w:rPr>
              <w:t>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5E7FC23C">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189D202A">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行政执法机关及其行政执法人员在作出处罚决定之前，应当告知相对人作出处罚决定的事实、理由及依据，并告知其依法享有的权利。</w:t>
            </w:r>
          </w:p>
          <w:p w14:paraId="0B18261B">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第四十一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行政执法机关应按本节规定的程序组织听证。但是国务院有关工作部门另有规定的，从其规定。</w:t>
            </w:r>
          </w:p>
          <w:p w14:paraId="495A2FE2">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《广西壮族自治区行政执法程序规定》（1997年广西壮族自治区人民政府令第13号）第三十七条：</w:t>
            </w:r>
            <w:r>
              <w:rPr>
                <w:rFonts w:hint="eastAsia" w:ascii="Times New Roman" w:hAnsi="Times New Roman" w:eastAsia="仿宋_GB2312"/>
                <w:color w:val="000000" w:themeColor="text1"/>
                <w:kern w:val="0"/>
                <w:sz w:val="20"/>
                <w:szCs w:val="20"/>
                <w14:textFill>
                  <w14:solidFill>
                    <w14:schemeClr w14:val="tx1"/>
                  </w14:solidFill>
                </w14:textFill>
              </w:rPr>
              <w:t>行政执法机关处理违法案件应在立案之日起六十日内作出处</w:t>
            </w:r>
            <w:r>
              <w:rPr>
                <w:rFonts w:hint="eastAsia" w:ascii="Times New Roman" w:hAnsi="Times New Roman" w:eastAsia="仿宋_GB2312"/>
                <w:color w:val="000000" w:themeColor="text1"/>
                <w:spacing w:val="-2"/>
                <w:kern w:val="0"/>
                <w:sz w:val="20"/>
                <w:szCs w:val="20"/>
                <w14:textFill>
                  <w14:solidFill>
                    <w14:schemeClr w14:val="tx1"/>
                  </w14:solidFill>
                </w14:textFill>
              </w:rPr>
              <w:t>理决定。重大、复杂的案件，经本机关负责人批准，可以延长三十日，需要继续延长的，报上一级行政主管机关批准。自治区人民政府所属行政执法机关，报自治区人民政府批准。</w:t>
            </w:r>
          </w:p>
          <w:p w14:paraId="3EE21504">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70BDEACA">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《广西壮族自治区行政执法程序规定》（1997年广西壮族自治区人民政府令第13号）第五十六条：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133D6D56">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292F933D">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《广西壮族自治区行政执法程序规定》（1997年广西壮族自治区人民政府令第13号）第五十九条：</w:t>
            </w:r>
            <w:r>
              <w:rPr>
                <w:rFonts w:hint="eastAsia" w:ascii="Times New Roman" w:hAnsi="Times New Roman" w:eastAsia="仿宋_GB2312"/>
                <w:color w:val="000000" w:themeColor="text1"/>
                <w:kern w:val="0"/>
                <w:sz w:val="20"/>
                <w:szCs w:val="20"/>
                <w14:textFill>
                  <w14:solidFill>
                    <w14:schemeClr w14:val="tx1"/>
                  </w14:solidFill>
                </w14:textFill>
              </w:rPr>
              <w:t>行政处理决定书送达时生效。生效的行政处理决定书必须执行。相对人对行政处理决定不服申请行政复议或者提起行政诉讼的，行政处理决定不停止执行，但法律、法规另有规定的除外。</w:t>
            </w:r>
          </w:p>
          <w:p w14:paraId="5E6F94CA">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第六十</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4"/>
                <w:kern w:val="0"/>
                <w:sz w:val="20"/>
                <w:szCs w:val="20"/>
                <w14:textFill>
                  <w14:solidFill>
                    <w14:schemeClr w14:val="tx1"/>
                  </w14:solidFill>
                </w14:textFill>
              </w:rPr>
              <w:t>行政处理决定涉及罚款的，除本规定第六十一条规定的由行政执法人员当场收缴外，相对人应当自收到行政处理决定书之日起十五日内，到指定的金融机构缴纳罚款。</w:t>
            </w:r>
          </w:p>
          <w:p w14:paraId="42399D55">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相对人逾期不缴纳罚款的，由作出罚款决定的行政执法机关每日按罚款数额的百分之三加处罚款，并依法强制执行或申请人民法院强制执行。执行费用由相</w:t>
            </w:r>
            <w:r>
              <w:rPr>
                <w:rFonts w:hint="eastAsia" w:ascii="Times New Roman" w:hAnsi="Times New Roman" w:eastAsia="仿宋_GB2312"/>
                <w:color w:val="000000" w:themeColor="text1"/>
                <w:spacing w:val="-2"/>
                <w:kern w:val="0"/>
                <w:sz w:val="20"/>
                <w:szCs w:val="20"/>
                <w14:textFill>
                  <w14:solidFill>
                    <w14:schemeClr w14:val="tx1"/>
                  </w14:solidFill>
                </w14:textFill>
              </w:rPr>
              <w:t>对人承担。第六十五</w:t>
            </w:r>
            <w:r>
              <w:rPr>
                <w:rFonts w:hint="eastAsia" w:ascii="Times New Roman" w:hAnsi="Times New Roman" w:eastAsia="仿宋_GB2312"/>
                <w:color w:val="000000" w:themeColor="text1"/>
                <w:spacing w:val="-2"/>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2"/>
                <w:kern w:val="0"/>
                <w:sz w:val="20"/>
                <w:szCs w:val="20"/>
                <w14:textFill>
                  <w14:solidFill>
                    <w14:schemeClr w14:val="tx1"/>
                  </w14:solidFill>
                </w14:textFill>
              </w:rPr>
              <w:t>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38F03D49">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8.【法律】</w:t>
            </w:r>
            <w:r>
              <w:rPr>
                <w:rFonts w:hint="eastAsia" w:ascii="Times New Roman" w:hAnsi="Times New Roman" w:eastAsia="仿宋_GB2312"/>
                <w:color w:val="000000" w:themeColor="text1"/>
                <w:kern w:val="0"/>
                <w:sz w:val="20"/>
                <w:szCs w:val="20"/>
                <w:lang w:eastAsia="zh-CN"/>
                <w14:textFill>
                  <w14:solidFill>
                    <w14:schemeClr w14:val="tx1"/>
                  </w14:solidFill>
                </w14:textFill>
              </w:rPr>
              <w:t>《中华人民共和国行政处罚法》</w:t>
            </w:r>
            <w:r>
              <w:rPr>
                <w:rFonts w:hint="eastAsia" w:ascii="Times New Roman" w:hAnsi="Times New Roman" w:eastAsia="仿宋_GB2312"/>
                <w:color w:val="000000" w:themeColor="text1"/>
                <w:kern w:val="0"/>
                <w:sz w:val="20"/>
                <w:szCs w:val="20"/>
                <w14:textFill>
                  <w14:solidFill>
                    <w14:schemeClr w14:val="tx1"/>
                  </w14:solidFill>
                </w14:textFill>
              </w:rPr>
              <w:t>第七十五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3B96D749">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9.【法律】《中华人民共和国退役军人保障法》第七十七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违反本法规定，拒绝或者无故拖延执行退役军人安置任务的，由安置地人民政府退役军人工作主管部门责令限期改正；逾期不改正的，予以通报批评。对该单位主要负责人和直接责任人员，由有关部门依法给予处分。</w:t>
            </w:r>
          </w:p>
          <w:p w14:paraId="2900BC18">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p>
        </w:tc>
        <w:tc>
          <w:tcPr>
            <w:tcW w:w="1800" w:type="dxa"/>
            <w:vAlign w:val="center"/>
          </w:tcPr>
          <w:p w14:paraId="518FBDD9">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因不履行或不正确履行行政职责，有下列情形的，主管部门及其工作人员应承担相应责任</w:t>
            </w:r>
          </w:p>
          <w:p w14:paraId="1B3750D4">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1.对应当予以制止和处罚的违法行为不予制止、处罚，致使公民、法人或者其他组织的合法权益、公共利益和社会秩序遭受损害的。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2A710F0">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2.没有法律或者事实依据实施行政处罚的。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CB5BB5F">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3.未按法定程序实施行政处罚的。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76FBA6A">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4.指派不具备法定行政执法资格的人员实施行政处罚的。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FF306D2">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5.擅自设立处罚种类或者改变处罚幅度、范围；或违反“罚缴分离”规定，擅自收取罚款的。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6BDAB49">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6.对当事人进行罚款、没收财物等行政处罚不使用法定单据的。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7CD15E1">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7.依法应当移送司法机关处理而不移送的。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C3975BF">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8.未严格遵守办案纪律，接受当事人吃请和收受好处的。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F3FC741">
            <w:pPr>
              <w:keepNext w:val="0"/>
              <w:keepLines w:val="0"/>
              <w:pageBreakBefore w:val="0"/>
              <w:widowControl/>
              <w:kinsoku/>
              <w:wordWrap/>
              <w:overflowPunct/>
              <w:topLinePunct w:val="0"/>
              <w:autoSpaceDE/>
              <w:autoSpaceDN/>
              <w:bidi w:val="0"/>
              <w:adjustRightInd w:val="0"/>
              <w:snapToGrid w:val="0"/>
              <w:spacing w:line="250" w:lineRule="exact"/>
              <w:ind w:firstLine="384"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9.其他违反法律法规政策规定的行为。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6AF93B6C">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                                                                                                                         </w:t>
            </w:r>
            <w:r>
              <w:rPr>
                <w:rFonts w:hint="eastAsia" w:eastAsia="仿宋_GB2312"/>
                <w:color w:val="000000" w:themeColor="text1"/>
                <w:kern w:val="0"/>
                <w:sz w:val="20"/>
                <w:szCs w:val="20"/>
                <w:lang w:val="en-US" w:eastAsia="zh-CN"/>
                <w14:textFill>
                  <w14:solidFill>
                    <w14:schemeClr w14:val="tx1"/>
                  </w14:solidFill>
                </w14:textFill>
              </w:rPr>
              <w:t xml:space="preserve"> </w:t>
            </w:r>
          </w:p>
          <w:p w14:paraId="40E1A387">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107322A0">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6A572B0E">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7860F4E8">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337166FD">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25313B5E">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419D106A">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3F0540D6">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0E04F5AC">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4.同2.</w:t>
            </w:r>
          </w:p>
          <w:p w14:paraId="4B1BB4A6">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5.同2.</w:t>
            </w:r>
          </w:p>
          <w:p w14:paraId="31547509">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七十七</w:t>
            </w:r>
            <w:r>
              <w:rPr>
                <w:rFonts w:hint="eastAsia" w:ascii="Times New Roman" w:hAnsi="Times New Roman" w:eastAsia="仿宋_GB2312"/>
                <w:color w:val="000000" w:themeColor="text1"/>
                <w:kern w:val="0"/>
                <w:sz w:val="20"/>
                <w:szCs w:val="20"/>
                <w14:textFill>
                  <w14:solidFill>
                    <w14:schemeClr w14:val="tx1"/>
                  </w14:solidFill>
                </w14:textFill>
              </w:rPr>
              <w:t xml:space="preserve">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158C33BF">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八十二</w:t>
            </w:r>
            <w:r>
              <w:rPr>
                <w:rFonts w:hint="eastAsia" w:ascii="Times New Roman" w:hAnsi="Times New Roman" w:eastAsia="仿宋_GB2312"/>
                <w:color w:val="000000" w:themeColor="text1"/>
                <w:kern w:val="0"/>
                <w:sz w:val="20"/>
                <w:szCs w:val="20"/>
                <w14:textFill>
                  <w14:solidFill>
                    <w14:schemeClr w14:val="tx1"/>
                  </w14:solidFill>
                </w14:textFill>
              </w:rPr>
              <w:t>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0E9B4B1">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38273C4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D2978FB">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70D7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51684AA5">
            <w:pPr>
              <w:adjustRightInd w:val="0"/>
              <w:snapToGrid w:val="0"/>
              <w:spacing w:line="300" w:lineRule="exact"/>
              <w:jc w:val="center"/>
              <w:rPr>
                <w:rFonts w:hint="eastAsia"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2</w:t>
            </w:r>
          </w:p>
        </w:tc>
        <w:tc>
          <w:tcPr>
            <w:tcW w:w="308" w:type="dxa"/>
            <w:vAlign w:val="center"/>
          </w:tcPr>
          <w:p w14:paraId="7098E9A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行政处罚</w:t>
            </w:r>
          </w:p>
        </w:tc>
        <w:tc>
          <w:tcPr>
            <w:tcW w:w="992" w:type="dxa"/>
            <w:vAlign w:val="center"/>
          </w:tcPr>
          <w:p w14:paraId="74E5C02D">
            <w:pPr>
              <w:adjustRightInd w:val="0"/>
              <w:snapToGrid w:val="0"/>
              <w:spacing w:line="300" w:lineRule="exact"/>
              <w:jc w:val="both"/>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对负有烈士遗属优待义务的单位不履行优待义务的处罚</w:t>
            </w:r>
          </w:p>
        </w:tc>
        <w:tc>
          <w:tcPr>
            <w:tcW w:w="495" w:type="dxa"/>
            <w:vAlign w:val="center"/>
          </w:tcPr>
          <w:p w14:paraId="1174BA9F">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52399863">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5A923C2D">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F09888B">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【行政法规】《烈士</w:t>
            </w:r>
            <w:r>
              <w:rPr>
                <w:rFonts w:hint="eastAsia" w:ascii="Times New Roman" w:hAnsi="Times New Roman" w:eastAsia="仿宋_GB2312"/>
                <w:color w:val="000000" w:themeColor="text1"/>
                <w:kern w:val="0"/>
                <w:sz w:val="20"/>
                <w:szCs w:val="20"/>
                <w14:textFill>
                  <w14:solidFill>
                    <w14:schemeClr w14:val="tx1"/>
                  </w14:solidFill>
                </w14:textFill>
              </w:rPr>
              <w:t>褒扬条例</w:t>
            </w:r>
            <w:r>
              <w:rPr>
                <w:rFonts w:hint="eastAsia" w:ascii="Times New Roman" w:hAnsi="Times New Roman" w:eastAsia="仿宋_GB2312" w:cs="宋体"/>
                <w:color w:val="000000" w:themeColor="text1"/>
                <w:kern w:val="0"/>
                <w:sz w:val="20"/>
                <w:szCs w:val="20"/>
                <w14:textFill>
                  <w14:solidFill>
                    <w14:schemeClr w14:val="tx1"/>
                  </w14:solidFill>
                </w14:textFill>
              </w:rPr>
              <w:t>》（2011</w:t>
            </w:r>
            <w:r>
              <w:rPr>
                <w:rFonts w:hint="eastAsia" w:ascii="Times New Roman" w:hAnsi="Times New Roman" w:eastAsia="仿宋_GB2312"/>
                <w:color w:val="000000" w:themeColor="text1"/>
                <w:kern w:val="0"/>
                <w:sz w:val="20"/>
                <w:szCs w:val="20"/>
                <w14:textFill>
                  <w14:solidFill>
                    <w14:schemeClr w14:val="tx1"/>
                  </w14:solidFill>
                </w14:textFill>
              </w:rPr>
              <w:t>年国务</w:t>
            </w:r>
            <w:r>
              <w:rPr>
                <w:rFonts w:hint="eastAsia" w:ascii="Times New Roman" w:hAnsi="Times New Roman" w:eastAsia="仿宋_GB2312" w:cs="宋体"/>
                <w:color w:val="000000" w:themeColor="text1"/>
                <w:kern w:val="0"/>
                <w:sz w:val="20"/>
                <w:szCs w:val="20"/>
                <w14:textFill>
                  <w14:solidFill>
                    <w14:schemeClr w14:val="tx1"/>
                  </w14:solidFill>
                </w14:textFill>
              </w:rPr>
              <w:t>院令第6</w:t>
            </w:r>
            <w:r>
              <w:rPr>
                <w:rFonts w:hint="eastAsia" w:ascii="Times New Roman" w:hAnsi="Times New Roman" w:eastAsia="仿宋_GB2312"/>
                <w:color w:val="000000" w:themeColor="text1"/>
                <w:kern w:val="0"/>
                <w:sz w:val="20"/>
                <w:szCs w:val="20"/>
                <w14:textFill>
                  <w14:solidFill>
                    <w14:schemeClr w14:val="tx1"/>
                  </w14:solidFill>
                </w14:textFill>
              </w:rPr>
              <w:t>01号公</w:t>
            </w:r>
            <w:r>
              <w:rPr>
                <w:rFonts w:hint="eastAsia" w:ascii="Times New Roman" w:hAnsi="Times New Roman" w:eastAsia="仿宋_GB2312" w:cs="宋体"/>
                <w:color w:val="000000" w:themeColor="text1"/>
                <w:kern w:val="0"/>
                <w:sz w:val="20"/>
                <w:szCs w:val="20"/>
                <w14:textFill>
                  <w14:solidFill>
                    <w14:schemeClr w14:val="tx1"/>
                  </w14:solidFill>
                </w14:textFill>
              </w:rPr>
              <w:t>布，2019</w:t>
            </w:r>
            <w:r>
              <w:rPr>
                <w:rFonts w:hint="eastAsia" w:ascii="Times New Roman" w:hAnsi="Times New Roman" w:eastAsia="仿宋_GB2312"/>
                <w:color w:val="000000" w:themeColor="text1"/>
                <w:kern w:val="0"/>
                <w:sz w:val="20"/>
                <w:szCs w:val="20"/>
                <w14:textFill>
                  <w14:solidFill>
                    <w14:schemeClr w14:val="tx1"/>
                  </w14:solidFill>
                </w14:textFill>
              </w:rPr>
              <w:t>年国务</w:t>
            </w:r>
            <w:r>
              <w:rPr>
                <w:rFonts w:hint="eastAsia" w:ascii="Times New Roman" w:hAnsi="Times New Roman" w:eastAsia="仿宋_GB2312" w:cs="宋体"/>
                <w:color w:val="000000" w:themeColor="text1"/>
                <w:kern w:val="0"/>
                <w:sz w:val="20"/>
                <w:szCs w:val="20"/>
                <w14:textFill>
                  <w14:solidFill>
                    <w14:schemeClr w14:val="tx1"/>
                  </w14:solidFill>
                </w14:textFill>
              </w:rPr>
              <w:t>院令第718号修订）第三十八</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负有烈士遗属优待义务的单位不履行优待义务的，由县级人民政府退役军人事务部门责令限期改正；逾期</w:t>
            </w:r>
            <w:r>
              <w:rPr>
                <w:rFonts w:hint="eastAsia" w:ascii="Times New Roman" w:hAnsi="Times New Roman" w:eastAsia="仿宋_GB2312"/>
                <w:color w:val="000000" w:themeColor="text1"/>
                <w:kern w:val="0"/>
                <w:sz w:val="20"/>
                <w:szCs w:val="20"/>
                <w14:textFill>
                  <w14:solidFill>
                    <w14:schemeClr w14:val="tx1"/>
                  </w14:solidFill>
                </w14:textFill>
              </w:rPr>
              <w:t>不改正的</w:t>
            </w:r>
            <w:r>
              <w:rPr>
                <w:rFonts w:hint="eastAsia" w:ascii="Times New Roman" w:hAnsi="Times New Roman" w:eastAsia="仿宋_GB2312" w:cs="宋体"/>
                <w:color w:val="000000" w:themeColor="text1"/>
                <w:kern w:val="0"/>
                <w:sz w:val="20"/>
                <w:szCs w:val="20"/>
                <w14:textFill>
                  <w14:solidFill>
                    <w14:schemeClr w14:val="tx1"/>
                  </w14:solidFill>
                </w14:textFill>
              </w:rPr>
              <w:t>，处2</w:t>
            </w:r>
            <w:r>
              <w:rPr>
                <w:rFonts w:hint="eastAsia" w:ascii="Times New Roman" w:hAnsi="Times New Roman" w:eastAsia="仿宋_GB2312"/>
                <w:color w:val="000000" w:themeColor="text1"/>
                <w:kern w:val="0"/>
                <w:sz w:val="20"/>
                <w:szCs w:val="20"/>
                <w14:textFill>
                  <w14:solidFill>
                    <w14:schemeClr w14:val="tx1"/>
                  </w14:solidFill>
                </w14:textFill>
              </w:rPr>
              <w:t>0</w:t>
            </w:r>
            <w:r>
              <w:rPr>
                <w:rFonts w:hint="eastAsia" w:ascii="Times New Roman" w:hAnsi="Times New Roman" w:eastAsia="仿宋_GB2312" w:cs="宋体"/>
                <w:color w:val="000000" w:themeColor="text1"/>
                <w:kern w:val="0"/>
                <w:sz w:val="20"/>
                <w:szCs w:val="20"/>
                <w14:textFill>
                  <w14:solidFill>
                    <w14:schemeClr w14:val="tx1"/>
                  </w14:solidFill>
                </w14:textFill>
              </w:rPr>
              <w:t>00元以上1万元以下的罚款；属于国有或者国有控股企业、财政拨款的事业单位的，对直接负责的主管人员和其他直接责任人员依法给予处分。</w:t>
            </w:r>
          </w:p>
        </w:tc>
        <w:tc>
          <w:tcPr>
            <w:tcW w:w="1618" w:type="dxa"/>
            <w:vAlign w:val="center"/>
          </w:tcPr>
          <w:p w14:paraId="59BDA28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1.立案责任：通过举报、巡查（或者当地人民政府退役士兵安置工作主管部门反映），发现拒绝接收、安置退役士兵的，予以审查，决定是否立案。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82B81BA">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2.调查取证责任：当地人民政府退役士兵安置工作主管部门指定专人负责，及时组织调查取证，通过</w:t>
            </w:r>
            <w:r>
              <w:rPr>
                <w:rFonts w:hint="eastAsia" w:eastAsia="仿宋_GB2312"/>
                <w:color w:val="000000" w:themeColor="text1"/>
                <w:kern w:val="0"/>
                <w:sz w:val="20"/>
                <w:szCs w:val="20"/>
                <w:lang w:eastAsia="zh-CN"/>
                <w14:textFill>
                  <w14:solidFill>
                    <w14:schemeClr w14:val="tx1"/>
                  </w14:solidFill>
                </w14:textFill>
              </w:rPr>
              <w:t>收集证据</w:t>
            </w:r>
            <w:r>
              <w:rPr>
                <w:rFonts w:hint="eastAsia" w:ascii="Times New Roman" w:hAnsi="Times New Roman" w:eastAsia="仿宋_GB2312"/>
                <w:color w:val="000000" w:themeColor="text1"/>
                <w:kern w:val="0"/>
                <w:sz w:val="20"/>
                <w:szCs w:val="20"/>
                <w14:textFill>
                  <w14:solidFill>
                    <w14:schemeClr w14:val="tx1"/>
                  </w14:solidFill>
                </w14:textFill>
              </w:rPr>
              <w:t>、现场了解核实情况等进行调查，并制作笔录。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E8F6CD6">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542841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4.告知责任：作出行政处罚决定前，应制作《行政处罚告知书》送达当事人，告知违法事实及其享有的陈述、申辩等权利。符合听证规定的，制作并送达《行政处罚听证告知书》。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88687B8">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5.决定责任：作出处罚决定，制作行政处罚决定书，载明行政处罚告知当事人陈述申辩或者听证情况等内容。</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612A2F4">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6.送达责任：行政处罚决定书应当在宣告后当场交付当事人；当事人不在场的，行政机关应当在七日内依照民事诉讼法的有关规定，将行政处罚决定书送达当事人。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D5409D8">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7.执行责任：依照生效的行政处罚决定，自觉履行或强制执行。</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310A9F7">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8.监管责任：对机关、团体、企事业单位接收安置退役士兵的监督检查。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F4E6D24">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BEF8099">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《广西壮族自治区行政执法程序规定》（1997年广西壮族自治区人民政府令第13号）第二十八条</w:t>
            </w:r>
            <w:r>
              <w:rPr>
                <w:rFonts w:hint="eastAsia" w:ascii="Times New Roman" w:hAnsi="Times New Roman" w:eastAsia="仿宋_GB2312"/>
                <w:color w:val="000000" w:themeColor="text1"/>
                <w:kern w:val="0"/>
                <w:sz w:val="20"/>
                <w:szCs w:val="20"/>
                <w14:textFill>
                  <w14:solidFill>
                    <w14:schemeClr w14:val="tx1"/>
                  </w14:solidFill>
                </w14:textFill>
              </w:rPr>
              <w:t>第一、二款  行政执法机关对违法事项经过审查，认为有违法事实，依法需要给予行政处罚的，应当登记立案。两个以上行政执法机关联合办理的违法案件，由主办机关立案，立案报告应经联合办理机关会签。</w:t>
            </w:r>
          </w:p>
          <w:p w14:paraId="3737AE2E">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《广西壮族自治区行政执法程序规定》（1997年广西壮族自治区人民政府令第13号）第二十九条：</w:t>
            </w:r>
            <w:r>
              <w:rPr>
                <w:rFonts w:hint="eastAsia" w:ascii="Times New Roman" w:hAnsi="Times New Roman" w:eastAsia="仿宋_GB2312"/>
                <w:color w:val="000000" w:themeColor="text1"/>
                <w:kern w:val="0"/>
                <w:sz w:val="20"/>
                <w:szCs w:val="20"/>
                <w14:textFill>
                  <w14:solidFill>
                    <w14:schemeClr w14:val="tx1"/>
                  </w14:solidFill>
                </w14:textFill>
              </w:rPr>
              <w:t>行政执法机关对已经立案的案件应及时组织调查取证。行政执法机关调查、收集证据，应遵循合法、客观、全面、及时的原则，证据必须经过查证核实。第三十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1527D12D">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第三十一条第三款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7DFCDC33">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46FC0E8D">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行政执法机关对相对人的陈述和申辩应当制作笔录，对相对人提出的事实、理由或者证据应当进行审核。相对人所提出的事实、理由或者提供的证据成立的，行政执法机关应当采纳。</w:t>
            </w:r>
          </w:p>
          <w:p w14:paraId="7DDC775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《广西壮族自治区行政执法程序规定》（1997年广西壮族自治区人民政府令第13号）第三十三条：</w:t>
            </w:r>
            <w:r>
              <w:rPr>
                <w:rFonts w:hint="eastAsia" w:ascii="Times New Roman" w:hAnsi="Times New Roman" w:eastAsia="仿宋_GB2312"/>
                <w:color w:val="000000" w:themeColor="text1"/>
                <w:kern w:val="0"/>
                <w:sz w:val="20"/>
                <w:szCs w:val="20"/>
                <w14:textFill>
                  <w14:solidFill>
                    <w14:schemeClr w14:val="tx1"/>
                  </w14:solidFill>
                </w14:textFill>
              </w:rPr>
              <w:t>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1B5EE37F">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5D5EE01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行政执法机关及其行政执法人员在作出处罚决定之前，应当告知相对人作出处罚决定的事实、理由及依据，并告知其依法享有的权利。</w:t>
            </w:r>
          </w:p>
          <w:p w14:paraId="34E6F324">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第四十一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行政执法机关应按本节规定的程序组织听证。但是国务院有关工作部门另有规定的，从其规定。</w:t>
            </w:r>
          </w:p>
          <w:p w14:paraId="075EBE9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《广西壮族自治区行政执法程序规定》（1997年广西壮族自治区人民政府令第13号）第三十七条：</w:t>
            </w:r>
            <w:r>
              <w:rPr>
                <w:rFonts w:hint="eastAsia" w:ascii="Times New Roman" w:hAnsi="Times New Roman" w:eastAsia="仿宋_GB2312"/>
                <w:color w:val="000000" w:themeColor="text1"/>
                <w:kern w:val="0"/>
                <w:sz w:val="20"/>
                <w:szCs w:val="20"/>
                <w14:textFill>
                  <w14:solidFill>
                    <w14:schemeClr w14:val="tx1"/>
                  </w14:solidFill>
                </w14:textFill>
              </w:rPr>
              <w:t>行政执法机关处理违法案件应在立案之日起六十日内作出处</w:t>
            </w:r>
            <w:r>
              <w:rPr>
                <w:rFonts w:hint="eastAsia" w:ascii="Times New Roman" w:hAnsi="Times New Roman" w:eastAsia="仿宋_GB2312"/>
                <w:color w:val="000000" w:themeColor="text1"/>
                <w:spacing w:val="-4"/>
                <w:kern w:val="0"/>
                <w:sz w:val="20"/>
                <w:szCs w:val="20"/>
                <w14:textFill>
                  <w14:solidFill>
                    <w14:schemeClr w14:val="tx1"/>
                  </w14:solidFill>
                </w14:textFill>
              </w:rPr>
              <w:t>理决定。重大、复杂的案件，经本机关负责人批准，可以延长三十日，需要继续延长的，报上一级行政主管机关批准。自治区人民政府所属行政执法机关，报自治区人民政府批准。</w:t>
            </w:r>
          </w:p>
          <w:p w14:paraId="5B7B8491">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43AA385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《广西壮族自治区行政执法程序规定》（1997年广西壮族自治区人民政府令第13号）第五十六条：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77C9D64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3DD75CE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《广西壮族自治区行政执法程序规定》（1997年广西壮族自治区人民政府令第13号）第五十九条：</w:t>
            </w:r>
            <w:r>
              <w:rPr>
                <w:rFonts w:hint="eastAsia" w:ascii="Times New Roman" w:hAnsi="Times New Roman" w:eastAsia="仿宋_GB2312"/>
                <w:color w:val="000000" w:themeColor="text1"/>
                <w:kern w:val="0"/>
                <w:sz w:val="20"/>
                <w:szCs w:val="20"/>
                <w14:textFill>
                  <w14:solidFill>
                    <w14:schemeClr w14:val="tx1"/>
                  </w14:solidFill>
                </w14:textFill>
              </w:rPr>
              <w:t>行政处理决定书送达时生效。生效的行政处理决定书必须执行。相对人对行政处理决定不服申请行政复议或者提起行政诉讼的，行政处理决定不停止执行，但法律、法规另有规定的除外。</w:t>
            </w:r>
          </w:p>
          <w:p w14:paraId="2A66EB53">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行政处理决定涉及罚款的，除本规定第六十一条规定的由行政执法人员当场收缴外，相对人应当自收到行政处理决定书之日起十五日内，到指定的金融机构缴纳罚款。</w:t>
            </w:r>
          </w:p>
          <w:p w14:paraId="3D462B55">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相对人逾期不缴纳罚款的，由作出罚款决定的行政执法机关每日按罚款数额的百分之三加处罚款，并依法强制执行或申请人民法院强制执行。执行费用由相对人承担。</w:t>
            </w:r>
          </w:p>
          <w:p w14:paraId="546B2363">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40F6DC26">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8.【法律】</w:t>
            </w:r>
            <w:r>
              <w:rPr>
                <w:rFonts w:hint="eastAsia" w:ascii="Times New Roman" w:hAnsi="Times New Roman" w:eastAsia="仿宋_GB2312"/>
                <w:color w:val="000000" w:themeColor="text1"/>
                <w:kern w:val="0"/>
                <w:sz w:val="20"/>
                <w:szCs w:val="20"/>
                <w:lang w:eastAsia="zh-CN"/>
                <w14:textFill>
                  <w14:solidFill>
                    <w14:schemeClr w14:val="tx1"/>
                  </w14:solidFill>
                </w14:textFill>
              </w:rPr>
              <w:t>《中华人民共和国行政处罚法》</w:t>
            </w:r>
            <w:r>
              <w:rPr>
                <w:rFonts w:hint="eastAsia" w:ascii="Times New Roman" w:hAnsi="Times New Roman" w:eastAsia="仿宋_GB2312"/>
                <w:color w:val="000000" w:themeColor="text1"/>
                <w:kern w:val="0"/>
                <w:sz w:val="20"/>
                <w:szCs w:val="20"/>
                <w14:textFill>
                  <w14:solidFill>
                    <w14:schemeClr w14:val="tx1"/>
                  </w14:solidFill>
                </w14:textFill>
              </w:rPr>
              <w:t>第七十五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7E9702D9">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9.【法律】《中华人民共和国退役军人保障法》第七十七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违反本法规定，拒绝或者无故拖延执行退役军人安置任务的，由安置地人民政府退役军人工作主管部门责令限期改正；逾期不改正的，予以通报批评。对该单位主要负责人和直接责任人员，由有关部门依法给予处分。</w:t>
            </w:r>
          </w:p>
        </w:tc>
        <w:tc>
          <w:tcPr>
            <w:tcW w:w="1800" w:type="dxa"/>
            <w:vAlign w:val="center"/>
          </w:tcPr>
          <w:p w14:paraId="57AB2EB5">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因不履行或不正确履行行政职责，出现以下情形的，行政机关及相关工作人员应承担相应责任：</w:t>
            </w:r>
          </w:p>
          <w:p w14:paraId="521D87EB">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1.没有法律和事实依据实施行政处罚的；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13AF6B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2.执法人员玩忽职守，致使公民合法权益受到伤害的；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E13EECE">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3.对应当没收非法财产而没有没收或者将没收的非法财产截留、私分或者变相私分的；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D4AD01F">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4.在行政处罚过程中发生腐败行为的；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7661B8F">
            <w:pPr>
              <w:widowControl/>
              <w:adjustRightInd w:val="0"/>
              <w:snapToGrid w:val="0"/>
              <w:spacing w:line="26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31760F7">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一）没有法定的行政处罚依据的；（二）擅自改变行政处罚种类、幅度的；</w:t>
            </w:r>
          </w:p>
          <w:p w14:paraId="01B15D37">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（三）违反法定的行政处罚程序的；（四）违反本法第二十条关于委托处罚的规定的；（五）执法人员未取得执法证件的。</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265AFDCD">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                                                                              </w:t>
            </w:r>
          </w:p>
          <w:p w14:paraId="7754945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6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0E73D0FC">
            <w:pPr>
              <w:keepNext w:val="0"/>
              <w:keepLines w:val="0"/>
              <w:pageBreakBefore w:val="0"/>
              <w:widowControl/>
              <w:numPr>
                <w:ilvl w:val="0"/>
                <w:numId w:val="0"/>
              </w:numPr>
              <w:kinsoku/>
              <w:wordWrap/>
              <w:overflowPunct/>
              <w:topLinePunct w:val="0"/>
              <w:autoSpaceDE/>
              <w:autoSpaceDN/>
              <w:bidi w:val="0"/>
              <w:adjustRightInd w:val="0"/>
              <w:snapToGrid w:val="0"/>
              <w:spacing w:line="26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eastAsia="仿宋_GB2312"/>
                <w:color w:val="000000" w:themeColor="text1"/>
                <w:kern w:val="0"/>
                <w:sz w:val="20"/>
                <w:szCs w:val="20"/>
                <w:lang w:val="en-US" w:eastAsia="zh-CN"/>
                <w14:textFill>
                  <w14:solidFill>
                    <w14:schemeClr w14:val="tx1"/>
                  </w14:solidFill>
                </w14:textFill>
              </w:rPr>
              <w:t>4.</w:t>
            </w:r>
            <w:r>
              <w:rPr>
                <w:rFonts w:hint="eastAsia" w:ascii="Times New Roman" w:hAnsi="Times New Roman" w:eastAsia="仿宋_GB2312"/>
                <w:color w:val="000000" w:themeColor="text1"/>
                <w:kern w:val="0"/>
                <w:sz w:val="20"/>
                <w:szCs w:val="20"/>
                <w14:textFill>
                  <w14:solidFill>
                    <w14:schemeClr w14:val="tx1"/>
                  </w14:solidFill>
                </w14:textFill>
              </w:rPr>
              <w:t>【法律】《中华人民共和国行政处罚法》（2021年1月22日第十三届全国人民代表大会常务委员会第二十五次会议修订）第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八十二</w:t>
            </w:r>
            <w:r>
              <w:rPr>
                <w:rFonts w:hint="eastAsia" w:ascii="Times New Roman" w:hAnsi="Times New Roman" w:eastAsia="仿宋_GB2312"/>
                <w:color w:val="000000" w:themeColor="text1"/>
                <w:kern w:val="0"/>
                <w:sz w:val="20"/>
                <w:szCs w:val="20"/>
                <w14:textFill>
                  <w14:solidFill>
                    <w14:schemeClr w14:val="tx1"/>
                  </w14:solidFill>
                </w14:textFill>
              </w:rPr>
              <w:t xml:space="preserve">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14:paraId="552C7672">
            <w:pPr>
              <w:keepNext w:val="0"/>
              <w:keepLines w:val="0"/>
              <w:pageBreakBefore w:val="0"/>
              <w:widowControl/>
              <w:numPr>
                <w:ilvl w:val="0"/>
                <w:numId w:val="0"/>
              </w:numPr>
              <w:kinsoku/>
              <w:wordWrap/>
              <w:overflowPunct/>
              <w:topLinePunct w:val="0"/>
              <w:autoSpaceDE/>
              <w:autoSpaceDN/>
              <w:bidi w:val="0"/>
              <w:adjustRightInd w:val="0"/>
              <w:snapToGrid w:val="0"/>
              <w:spacing w:line="26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规】《行政机关公务员处分条例》（2007年4月4日中华人民共和国国务院令第495号发布）第二十一条有下列行为之一的，给予警告或者记过处分；情节较重的，给予记大过或者降级处分；情节严重的，给予撤职处分：(一)在行政许可工作中违反法定权限、条件和程序设定或者实施行政许可的；(二)违法设定或者实施行政强制措施的；(三)违法设定或者实施行政处罚的；(四)违反法律、法规规定进行行</w:t>
            </w:r>
            <w:r>
              <w:rPr>
                <w:rFonts w:hint="eastAsia" w:ascii="Times New Roman" w:hAnsi="Times New Roman" w:eastAsia="仿宋_GB2312"/>
                <w:color w:val="000000" w:themeColor="text1"/>
                <w:spacing w:val="-20"/>
                <w:kern w:val="0"/>
                <w:sz w:val="20"/>
                <w:szCs w:val="20"/>
                <w14:textFill>
                  <w14:solidFill>
                    <w14:schemeClr w14:val="tx1"/>
                  </w14:solidFill>
                </w14:textFill>
              </w:rPr>
              <w:t>政委托的；</w:t>
            </w:r>
          </w:p>
        </w:tc>
        <w:tc>
          <w:tcPr>
            <w:tcW w:w="532" w:type="dxa"/>
            <w:vAlign w:val="center"/>
          </w:tcPr>
          <w:p w14:paraId="79AF926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6BCC275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A40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7FF1A047">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3</w:t>
            </w:r>
          </w:p>
        </w:tc>
        <w:tc>
          <w:tcPr>
            <w:tcW w:w="308" w:type="dxa"/>
            <w:vAlign w:val="center"/>
          </w:tcPr>
          <w:p w14:paraId="0FB0974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行政处罚</w:t>
            </w:r>
          </w:p>
        </w:tc>
        <w:tc>
          <w:tcPr>
            <w:tcW w:w="992" w:type="dxa"/>
            <w:vAlign w:val="center"/>
          </w:tcPr>
          <w:p w14:paraId="56EE7152">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对冒领抚恤金、优待金、补助金或者虚报病情骗取医药费或者出具假证明，伪造证件、印章骗取抚恤金、优待金、补助金的处罚</w:t>
            </w:r>
          </w:p>
        </w:tc>
        <w:tc>
          <w:tcPr>
            <w:tcW w:w="495" w:type="dxa"/>
            <w:vAlign w:val="center"/>
          </w:tcPr>
          <w:p w14:paraId="422FCA1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64264C7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5DEBE3B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41752F4A">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1.【法律】《中华人民共和国退役军人保障法》第七十八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退役军人弄虚作假骗取退役相关待遇的，由县级以上地方人民政府退役军人工作主管部门取消相关待遇，追缴非法所得，并由其所在单位或者有关部门依法给予处分。</w:t>
            </w:r>
          </w:p>
          <w:p w14:paraId="19790B2F">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2.【行政法规】《军人抚恤优待条例》（2004年国务院、中央军委令第413号发布，2019年国务院令第709号修订）第四十九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抚恤优待对象有下列行为之一的，由县级人民政府民政部门给予警告，限期退回非法所得；情节严重的，停止其享受的抚恤、优待；构成犯罪的，依法追究刑事责任：（一）冒领抚恤金、优待金、补助金的；（二）虚报病情骗取医药费的；（三）出具假证明，伪造证件、印章骗取抚恤金、优待金、补助金的。</w:t>
            </w:r>
          </w:p>
          <w:p w14:paraId="3680DDEA">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3.【行政法规】《烈士褒扬条例》（2011年国务院令第601号公布，2019年国务院令第718号修订）第三十九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冒领烈士褒扬金、抚恤金，出具假证明或者伪造证件、印章骗取烈士褒扬金或者抚恤金的，由退役军人事务部门责令退回非法所得；构成犯罪的，依法追究刑事责任。</w:t>
            </w:r>
          </w:p>
        </w:tc>
        <w:tc>
          <w:tcPr>
            <w:tcW w:w="1618" w:type="dxa"/>
            <w:vAlign w:val="center"/>
          </w:tcPr>
          <w:p w14:paraId="08E0B73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1.立案责任：受理，并决定是否立案。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527D35E">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2.调查取证责任：进行调查，收集、调取证据并记录保存。</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44FCEA7">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C66D045">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4.告知责任：事先告知处罚的事实、理由、依据及享有的陈述、申辩等权利。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CAE3DF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5.决定责任：作出行政处罚决定。</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2DAD60E">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6.送达责任：行政处罚决定书应当在宣告后当场交付当事人；当事人不在场的，行政机关应当在七日内依照民事诉讼法的有关规定，将行政处罚决定书送达当事人。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9BE033A">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7.执行责任：依照生效的行政处罚决定，自觉履行或强制执行。</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B3E7058">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8.监督责任：对处罚决定执行情况进行监督检查。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186EDB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0F13C895">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《广西壮族自治区行政执法程序规定》（1997年广西壮族自治区人民政府令第13号）第二十八条</w:t>
            </w:r>
            <w:r>
              <w:rPr>
                <w:rFonts w:hint="eastAsia" w:ascii="Times New Roman" w:hAnsi="Times New Roman" w:eastAsia="仿宋_GB2312"/>
                <w:color w:val="000000" w:themeColor="text1"/>
                <w:kern w:val="0"/>
                <w:sz w:val="20"/>
                <w:szCs w:val="20"/>
                <w14:textFill>
                  <w14:solidFill>
                    <w14:schemeClr w14:val="tx1"/>
                  </w14:solidFill>
                </w14:textFill>
              </w:rPr>
              <w:t>第一、二款  行政执法机关对违法事项经过审查，认为有违法事实，依法需要给予行政处罚的，应当登记立案。两个以上行政执法机关联合办理的违法案件，由主办机关立案，立案报告应经联合办理机关会签。</w:t>
            </w:r>
          </w:p>
          <w:p w14:paraId="736D9448">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《广西壮族自治区行政执法程序规定》（1997年广西壮族自治区人民政府令第13号）第二十九条：</w:t>
            </w:r>
            <w:r>
              <w:rPr>
                <w:rFonts w:hint="eastAsia" w:ascii="Times New Roman" w:hAnsi="Times New Roman" w:eastAsia="仿宋_GB2312"/>
                <w:color w:val="000000" w:themeColor="text1"/>
                <w:kern w:val="0"/>
                <w:sz w:val="20"/>
                <w:szCs w:val="20"/>
                <w14:textFill>
                  <w14:solidFill>
                    <w14:schemeClr w14:val="tx1"/>
                  </w14:solidFill>
                </w14:textFill>
              </w:rPr>
              <w:t>行政执法机关对已经立案的案件应及时组织调查取证。行政执法机关调查、收集证据，应遵循合法、客观、全面、及时的原则，证据必须经过查证核实。</w:t>
            </w:r>
          </w:p>
          <w:p w14:paraId="0E7EEE08">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6E78F429">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第三十一条第三款  在证据可能灭失或者以后难以取得的情况下，行政执法机关经</w:t>
            </w:r>
            <w:r>
              <w:rPr>
                <w:rFonts w:hint="eastAsia" w:ascii="Times New Roman" w:hAnsi="Times New Roman" w:eastAsia="仿宋_GB2312"/>
                <w:color w:val="000000" w:themeColor="text1"/>
                <w:spacing w:val="-4"/>
                <w:kern w:val="0"/>
                <w:sz w:val="20"/>
                <w:szCs w:val="20"/>
                <w14:textFill>
                  <w14:solidFill>
                    <w14:schemeClr w14:val="tx1"/>
                  </w14:solidFill>
                </w14:textFill>
              </w:rPr>
              <w:t>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2B34EB8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72EA479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行政执法机关对相对人的陈述和申辩应当制作笔录，对相对人提出的事实、理由或者证据应当进行审核。相对人所提出的事实、理由或者提供的证据成立的，行政执法机关应当采纳。</w:t>
            </w:r>
          </w:p>
          <w:p w14:paraId="29E255A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《广西壮族自治区行政执法程序规定》（1997年广西壮族自治区人民政府令第13号）第三十三条：</w:t>
            </w:r>
            <w:r>
              <w:rPr>
                <w:rFonts w:hint="eastAsia" w:ascii="Times New Roman" w:hAnsi="Times New Roman" w:eastAsia="仿宋_GB2312"/>
                <w:color w:val="000000" w:themeColor="text1"/>
                <w:kern w:val="0"/>
                <w:sz w:val="20"/>
                <w:szCs w:val="20"/>
                <w14:textFill>
                  <w14:solidFill>
                    <w14:schemeClr w14:val="tx1"/>
                  </w14:solidFill>
                </w14:textFill>
              </w:rPr>
              <w:t>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29F396A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35C330A4">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行政执法机关及其行政执法人员在作出处罚决定之前，应当告知相对人作出处罚决定的事实、理由及依据，并告知其依法享有的权利。</w:t>
            </w:r>
          </w:p>
          <w:p w14:paraId="563F8679">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第四十一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行政执法机关应按本节规定的程序组织听证。但是国务院有关工作部门另有规定的，从其规定。</w:t>
            </w:r>
          </w:p>
          <w:p w14:paraId="3B8723E4">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《广西壮族自治区行政执法程序规定》（1997年广西壮族自治区人民政府令第13号）第三十七条：</w:t>
            </w:r>
            <w:r>
              <w:rPr>
                <w:rFonts w:hint="eastAsia" w:ascii="Times New Roman" w:hAnsi="Times New Roman" w:eastAsia="仿宋_GB2312"/>
                <w:color w:val="000000" w:themeColor="text1"/>
                <w:kern w:val="0"/>
                <w:sz w:val="20"/>
                <w:szCs w:val="20"/>
                <w14:textFill>
                  <w14:solidFill>
                    <w14:schemeClr w14:val="tx1"/>
                  </w14:solidFill>
                </w14:textFill>
              </w:rPr>
              <w:t>行政执法机关处理违法案件应在立案之日起六十日内作出处</w:t>
            </w:r>
            <w:r>
              <w:rPr>
                <w:rFonts w:hint="eastAsia" w:ascii="Times New Roman" w:hAnsi="Times New Roman" w:eastAsia="仿宋_GB2312"/>
                <w:color w:val="000000" w:themeColor="text1"/>
                <w:spacing w:val="-4"/>
                <w:kern w:val="0"/>
                <w:sz w:val="20"/>
                <w:szCs w:val="20"/>
                <w14:textFill>
                  <w14:solidFill>
                    <w14:schemeClr w14:val="tx1"/>
                  </w14:solidFill>
                </w14:textFill>
              </w:rPr>
              <w:t>理决定。重大、复杂的案件，经本机关负责人批准，可以延长三十日，需要继续延长的，报上一级行政主管机关批准。自治区人民政府所属行政执法机关，报自治区人民政府批准。</w:t>
            </w:r>
          </w:p>
          <w:p w14:paraId="25B21DB7">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6A1DC806">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《广西壮族自治区行政执法程序规定》（1997年广西壮族自治区人民政府令第13号）第五十六条：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244F55B6">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40847FAF">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《广西壮族自治区行政执法程序规定》（1997年广西壮族自治区人民政府令第13号）第五十九条：</w:t>
            </w:r>
            <w:r>
              <w:rPr>
                <w:rFonts w:hint="eastAsia" w:ascii="Times New Roman" w:hAnsi="Times New Roman" w:eastAsia="仿宋_GB2312"/>
                <w:color w:val="000000" w:themeColor="text1"/>
                <w:kern w:val="0"/>
                <w:sz w:val="20"/>
                <w:szCs w:val="20"/>
                <w14:textFill>
                  <w14:solidFill>
                    <w14:schemeClr w14:val="tx1"/>
                  </w14:solidFill>
                </w14:textFill>
              </w:rPr>
              <w:t>行政处理决定书送达时生效。生效的行政处理决定书必须执行。相对人对行政处理决定不服申请行政复议或者提起行政诉讼的，行政处理决定不停止执行，但法律、法规另有规定的除外。</w:t>
            </w:r>
          </w:p>
          <w:p w14:paraId="5F4E892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行政处理决定涉及罚款的，除本规定第六十一条规定的由行政执法人员当场收缴外，相对人应当自收到行政处理决定书之日起十五日内，到指定的金融机构缴纳罚款。</w:t>
            </w:r>
          </w:p>
          <w:p w14:paraId="3199C73C">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相对人逾期不缴纳罚款的，由作出罚款决定的行政执法机关每日按罚款数额的百分之三加处罚款，并依法强制执行或申请人民法院强制执行。执行费用由相对人承担。</w:t>
            </w:r>
          </w:p>
          <w:p w14:paraId="09FF5B9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4A36F680">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8.【法律】</w:t>
            </w:r>
            <w:r>
              <w:rPr>
                <w:rFonts w:hint="eastAsia" w:ascii="Times New Roman" w:hAnsi="Times New Roman" w:eastAsia="仿宋_GB2312"/>
                <w:color w:val="000000" w:themeColor="text1"/>
                <w:kern w:val="0"/>
                <w:sz w:val="20"/>
                <w:szCs w:val="20"/>
                <w:lang w:eastAsia="zh-CN"/>
                <w14:textFill>
                  <w14:solidFill>
                    <w14:schemeClr w14:val="tx1"/>
                  </w14:solidFill>
                </w14:textFill>
              </w:rPr>
              <w:t>《中华人民共和国行政处罚法》</w:t>
            </w:r>
            <w:r>
              <w:rPr>
                <w:rFonts w:hint="eastAsia" w:ascii="Times New Roman" w:hAnsi="Times New Roman" w:eastAsia="仿宋_GB2312"/>
                <w:color w:val="000000" w:themeColor="text1"/>
                <w:kern w:val="0"/>
                <w:sz w:val="20"/>
                <w:szCs w:val="20"/>
                <w14:textFill>
                  <w14:solidFill>
                    <w14:schemeClr w14:val="tx1"/>
                  </w14:solidFill>
                </w14:textFill>
              </w:rPr>
              <w:t>第七十五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14:paraId="421C1060">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9.【法律】《中华人民共和国退役军人保障法》第七十七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违反本法规定，拒绝或者无故拖延执行退役军人安置任务的，由安置地人民政府退役军人工作主管部门责令限期改正；逾期不改正的，予以通报批评。对该单位主要负责人和直接责任人员，由有关部门依法给予处分。</w:t>
            </w:r>
          </w:p>
        </w:tc>
        <w:tc>
          <w:tcPr>
            <w:tcW w:w="1800" w:type="dxa"/>
            <w:vAlign w:val="center"/>
          </w:tcPr>
          <w:p w14:paraId="0360B43A">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因不履行或不正确履行行政职责，出现以下情形的，行政机关及相关工作人员应承担相应责任：</w:t>
            </w:r>
          </w:p>
          <w:p w14:paraId="4B61BD42">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1.没有法律和事实依据实施行政处罚的；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A125D46">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2.执法人员玩忽职守，致使公民合法权益受到伤害的；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086CEFF">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3.对应当没收非法财产而没有没收或者将没收的非法财产截留、私分或者变相私分的；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E6A06AD">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4.在行政处罚过程中发生腐败行为的；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6DD8935">
            <w:pPr>
              <w:widowControl/>
              <w:adjustRightInd w:val="0"/>
              <w:snapToGrid w:val="0"/>
              <w:spacing w:line="26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C9CB3C5">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590D7CE1">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                                                                               </w:t>
            </w:r>
          </w:p>
          <w:p w14:paraId="7EDD855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6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6CE5C2E3">
            <w:pPr>
              <w:widowControl/>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38D007C5">
            <w:pPr>
              <w:widowControl/>
              <w:numPr>
                <w:ilvl w:val="0"/>
                <w:numId w:val="0"/>
              </w:numPr>
              <w:adjustRightInd w:val="0"/>
              <w:snapToGrid w:val="0"/>
              <w:spacing w:line="26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eastAsia="仿宋_GB2312"/>
                <w:color w:val="000000" w:themeColor="text1"/>
                <w:kern w:val="0"/>
                <w:sz w:val="20"/>
                <w:szCs w:val="20"/>
                <w:lang w:val="en-US" w:eastAsia="zh-CN"/>
                <w14:textFill>
                  <w14:solidFill>
                    <w14:schemeClr w14:val="tx1"/>
                  </w14:solidFill>
                </w14:textFill>
              </w:rPr>
              <w:t>4.</w:t>
            </w:r>
            <w:r>
              <w:rPr>
                <w:rFonts w:hint="eastAsia" w:ascii="Times New Roman" w:hAnsi="Times New Roman" w:eastAsia="仿宋_GB2312"/>
                <w:color w:val="000000" w:themeColor="text1"/>
                <w:kern w:val="0"/>
                <w:sz w:val="20"/>
                <w:szCs w:val="20"/>
                <w14:textFill>
                  <w14:solidFill>
                    <w14:schemeClr w14:val="tx1"/>
                  </w14:solidFill>
                </w14:textFill>
              </w:rPr>
              <w:t>【法律】《中华人民共和国行政处罚法》（2021年1月22日第十三届全国人民代表大会常务委员会第二十五次会议修订）第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八十二</w:t>
            </w:r>
            <w:r>
              <w:rPr>
                <w:rFonts w:hint="eastAsia" w:ascii="Times New Roman" w:hAnsi="Times New Roman" w:eastAsia="仿宋_GB2312"/>
                <w:color w:val="000000" w:themeColor="text1"/>
                <w:kern w:val="0"/>
                <w:sz w:val="20"/>
                <w:szCs w:val="20"/>
                <w14:textFill>
                  <w14:solidFill>
                    <w14:schemeClr w14:val="tx1"/>
                  </w14:solidFill>
                </w14:textFill>
              </w:rPr>
              <w:t xml:space="preserve">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14:paraId="6C6EAE5F">
            <w:pPr>
              <w:widowControl/>
              <w:numPr>
                <w:ilvl w:val="0"/>
                <w:numId w:val="0"/>
              </w:numPr>
              <w:adjustRightInd w:val="0"/>
              <w:snapToGrid w:val="0"/>
              <w:spacing w:line="26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规】《行政机关公务员处分条例》（2007年4月4日中华人民共和国国务院令第495号发布）第二十一条有下列行为之一的，给予警告或者记过处分；情节较重的，给予记大过或者降级处分；情节严重的，给予撤职处分：(一)在行政许可工作中违反法定权限、条件和程序设定或者实施行政许可的；(二)违法设定或者实施行政强制措施的；(三)违法设定或者实施行政处罚的；(四)违反法律、法规规定进行行</w:t>
            </w:r>
            <w:r>
              <w:rPr>
                <w:rFonts w:hint="eastAsia" w:ascii="Times New Roman" w:hAnsi="Times New Roman" w:eastAsia="仿宋_GB2312"/>
                <w:color w:val="000000" w:themeColor="text1"/>
                <w:spacing w:val="-17"/>
                <w:kern w:val="0"/>
                <w:sz w:val="20"/>
                <w:szCs w:val="20"/>
                <w14:textFill>
                  <w14:solidFill>
                    <w14:schemeClr w14:val="tx1"/>
                  </w14:solidFill>
                </w14:textFill>
              </w:rPr>
              <w:t>政委托的；</w:t>
            </w:r>
          </w:p>
        </w:tc>
        <w:tc>
          <w:tcPr>
            <w:tcW w:w="532" w:type="dxa"/>
            <w:vAlign w:val="center"/>
          </w:tcPr>
          <w:p w14:paraId="39165DFC">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2D9D8448">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6459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555E9AF">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4</w:t>
            </w:r>
          </w:p>
        </w:tc>
        <w:tc>
          <w:tcPr>
            <w:tcW w:w="308" w:type="dxa"/>
            <w:vAlign w:val="center"/>
          </w:tcPr>
          <w:p w14:paraId="1BE24E8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3035A9CE">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退役士兵自主就业一次性经济补助金给付</w:t>
            </w:r>
          </w:p>
        </w:tc>
        <w:tc>
          <w:tcPr>
            <w:tcW w:w="495" w:type="dxa"/>
            <w:vAlign w:val="center"/>
          </w:tcPr>
          <w:p w14:paraId="5103BAF4">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580A5CD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6897EA13">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56873A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F818E8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1.【法律】《中华人民共和国退役军人保障法》第二十二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对退役的军士，国家采取逐月领取退役金、自主就业、安排工作、退休、供养等方式妥善安置。</w:t>
            </w:r>
          </w:p>
          <w:p w14:paraId="74B4FC0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服现役满规定年限，以逐月领取退役金方式安置的，按照国家有关规定6逐月领取退役金。</w:t>
            </w:r>
          </w:p>
          <w:p w14:paraId="4BA7B4D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服现役不满规定年限，以自主就业方式安置的，领取一次性退役金。</w:t>
            </w:r>
          </w:p>
          <w:p w14:paraId="450B126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第二十三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对退役的义务兵，国家采取自主就业、安排工作、供养等方式妥善安置。</w:t>
            </w:r>
          </w:p>
          <w:p w14:paraId="38E0B37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以自主就业方式安置的，领取一次性退役金。</w:t>
            </w:r>
          </w:p>
          <w:p w14:paraId="667B021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2.【法律】《中华人民共和国兵役法》第六十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服现役期间平时荣获二等功以上奖励或者战时荣获三等功以上奖励以及属于烈士子女和因战致残被评定为五级至八级残疾等级的义务兵退出现役，由安置地的县级以上地方人民政府安排工作；待安排工作期间由当地人民政府按照国家有关规定发给生活补助费；本人自愿选择自主就业的，依照本条第一款至第四款规定办理。</w:t>
            </w:r>
          </w:p>
          <w:p w14:paraId="055CE84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3.【行政法规】《退役士兵安置条例》（2011年国务院、中央军事委员会第608号令发布）第十九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对自主就业的退役士兵，由部队发给一次性退役金，一次性退役金由中央财政专项安排；地方人民政府可以根据当地实际情况给予经济补助，经济补助标准及发放办法由省、自治区、直辖市人民政府规定。</w:t>
            </w:r>
          </w:p>
          <w:p w14:paraId="33B4608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一次性退役金和一次性经济补助按照国家规定免征个人所得税。</w:t>
            </w:r>
          </w:p>
          <w:p w14:paraId="7DA56728">
            <w:pPr>
              <w:keepNext w:val="0"/>
              <w:keepLines w:val="0"/>
              <w:pageBreakBefore w:val="0"/>
              <w:widowControl/>
              <w:kinsoku/>
              <w:wordWrap/>
              <w:overflowPunct/>
              <w:topLinePunct w:val="0"/>
              <w:autoSpaceDE/>
              <w:autoSpaceDN/>
              <w:bidi w:val="0"/>
              <w:adjustRightInd w:val="0"/>
              <w:snapToGrid w:val="0"/>
              <w:spacing w:line="22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各级人民政府应当加强对退役士兵自主就业的指导和服务。县级以上地方人民政府应当采取组织职业介绍、就业推荐、专场招聘会等方式，扶持退役士兵自主就业。</w:t>
            </w:r>
          </w:p>
          <w:p w14:paraId="1FD7D42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4.【地方政府规章】《广西壮族自治区退役士兵安置办法》（2018年广西壮族自治区人民政府令第122号）第十五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选择自主就业或者继续完成学业的退役士兵，由其安置地或者批准入伍地退役士兵安置工作主管部门给予一次性经济补助。一次性经济补助所需资金由县级以上财政共同分担。</w:t>
            </w:r>
          </w:p>
          <w:p w14:paraId="3DA0EDB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县级以上退役士兵安置工作主管部门应当综合考虑本行政区域接收安置退役士兵人数、补助标准以及财政分担比例等情况，将一次性经济补助所需资金纳入部门预算予以保障。</w:t>
            </w:r>
          </w:p>
          <w:p w14:paraId="23A14C3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退役士兵选择自主就业或者继续完成学业的，其一次性经济补助按照部队一次性退役金标准计发。</w:t>
            </w:r>
          </w:p>
          <w:p w14:paraId="42AED6A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对在规定的边远艰苦地区服役的退役士兵，适当提高自主就业一次性经济补助标准。具体标准由自治区退役士兵安置工作主管部门会同财政部门另行制定。</w:t>
            </w:r>
          </w:p>
          <w:p w14:paraId="59EFC35B">
            <w:pPr>
              <w:keepNext w:val="0"/>
              <w:keepLines w:val="0"/>
              <w:pageBreakBefore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退役士兵领取自主就业一次性经济补助按照国家规定免交个人所得税。</w:t>
            </w:r>
          </w:p>
          <w:p w14:paraId="4937CF34">
            <w:pPr>
              <w:keepNext w:val="0"/>
              <w:keepLines w:val="0"/>
              <w:pageBreakBefore w:val="0"/>
              <w:kinsoku/>
              <w:wordWrap/>
              <w:overflowPunct/>
              <w:topLinePunct w:val="0"/>
              <w:autoSpaceDE/>
              <w:autoSpaceDN/>
              <w:bidi w:val="0"/>
              <w:adjustRightInd w:val="0"/>
              <w:snapToGrid w:val="0"/>
              <w:spacing w:line="220" w:lineRule="exact"/>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1618" w:type="dxa"/>
            <w:vAlign w:val="center"/>
          </w:tcPr>
          <w:p w14:paraId="56BB68B1">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00891A0">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2.审查责任：审查《复</w:t>
            </w:r>
            <w:r>
              <w:rPr>
                <w:rFonts w:hint="eastAsia" w:eastAsia="仿宋_GB2312"/>
                <w:color w:val="000000" w:themeColor="text1"/>
                <w:kern w:val="0"/>
                <w:sz w:val="20"/>
                <w:szCs w:val="20"/>
                <w:lang w:eastAsia="zh-CN"/>
                <w14:textFill>
                  <w14:solidFill>
                    <w14:schemeClr w14:val="tx1"/>
                  </w14:solidFill>
                </w14:textFill>
              </w:rPr>
              <w:t>员</w:t>
            </w:r>
            <w:r>
              <w:rPr>
                <w:rFonts w:hint="eastAsia" w:ascii="Times New Roman" w:hAnsi="Times New Roman" w:eastAsia="仿宋_GB2312"/>
                <w:color w:val="000000" w:themeColor="text1"/>
                <w:kern w:val="0"/>
                <w:sz w:val="20"/>
                <w:szCs w:val="20"/>
                <w14:textFill>
                  <w14:solidFill>
                    <w14:schemeClr w14:val="tx1"/>
                  </w14:solidFill>
                </w14:textFill>
              </w:rPr>
              <w:t>军人证明书》、户口簿等证件。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32CE02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0BE763F">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296F9B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C3A3805">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2B30BF47">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2C380565">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1451662">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23598C5E">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2D47A451">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5F036172">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09A243A1">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269DDE98">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1D1D107">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F8F3747">
            <w:pPr>
              <w:widowControl/>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5AA5222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 【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66B0DC3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33BB457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79B9BDC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0AB22C5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34DF266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5633864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7932C19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FE66751">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p>
        </w:tc>
        <w:tc>
          <w:tcPr>
            <w:tcW w:w="532" w:type="dxa"/>
            <w:vAlign w:val="center"/>
          </w:tcPr>
          <w:p w14:paraId="51D6B3A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5555FBF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5C29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212669B0">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5</w:t>
            </w:r>
          </w:p>
        </w:tc>
        <w:tc>
          <w:tcPr>
            <w:tcW w:w="308" w:type="dxa"/>
            <w:vAlign w:val="center"/>
          </w:tcPr>
          <w:p w14:paraId="6A2C7E8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20CA3B26">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退役士兵待安排工作期间生活补助费给付</w:t>
            </w:r>
          </w:p>
        </w:tc>
        <w:tc>
          <w:tcPr>
            <w:tcW w:w="495" w:type="dxa"/>
            <w:vAlign w:val="center"/>
          </w:tcPr>
          <w:p w14:paraId="48E8631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7BF5E0F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5D11D9A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5DD1EA0B">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p w14:paraId="2F0C46CE">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p w14:paraId="3110927D">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p w14:paraId="46D21384">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1.【法律】《中华人民共和国兵役法》第六十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服现役期间平时荣获二等功以上奖励或者战时荣获三等功以上奖励以及属于烈士子女和因战致残被评定为五级至八级残疾等级的义务兵退出现役，由安置地的县级以上地方人民政府安排工作；待安排工作期间由当地人民政府按照国家有关规定发给生活补助费；本人自愿选择自主就业的，依照本条第一款至第四款规定办理。</w:t>
            </w:r>
          </w:p>
          <w:p w14:paraId="68D144A6">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2.【行政法规】《退役士兵安置条例》（2011年国务院、中央军事委员会令第608号）第三十五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安置地人民政府应当在接收退役士兵的6个月内，完成本年度安排退役士兵工作的任务。</w:t>
            </w:r>
          </w:p>
          <w:p w14:paraId="79F27020">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退役士兵待安排工作期间，安置地人民政府应当按照不低于当地最低生活水平的标准，按月发给生活补助费。</w:t>
            </w:r>
          </w:p>
          <w:p w14:paraId="60A545DA">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3.【地方政府规章】《广西壮族自治区退役士兵安置办法》（2018年广西壮族自治区人民政府令第122号） 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选择自主就业或者继续完成学业的退役士兵，由其安置地或者批准入伍地退役士兵安置工作主管部门给予一次性经济补助。一次性经济补助所需资金由县级以上财政共同分担。</w:t>
            </w:r>
          </w:p>
          <w:p w14:paraId="74F77195">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县级以上退役士兵安置工作主管部门应当综合考虑本行政区域接收安置退役士兵人数、补助标准以及财政分担比例等情况，将一次性经济补助所需资金纳入部门预算予以保障。</w:t>
            </w:r>
          </w:p>
          <w:p w14:paraId="38F891E2">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退役士兵选择自主就业或者继续完成学业的，其一次性经济补助按照部队一次性退役金标准计发。</w:t>
            </w:r>
          </w:p>
          <w:p w14:paraId="34AB6F31">
            <w:pPr>
              <w:widowControl/>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对在规定的边远艰苦地区服役的退役士兵，适当提高自主就业一次性经济补助标准。具体标准由自治区退役士兵安置工作主管部门会同财政部门另行制定。</w:t>
            </w:r>
          </w:p>
          <w:p w14:paraId="02426DCE">
            <w:pPr>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退役士兵领取自主就业一次性经济补助按照国家规定免交个人所得税。</w:t>
            </w:r>
          </w:p>
          <w:p w14:paraId="16F1876D">
            <w:pPr>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p w14:paraId="2BDD84D4">
            <w:pPr>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p w14:paraId="27435BD0">
            <w:pPr>
              <w:adjustRightInd w:val="0"/>
              <w:snapToGrid w:val="0"/>
              <w:spacing w:line="300" w:lineRule="exact"/>
              <w:ind w:firstLine="400" w:firstLineChars="200"/>
              <w:jc w:val="both"/>
              <w:rPr>
                <w:rFonts w:hint="eastAsia" w:ascii="Times New Roman" w:hAnsi="Times New Roman" w:eastAsia="仿宋_GB2312"/>
                <w:color w:val="000000" w:themeColor="text1"/>
                <w:kern w:val="0"/>
                <w:sz w:val="20"/>
                <w:szCs w:val="20"/>
                <w14:textFill>
                  <w14:solidFill>
                    <w14:schemeClr w14:val="tx1"/>
                  </w14:solidFill>
                </w14:textFill>
              </w:rPr>
            </w:pPr>
          </w:p>
        </w:tc>
        <w:tc>
          <w:tcPr>
            <w:tcW w:w="1618" w:type="dxa"/>
            <w:vAlign w:val="center"/>
          </w:tcPr>
          <w:p w14:paraId="2490014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DA2870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2.审查责任：审查《复</w:t>
            </w:r>
            <w:r>
              <w:rPr>
                <w:rFonts w:hint="eastAsia" w:eastAsia="仿宋_GB2312"/>
                <w:color w:val="000000" w:themeColor="text1"/>
                <w:kern w:val="0"/>
                <w:sz w:val="20"/>
                <w:szCs w:val="20"/>
                <w:lang w:eastAsia="zh-CN"/>
                <w14:textFill>
                  <w14:solidFill>
                    <w14:schemeClr w14:val="tx1"/>
                  </w14:solidFill>
                </w14:textFill>
              </w:rPr>
              <w:t>员</w:t>
            </w:r>
            <w:r>
              <w:rPr>
                <w:rFonts w:hint="eastAsia" w:ascii="Times New Roman" w:hAnsi="Times New Roman" w:eastAsia="仿宋_GB2312"/>
                <w:color w:val="000000" w:themeColor="text1"/>
                <w:kern w:val="0"/>
                <w:sz w:val="20"/>
                <w:szCs w:val="20"/>
                <w14:textFill>
                  <w14:solidFill>
                    <w14:schemeClr w14:val="tx1"/>
                  </w14:solidFill>
                </w14:textFill>
              </w:rPr>
              <w:t>军人证明书》、户口簿等证件。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EA7835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2884E4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6CEEBAF">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866C1E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532D721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649EF43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31FE6B1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0677905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6086DAD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5CCFB572">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1045D94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17E98E7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982077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109996F">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008FD64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1EE2D2F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6EFDEC0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2FD83F1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1205D2D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1AB40E1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4D2F944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50877FA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613D0DD">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p>
        </w:tc>
        <w:tc>
          <w:tcPr>
            <w:tcW w:w="532" w:type="dxa"/>
            <w:vAlign w:val="center"/>
          </w:tcPr>
          <w:p w14:paraId="653E7BE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5AD876EB">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C24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7" w:hRule="atLeast"/>
          <w:jc w:val="center"/>
        </w:trPr>
        <w:tc>
          <w:tcPr>
            <w:tcW w:w="406" w:type="dxa"/>
            <w:vAlign w:val="center"/>
          </w:tcPr>
          <w:p w14:paraId="28A1D6BD">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6</w:t>
            </w:r>
          </w:p>
        </w:tc>
        <w:tc>
          <w:tcPr>
            <w:tcW w:w="308" w:type="dxa"/>
            <w:vAlign w:val="center"/>
          </w:tcPr>
          <w:p w14:paraId="17F6E0E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086CE109">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1级至4级分散供养残疾退役士兵购（建）房资金给付</w:t>
            </w:r>
          </w:p>
        </w:tc>
        <w:tc>
          <w:tcPr>
            <w:tcW w:w="495" w:type="dxa"/>
            <w:vAlign w:val="center"/>
          </w:tcPr>
          <w:p w14:paraId="50B554E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24F1BBDE">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7EDCB21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493BFB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1.【行政法规】《退役士兵安置条例》（2011年国务院、中央军事委员会令第608号）第四十二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被评定为1级至4级残疾等级的义务兵和初级士官退出现役的，由国家供养终身。 国家供养的残疾退役士兵，其生活、住房、医疗等保障，按照国家有关规定执行。 国家供养分为集中供养和分散供养。 分散供养的残疾退役士兵购（建）房所需经费的标准，按照安置地县（市）经济适用住房平均价格和60平方米的建筑面积确定；没有经济适用住房的地区按照普通商品住房价格确定。购（建）房所需经费由中央财政专项安排，不足部分由地方财政解决。购（建）房屋产权归分散供养的残疾退役士兵所有。分散供养的残疾退役士兵自行解决住房的，按照上述标准将购（建）房费用发给本人。</w:t>
            </w:r>
          </w:p>
          <w:p w14:paraId="0EC5BFF0">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2.【规范性文件】《伤病残士兵退役交接安置工作规程（试行）》（民办发〔2012〕24号）：分散供养的， 购（建）房经费标准按照安置地县（市）经济适用住房价格（没有经济适用住房的按照普通商品房价格）和60平方米建筑面积确定。购（建）房所需经费由中央财政专项安排，不足部分由地方财政解决。购（建）房屋产权归分散供养的残疾退役士兵所有。分散供养的残疾退役士兵自行解决住房的，按照上述标准将购（建）房费用发给本人。</w:t>
            </w:r>
          </w:p>
        </w:tc>
        <w:tc>
          <w:tcPr>
            <w:tcW w:w="1618" w:type="dxa"/>
            <w:vAlign w:val="center"/>
          </w:tcPr>
          <w:p w14:paraId="0116E31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9925DF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8E2CC4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6E780C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2A06F6F">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3955617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5A047CC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01A6C6C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104AFA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599ACED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323C377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682C9059">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39AB29B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573003E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CD9A88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5E7AABF">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6CBC05F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5B9296F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7C4F0AD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464EB65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02B31EA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22B5720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6D1D97F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6F5D35D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30FB9AF8">
            <w:pPr>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p>
        </w:tc>
        <w:tc>
          <w:tcPr>
            <w:tcW w:w="532" w:type="dxa"/>
            <w:vAlign w:val="center"/>
          </w:tcPr>
          <w:p w14:paraId="061DD06F">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7A1E265F">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3ADA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6DF94019">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7</w:t>
            </w:r>
          </w:p>
        </w:tc>
        <w:tc>
          <w:tcPr>
            <w:tcW w:w="308" w:type="dxa"/>
            <w:vAlign w:val="center"/>
          </w:tcPr>
          <w:p w14:paraId="016D5D5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1FC9DD24">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烈士褒扬金给付</w:t>
            </w:r>
          </w:p>
        </w:tc>
        <w:tc>
          <w:tcPr>
            <w:tcW w:w="495" w:type="dxa"/>
            <w:vAlign w:val="center"/>
          </w:tcPr>
          <w:p w14:paraId="10D1EDFE">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32AD0F1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7BF802E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71E45F7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1.【行政法规】《烈士褒扬条例》（2011年国务院令第601号公布，2019年国务院令第718号修订）第十一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国家建立烈士褒扬金制度。烈士褒扬金标准为烈士牺牲时上一年度全国城镇居民人均可支配收入的30倍。战时，参战牺牲的烈士褒扬金标准可以适当提高。</w:t>
            </w:r>
          </w:p>
          <w:p w14:paraId="6A3A631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烈士褒扬金由颁发烈士证书的县级人民政府退役军人事务部门发给烈士的父母或者抚养人、配偶、子女；没有父母或者抚养人、配偶、子女的，发给烈士未满18周岁的兄弟姐妹和已满18周岁但无生活来源且由烈士生前供养的兄弟姐妹。</w:t>
            </w:r>
          </w:p>
          <w:p w14:paraId="26A8ACEF">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现役军人死亡被批准为烈士的，依照《烈士褒扬条例》的规定发给烈士遗属烈士褒扬金。</w:t>
            </w:r>
          </w:p>
        </w:tc>
        <w:tc>
          <w:tcPr>
            <w:tcW w:w="1618" w:type="dxa"/>
            <w:vAlign w:val="center"/>
          </w:tcPr>
          <w:p w14:paraId="03B3C15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D9B4B2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7D99E3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517C3E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84C0FAC">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617A8B7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1E5E074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6A93534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734AA19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4B99E41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37E930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0768EF43">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4827AF4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0A768C1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1501F5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7C46739">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5F98454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F8D348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1FE12B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D7BF59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E1C519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249EBDC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71300A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 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5C7988D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211F8C7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1260628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4CEC369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496A74B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02EC74D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0F66CB5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6A66852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574849D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765AD85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4C47250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08C0D34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146CC5E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67517E7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70B9805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7BD31F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EBC517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5F75FE2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DB660E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4BACD60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4FCF5E6E">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7DED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6" w:hRule="atLeast"/>
          <w:jc w:val="center"/>
        </w:trPr>
        <w:tc>
          <w:tcPr>
            <w:tcW w:w="406" w:type="dxa"/>
            <w:vAlign w:val="center"/>
          </w:tcPr>
          <w:p w14:paraId="10093EFA">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8</w:t>
            </w:r>
          </w:p>
        </w:tc>
        <w:tc>
          <w:tcPr>
            <w:tcW w:w="308" w:type="dxa"/>
            <w:vAlign w:val="center"/>
          </w:tcPr>
          <w:p w14:paraId="10DCD13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0AC9EB0F">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烈士、军人等死亡一次性抚恤金给付</w:t>
            </w:r>
          </w:p>
        </w:tc>
        <w:tc>
          <w:tcPr>
            <w:tcW w:w="495" w:type="dxa"/>
            <w:vAlign w:val="center"/>
          </w:tcPr>
          <w:p w14:paraId="4D05DDA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59D9A55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75969DE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6F309532">
            <w:pPr>
              <w:keepNext w:val="0"/>
              <w:keepLines w:val="0"/>
              <w:pageBreakBefore w:val="0"/>
              <w:widowControl/>
              <w:kinsoku/>
              <w:wordWrap/>
              <w:overflowPunct/>
              <w:topLinePunct w:val="0"/>
              <w:autoSpaceDE/>
              <w:autoSpaceDN/>
              <w:bidi w:val="0"/>
              <w:adjustRightInd w:val="0"/>
              <w:snapToGrid w:val="0"/>
              <w:spacing w:line="3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1.【行政法规】《烈士褒扬条例》（2011年国务院令第601号公布，2019年国务院令第718号修订）第十</w:t>
            </w:r>
            <w:r>
              <w:rPr>
                <w:rFonts w:hint="eastAsia" w:ascii="Times New Roman" w:hAnsi="Times New Roman" w:eastAsia="仿宋_GB2312"/>
                <w:color w:val="000000" w:themeColor="text1"/>
                <w:spacing w:val="-4"/>
                <w:kern w:val="0"/>
                <w:sz w:val="20"/>
                <w:szCs w:val="20"/>
                <w14:textFill>
                  <w14:solidFill>
                    <w14:schemeClr w14:val="tx1"/>
                  </w14:solidFill>
                </w14:textFill>
              </w:rPr>
              <w:t>二</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4"/>
                <w:kern w:val="0"/>
                <w:sz w:val="20"/>
                <w:szCs w:val="20"/>
                <w14:textFill>
                  <w14:solidFill>
                    <w14:schemeClr w14:val="tx1"/>
                  </w14:solidFill>
                </w14:textFill>
              </w:rPr>
              <w:t>烈士遗属除享受本条例第十一条规定的烈士褒扬金外，属于《军人抚恤优待条例》以及相关规定适用范围的，还享受因公牺牲一次性抚恤金；属于《工伤保险条例》以及相关规定适用范围的，还享受一次性工亡补助金以及相当于烈士本人40个月工资的烈士遗属特别补助金。</w:t>
            </w:r>
          </w:p>
          <w:p w14:paraId="7E9CEABE">
            <w:pPr>
              <w:keepNext w:val="0"/>
              <w:keepLines w:val="0"/>
              <w:pageBreakBefore w:val="0"/>
              <w:widowControl/>
              <w:kinsoku/>
              <w:wordWrap/>
              <w:overflowPunct/>
              <w:topLinePunct w:val="0"/>
              <w:autoSpaceDE/>
              <w:autoSpaceDN/>
              <w:bidi w:val="0"/>
              <w:adjustRightInd w:val="0"/>
              <w:snapToGrid w:val="0"/>
              <w:spacing w:line="3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不属于前款规定范围的烈士遗属，由县级人民政府退役军人事务部门发给一次性抚恤金，标准为烈士牺牲时上一年度全国城镇居民人均可支配收入的20倍加40个月的中国人民解放军排职少尉军官工资。</w:t>
            </w:r>
          </w:p>
          <w:p w14:paraId="2782D34B">
            <w:pPr>
              <w:keepNext w:val="0"/>
              <w:keepLines w:val="0"/>
              <w:pageBreakBefore w:val="0"/>
              <w:widowControl/>
              <w:kinsoku/>
              <w:wordWrap/>
              <w:overflowPunct/>
              <w:topLinePunct w:val="0"/>
              <w:autoSpaceDE/>
              <w:autoSpaceDN/>
              <w:bidi w:val="0"/>
              <w:adjustRightInd w:val="0"/>
              <w:snapToGrid w:val="0"/>
              <w:spacing w:line="3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现役军人死亡，根据其死亡性质和死亡时的月工资标准，由县级人民政府退役军人事务部门发给其遗属一次性抚恤金，标准是：烈士和因公牺牲的，为上一年度全国城镇居民人均可支配收入的20倍加本人40个月的工资；病故的，为上一年度全国城镇居民人均可支配收入的2倍加本人40个月的工资。月工资或者津贴低于排职少尉军官工资标准的，按照排职少尉军官工资标准计算。   获得荣誉称号或者立功的烈士、因公牺牲军人、病故军人，其遗属在应当享受的一次性抚恤金的基础上，由县级人民政府退役军人事务部门按照下列比例增发一次性抚恤金：（一）获得中央军事委员会授予荣誉称号的，增发35%；（二）获得军队军区级单位授予荣誉称号的，增发30%；（三）立一等功的，增发25%；（四）立二等功的，增发5%；（五）立三等功的，增发5%。   多次获得荣誉称号或者立功的烈士、因公牺牲军人、病故军人，其遗属由县级人民政府退役军人事务部门按照其中最高等级奖励的增发比例，增发一次性抚恤金。</w:t>
            </w:r>
          </w:p>
          <w:p w14:paraId="64494C9A">
            <w:pPr>
              <w:keepNext w:val="0"/>
              <w:keepLines w:val="0"/>
              <w:pageBreakBefore w:val="0"/>
              <w:widowControl/>
              <w:kinsoku/>
              <w:wordWrap/>
              <w:overflowPunct/>
              <w:topLinePunct w:val="0"/>
              <w:autoSpaceDE/>
              <w:autoSpaceDN/>
              <w:bidi w:val="0"/>
              <w:adjustRightInd w:val="0"/>
              <w:snapToGrid w:val="0"/>
              <w:spacing w:line="3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3.【地方政府规章】《广西壮族自治区实施〈军人抚恤优待条例〉办法》（2010年</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w:t>
            </w:r>
            <w:r>
              <w:rPr>
                <w:rFonts w:hint="eastAsia" w:ascii="Times New Roman" w:hAnsi="Times New Roman" w:eastAsia="仿宋_GB2312"/>
                <w:color w:val="000000" w:themeColor="text1"/>
                <w:kern w:val="0"/>
                <w:sz w:val="20"/>
                <w:szCs w:val="20"/>
                <w14:textFill>
                  <w14:solidFill>
                    <w14:schemeClr w14:val="tx1"/>
                  </w14:solidFill>
                </w14:textFill>
              </w:rPr>
              <w:t>自治区人民政府令第59号发布，2020年</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w:t>
            </w:r>
            <w:r>
              <w:rPr>
                <w:rFonts w:hint="eastAsia" w:ascii="Times New Roman" w:hAnsi="Times New Roman" w:eastAsia="仿宋_GB2312"/>
                <w:color w:val="000000" w:themeColor="text1"/>
                <w:kern w:val="0"/>
                <w:sz w:val="20"/>
                <w:szCs w:val="20"/>
                <w14:textFill>
                  <w14:solidFill>
                    <w14:schemeClr w14:val="tx1"/>
                  </w14:solidFill>
                </w14:textFill>
              </w:rPr>
              <w:t>自治区人民政府令第134号修正）第八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县级人民政府民政部门发放一次性抚恤金应当按照下列规定：（一）有父母（抚养人）、配偶、子女的，按照其共同协商确定的分配数额发放；协商不成的，按照人数等额发放；  （二）无父母（抚养）、配偶、子女的，发给未满18 周岁的兄弟姐妹或者已满18 周岁无生活费来源且由该军人生前供养的兄弟姐妹。兄弟姐妹为两人以上的，按照其共同协商确定的分配数额发放；协商不成的，按照人数等额发放。无前款规定遗属的不予发放一次性抚恤金   第二十八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退出现役的因战、因公致残的残疾军人因旧伤复发死亡的，由县级人民政府民政部门按照因公牺牲军人的抚恤金标准发给其遗属一次性抚恤金，其遗属享受因公牺牲军人遗属抚恤待遇。   退出现役的因战、因公、因病致残的残疾军人因病死亡的，对其遗属增发12个月的残疾抚恤金，作为丧葬补助费；其中，因战、因公致残的一级至四级残疾军人因病死亡的，其遗属享受病故军人遗属抚恤待遇。   第五十二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军队离休、退休干部和退休士官的抚恤优待，依照本条例有关现役军人抚恤优待的规定执行。</w:t>
            </w:r>
          </w:p>
          <w:p w14:paraId="6C622A20">
            <w:pPr>
              <w:keepNext w:val="0"/>
              <w:keepLines w:val="0"/>
              <w:pageBreakBefore w:val="0"/>
              <w:kinsoku/>
              <w:wordWrap/>
              <w:overflowPunct/>
              <w:topLinePunct w:val="0"/>
              <w:autoSpaceDE/>
              <w:autoSpaceDN/>
              <w:bidi w:val="0"/>
              <w:adjustRightInd w:val="0"/>
              <w:snapToGrid w:val="0"/>
              <w:spacing w:line="36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因参战伤亡的民兵、民工的抚恤，因参加军事演习、军事训练和执行军事勤务伤亡的预备役人员、民兵、民工以及其他人员的抚恤，参照本条例的有关规定办理。</w:t>
            </w:r>
          </w:p>
        </w:tc>
        <w:tc>
          <w:tcPr>
            <w:tcW w:w="1618" w:type="dxa"/>
            <w:vAlign w:val="center"/>
          </w:tcPr>
          <w:p w14:paraId="7E840F0C">
            <w:pPr>
              <w:widowControl/>
              <w:adjustRightInd w:val="0"/>
              <w:snapToGrid w:val="0"/>
              <w:spacing w:line="232"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227722F">
            <w:pPr>
              <w:widowControl/>
              <w:adjustRightInd w:val="0"/>
              <w:snapToGrid w:val="0"/>
              <w:spacing w:line="232"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A30239A">
            <w:pPr>
              <w:widowControl/>
              <w:adjustRightInd w:val="0"/>
              <w:snapToGrid w:val="0"/>
              <w:spacing w:line="232"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BD1EBD0">
            <w:pPr>
              <w:widowControl/>
              <w:adjustRightInd w:val="0"/>
              <w:snapToGrid w:val="0"/>
              <w:spacing w:line="232"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D249C4E">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44C17C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2F8FE15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7B6E569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A8FA87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2521105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497046F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220D53EA">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1074F20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6F0E519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D220B3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A34D7EB">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1B3890B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 xml:space="preserve"> </w:t>
            </w:r>
          </w:p>
          <w:p w14:paraId="375BF91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359EB7B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74CF6D3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0E999DA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54676F9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251FA26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1.【法律】《中华人民共和国行政许可法》</w:t>
            </w:r>
            <w:r>
              <w:rPr>
                <w:rFonts w:hint="eastAsia" w:ascii="Times New Roman" w:hAnsi="Times New Roman" w:eastAsia="仿宋_GB2312"/>
                <w:color w:val="000000" w:themeColor="text1"/>
                <w:kern w:val="0"/>
                <w:sz w:val="20"/>
                <w:szCs w:val="20"/>
                <w14:textFill>
                  <w14:solidFill>
                    <w14:schemeClr w14:val="tx1"/>
                  </w14:solidFill>
                </w14:textFill>
              </w:rPr>
              <w:t>（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51D29CD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4BFA307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7451E72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0762BA3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60A997E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1996D37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06E6869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5B4B59B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096E7B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2. 【法规】《军人抚恤优待条例》</w:t>
            </w:r>
            <w:r>
              <w:rPr>
                <w:rFonts w:hint="eastAsia" w:ascii="Times New Roman" w:hAnsi="Times New Roman" w:eastAsia="仿宋_GB2312"/>
                <w:color w:val="000000" w:themeColor="text1"/>
                <w:kern w:val="0"/>
                <w:sz w:val="20"/>
                <w:szCs w:val="20"/>
                <w14:textFill>
                  <w14:solidFill>
                    <w14:schemeClr w14:val="tx1"/>
                  </w14:solidFill>
                </w14:textFill>
              </w:rPr>
              <w:t>（国务院、中央军委令第602号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w:t>
            </w:r>
            <w:r>
              <w:rPr>
                <w:rFonts w:hint="eastAsia" w:ascii="Times New Roman" w:hAnsi="Times New Roman" w:eastAsia="仿宋_GB2312"/>
                <w:color w:val="000000" w:themeColor="text1"/>
                <w:kern w:val="0"/>
                <w:sz w:val="20"/>
                <w:szCs w:val="20"/>
                <w:lang w:eastAsia="zh-CN"/>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139EB58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（一）违反规定审批军人抚恤待遇的；</w:t>
            </w:r>
          </w:p>
          <w:p w14:paraId="781BBAB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（二）在审批军人抚恤待遇工作中出具虚假诊断、鉴定、证明的；</w:t>
            </w:r>
          </w:p>
          <w:p w14:paraId="5644308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（三）不按规定的标准、数额、对象审批或者发放抚恤金、补助金、优待金的；</w:t>
            </w:r>
          </w:p>
          <w:p w14:paraId="670B08C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（四）在军人抚恤优待工作中利用职权谋取私利的。</w:t>
            </w:r>
          </w:p>
          <w:p w14:paraId="5DE7046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3.同2.</w:t>
            </w:r>
          </w:p>
        </w:tc>
        <w:tc>
          <w:tcPr>
            <w:tcW w:w="532" w:type="dxa"/>
            <w:vAlign w:val="center"/>
          </w:tcPr>
          <w:p w14:paraId="1685B42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6E18FB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3332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EABA681">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9</w:t>
            </w:r>
          </w:p>
        </w:tc>
        <w:tc>
          <w:tcPr>
            <w:tcW w:w="308" w:type="dxa"/>
            <w:vAlign w:val="center"/>
          </w:tcPr>
          <w:p w14:paraId="6F5CAB6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730D3D14">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烈士、军人等遗属定期抚恤金给付</w:t>
            </w:r>
          </w:p>
        </w:tc>
        <w:tc>
          <w:tcPr>
            <w:tcW w:w="495" w:type="dxa"/>
            <w:vAlign w:val="center"/>
          </w:tcPr>
          <w:p w14:paraId="1ED3A1FC">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60DF58C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5DA12C0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46B6BEF4">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0A5C0C5">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286DEB2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2BD710D4">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烈士褒扬条例》（2011年国务院令第601号公布，2019年国务院令第718号修订）第十三条符合下列条件之一的烈士遗属，享受定期抚恤金：（一）烈士的父母或者抚养人、配偶无劳动能力、无生活来源，或者收入水平低于当地居民的平均生活水平的；（二）烈士的子女未满18周岁，或者已满18周岁但因残疾或者正在上学而无生活来源的；（三）由烈士生前供养的兄弟姐妹未满18周岁，或者已满18周岁但因正在上学而无生活来源的。</w:t>
            </w:r>
          </w:p>
          <w:p w14:paraId="1CEC467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符合前款规定条件享受定期抚恤金的烈士遗属，由其户口所在地的县级人民政府退役军人事务部门发给定期抚恤金领取证，凭证领取定期抚恤金。</w:t>
            </w:r>
          </w:p>
          <w:p w14:paraId="770A23E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享受定期抚恤金的烈士遗属户口迁移的，应当同时办理定期抚恤金转移手续。户口迁出地的县级人民政府民政部门发放当年的定期抚恤金；户口迁入地的县级人民政府退役军人事务部门凭定期抚恤金转移证明，从第二年1月起发放定期抚恤金。</w:t>
            </w:r>
          </w:p>
          <w:p w14:paraId="1333A36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对符合下列条件之一的烈士遗属、因公牺牲军人遗属、病故军人遗属，发给定期抚恤金：（一）父母（抚养人）、配偶无劳动能力、无生活费来源，或者收入水平低于当地居民平均生活水平的；（二）子女未满18周岁或者已满18周岁但因上学或者残疾无生活费来源的；（三）兄弟姐妹未满18周岁或者已满18周岁但因上学无生活费来源且由该军人生前供养的。</w:t>
            </w:r>
          </w:p>
          <w:p w14:paraId="120EAAA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对符合享受定期抚恤金条件的遗属，由县级人民政府退役军人事务部门发给《定期抚恤金领取证》。</w:t>
            </w:r>
          </w:p>
          <w:p w14:paraId="09A92A4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第二十八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退出现役的因战、因公致残的残疾军人因旧伤复发死亡的，由县级人民政府退役军人事务部门按照因公牺牲军人的抚恤金标准发给其遗属一次性抚恤金，其遗属享受因公牺牲军人遗属抚恤待遇。</w:t>
            </w:r>
          </w:p>
          <w:p w14:paraId="3E86710C">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退出现役的因战、因公、因病致残的残疾军人因病死亡的，对其遗属增发12个月的残疾抚恤金，作为丧葬补助费；其中，因战、因公致残的一级至四级残疾军人因病死亡的，其遗属享受病故军人遗属抚恤待遇。</w:t>
            </w:r>
          </w:p>
          <w:p w14:paraId="3E6F9A1D">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3.【地方政府规章】《广西壮族自治区实施〈军人抚恤优待条例〉办法》（2010年自治区人民政府令第59号发布，2020年自治区人民政府令第134号修正）</w:t>
            </w:r>
            <w:r>
              <w:rPr>
                <w:rFonts w:hint="eastAsia" w:ascii="Times New Roman" w:hAnsi="Times New Roman" w:eastAsia="仿宋_GB2312"/>
                <w:color w:val="000000" w:themeColor="text1"/>
                <w:spacing w:val="-4"/>
                <w:kern w:val="0"/>
                <w:sz w:val="20"/>
                <w:szCs w:val="20"/>
                <w14:textFill>
                  <w14:solidFill>
                    <w14:schemeClr w14:val="tx1"/>
                  </w14:solidFill>
                </w14:textFill>
              </w:rPr>
              <w:t>第九条第一款 烈士遗属、因公牺牲军人遗属、病故军人遗属符合《条例》规定条件的，可以向其户籍所在地的县级人民政府民政部门提出书面申请，享受定期抚恤金。</w:t>
            </w:r>
          </w:p>
          <w:p w14:paraId="644D0DB5">
            <w:pPr>
              <w:keepNext w:val="0"/>
              <w:keepLines w:val="0"/>
              <w:pageBreakBefore w:val="0"/>
              <w:widowControl/>
              <w:kinsoku/>
              <w:wordWrap/>
              <w:overflowPunct/>
              <w:topLinePunct w:val="0"/>
              <w:autoSpaceDE/>
              <w:autoSpaceDN/>
              <w:bidi w:val="0"/>
              <w:adjustRightInd w:val="0"/>
              <w:snapToGrid w:val="0"/>
              <w:spacing w:line="320" w:lineRule="exact"/>
              <w:ind w:firstLine="384" w:firstLineChars="200"/>
              <w:textAlignment w:val="auto"/>
              <w:rPr>
                <w:rFonts w:hint="eastAsia" w:ascii="Times New Roman" w:hAnsi="Times New Roman" w:eastAsia="仿宋_GB2312"/>
                <w:color w:val="000000" w:themeColor="text1"/>
                <w:spacing w:val="-4"/>
                <w:kern w:val="0"/>
                <w:sz w:val="20"/>
                <w:szCs w:val="20"/>
                <w14:textFill>
                  <w14:solidFill>
                    <w14:schemeClr w14:val="tx1"/>
                  </w14:solidFill>
                </w14:textFill>
              </w:rPr>
            </w:pPr>
            <w:r>
              <w:rPr>
                <w:rFonts w:hint="eastAsia" w:ascii="Times New Roman" w:hAnsi="Times New Roman" w:eastAsia="仿宋_GB2312"/>
                <w:color w:val="000000" w:themeColor="text1"/>
                <w:spacing w:val="-4"/>
                <w:kern w:val="0"/>
                <w:sz w:val="20"/>
                <w:szCs w:val="20"/>
                <w14:textFill>
                  <w14:solidFill>
                    <w14:schemeClr w14:val="tx1"/>
                  </w14:solidFill>
                </w14:textFill>
              </w:rPr>
              <w:t>第五十二</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4"/>
                <w:kern w:val="0"/>
                <w:sz w:val="20"/>
                <w:szCs w:val="20"/>
                <w14:textFill>
                  <w14:solidFill>
                    <w14:schemeClr w14:val="tx1"/>
                  </w14:solidFill>
                </w14:textFill>
              </w:rPr>
              <w:t>军队离休、退休干部和退休士官的抚恤优待，依照本条例有关现役军人抚恤优待的规定执行。</w:t>
            </w:r>
          </w:p>
          <w:p w14:paraId="2B7B2A86">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因参战伤亡的民兵、民工的抚恤，因参加军事演习、军事训练和执行军事勤务伤亡的预备役人员、民兵、民工以及其他人员的抚恤，参照本条例的有关规定办理。</w:t>
            </w:r>
          </w:p>
        </w:tc>
        <w:tc>
          <w:tcPr>
            <w:tcW w:w="1618" w:type="dxa"/>
            <w:vAlign w:val="center"/>
          </w:tcPr>
          <w:p w14:paraId="2831C464">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B8E70A8">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7426458">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D7AC434">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CAAB03">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5B6A59EF">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38C08C3">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4ED13970">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B80125C">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7958B394">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EC2FDE4">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10E57E30">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7FAF34F0">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因不履行或不正确履行行政职责，有下列情形的，相关工作人员应承担相应责任：</w:t>
            </w:r>
          </w:p>
          <w:p w14:paraId="578E1E1F">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4345742">
            <w:pPr>
              <w:widowControl/>
              <w:adjustRightInd w:val="0"/>
              <w:snapToGrid w:val="0"/>
              <w:spacing w:line="268"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2EE8894">
            <w:pPr>
              <w:widowControl/>
              <w:adjustRightInd w:val="0"/>
              <w:snapToGrid w:val="0"/>
              <w:spacing w:line="268"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77D5317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3A1D069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1ABEFAD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05E13AC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20B7AB0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 xml:space="preserve"> 1.【法律】《中华人民共和国行政许可法》</w:t>
            </w:r>
            <w:r>
              <w:rPr>
                <w:rFonts w:hint="eastAsia" w:ascii="Times New Roman" w:hAnsi="Times New Roman" w:eastAsia="仿宋_GB2312"/>
                <w:color w:val="000000" w:themeColor="text1"/>
                <w:kern w:val="0"/>
                <w:sz w:val="20"/>
                <w:szCs w:val="20"/>
                <w14:textFill>
                  <w14:solidFill>
                    <w14:schemeClr w14:val="tx1"/>
                  </w14:solidFill>
                </w14:textFill>
              </w:rPr>
              <w:t>（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079935F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3626806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2B39416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4F7F7CA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366B803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1F19B40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3710DD1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5CABEE0">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2. 【法规】《军人抚恤优待条例》</w:t>
            </w:r>
            <w:r>
              <w:rPr>
                <w:rFonts w:hint="eastAsia" w:ascii="Times New Roman" w:hAnsi="Times New Roman" w:eastAsia="仿宋_GB2312"/>
                <w:color w:val="000000" w:themeColor="text1"/>
                <w:kern w:val="0"/>
                <w:sz w:val="20"/>
                <w:szCs w:val="20"/>
                <w14:textFill>
                  <w14:solidFill>
                    <w14:schemeClr w14:val="tx1"/>
                  </w14:solidFill>
                </w14:textFill>
              </w:rPr>
              <w:t>（国务院、中央军委令第602号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w:t>
            </w:r>
            <w:r>
              <w:rPr>
                <w:rFonts w:hint="eastAsia" w:ascii="Times New Roman" w:hAnsi="Times New Roman" w:eastAsia="仿宋_GB2312"/>
                <w:color w:val="000000" w:themeColor="text1"/>
                <w:kern w:val="0"/>
                <w:sz w:val="20"/>
                <w:szCs w:val="20"/>
                <w:lang w:eastAsia="zh-CN"/>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696DCA4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（一）违反规定审批军人抚恤待遇的；</w:t>
            </w:r>
          </w:p>
          <w:p w14:paraId="5FF64B61">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（二）在审批军人抚恤待遇工作中出具虚假诊断、鉴定、证明的；</w:t>
            </w:r>
          </w:p>
          <w:p w14:paraId="43EF1520">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（三）不按规定的标准、数额、对象审批或者发放抚恤金、补助金、优待金的；</w:t>
            </w:r>
          </w:p>
          <w:p w14:paraId="253C0BE4">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（四）在军人抚恤优待工作中利用职权谋取私利的。</w:t>
            </w:r>
          </w:p>
          <w:p w14:paraId="7000021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3.同2.</w:t>
            </w:r>
          </w:p>
          <w:p w14:paraId="067FC65C">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5ACDF9F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tc>
        <w:tc>
          <w:tcPr>
            <w:tcW w:w="532" w:type="dxa"/>
            <w:vAlign w:val="center"/>
          </w:tcPr>
          <w:p w14:paraId="103EF08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3FDA4DF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E31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DE4F1E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10</w:t>
            </w:r>
          </w:p>
        </w:tc>
        <w:tc>
          <w:tcPr>
            <w:tcW w:w="308" w:type="dxa"/>
            <w:vAlign w:val="center"/>
          </w:tcPr>
          <w:p w14:paraId="47A27FF9">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4CC4ED0C">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复员军人、带病回乡退伍军人生活困难定期定量补助给付</w:t>
            </w:r>
          </w:p>
        </w:tc>
        <w:tc>
          <w:tcPr>
            <w:tcW w:w="495" w:type="dxa"/>
            <w:vAlign w:val="center"/>
          </w:tcPr>
          <w:p w14:paraId="1C2A697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61CA8B8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6CED3B7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46C2C58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1.【行政法规】《军人抚恤优待条例》（2004年国务院、中央军委令第413号发布，2019年国务院令第709号修订）第五条第一款　国务院退役军人事务部门主管全国的军人抚恤优待工作；县级以上地方人民政府退役军人事务部门主管本行政区域内的军人抚恤优待工作。</w:t>
            </w:r>
          </w:p>
          <w:p w14:paraId="27AFD5A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第四十四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复员军人生活困难的，按照规定的条件，由当地人民政府退役军人事务部门给予定期定量补助，逐步改善其生活条件。</w:t>
            </w:r>
          </w:p>
          <w:p w14:paraId="521E8CE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2.【地方政府规章】《广西壮族自治区实施〈军人抚恤优待条例〉办法》（2010年</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w:t>
            </w:r>
            <w:r>
              <w:rPr>
                <w:rFonts w:hint="eastAsia" w:ascii="Times New Roman" w:hAnsi="Times New Roman" w:eastAsia="仿宋_GB2312"/>
                <w:color w:val="000000" w:themeColor="text1"/>
                <w:kern w:val="0"/>
                <w:sz w:val="20"/>
                <w:szCs w:val="20"/>
                <w14:textFill>
                  <w14:solidFill>
                    <w14:schemeClr w14:val="tx1"/>
                  </w14:solidFill>
                </w14:textFill>
              </w:rPr>
              <w:t>自治区人民政府令第59号发布，2020年</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w:t>
            </w:r>
            <w:r>
              <w:rPr>
                <w:rFonts w:hint="eastAsia" w:ascii="Times New Roman" w:hAnsi="Times New Roman" w:eastAsia="仿宋_GB2312"/>
                <w:color w:val="000000" w:themeColor="text1"/>
                <w:kern w:val="0"/>
                <w:sz w:val="20"/>
                <w:szCs w:val="20"/>
                <w14:textFill>
                  <w14:solidFill>
                    <w14:schemeClr w14:val="tx1"/>
                  </w14:solidFill>
                </w14:textFill>
              </w:rPr>
              <w:t>自治区人民政府令第134号修正）第十一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复员军人、带病回乡退伍军人生活困难的，按照国家和自治区规定的条件，由户籍所在地县级人民政府民政部门给予定期定量生活补助，改善其生活条件。</w:t>
            </w:r>
          </w:p>
          <w:p w14:paraId="4ABF90B4">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3.【规范性文件】《广西壮族自治区带病回乡退伍军人认定管理办法》（桂民发﹝2013〕35号）第十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符合享受带病回乡退伍军人待遇的人员，从批准之日的下月起享受相关待遇，并由县级人民政府民政部门发给定期补助。</w:t>
            </w:r>
          </w:p>
        </w:tc>
        <w:tc>
          <w:tcPr>
            <w:tcW w:w="1618" w:type="dxa"/>
            <w:vAlign w:val="center"/>
          </w:tcPr>
          <w:p w14:paraId="6E0B052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8DA58C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30BCA1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F8E562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812057B">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3D97AA5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D82141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2C07B34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96D60E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46FBD3C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67D3549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66807DF6">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76DC71B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17FDE15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36384A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615BADE">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47DDCAB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4962B19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2CE0658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7CE7D00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72566F3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1577184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34AE481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15F721E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7DD657A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2C34BB8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072A7FC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4669BA6A">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7A9BD1C5">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603603CC">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7BA7BF08">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21FAFD4A">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49308F9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331693AC">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10C1DB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38521B91">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5E53897B">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0BF6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7478943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11</w:t>
            </w:r>
          </w:p>
        </w:tc>
        <w:tc>
          <w:tcPr>
            <w:tcW w:w="308" w:type="dxa"/>
            <w:vAlign w:val="center"/>
          </w:tcPr>
          <w:p w14:paraId="58A75CE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1CD86A94">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烈士遗属、因公牺牲军人遗属、病故军人遗属、复员军人、带病回乡退伍军人死亡丧葬补助费给付</w:t>
            </w:r>
          </w:p>
        </w:tc>
        <w:tc>
          <w:tcPr>
            <w:tcW w:w="495" w:type="dxa"/>
            <w:vAlign w:val="center"/>
          </w:tcPr>
          <w:p w14:paraId="4872584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320A47B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65A6740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E9ED38C">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1.【行政法规】《烈士褒扬条例》（2011年国务院令第601号公布，2019年国务院令第718号修订）第十七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烈士遗属不再符合本条例规定的享受定期抚恤金条件的，应当注销其定期抚恤金领取证，停发定期抚恤金。</w:t>
            </w:r>
          </w:p>
          <w:p w14:paraId="2729757B">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享受定期抚恤金的烈士遗属死亡的，增发6个月其原享受的定期抚恤金作为丧葬补助费，同时注销其定期抚恤金领取证，停发定期抚恤金。</w:t>
            </w:r>
          </w:p>
          <w:p w14:paraId="3ABE8398">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享受定期抚恤金的烈士遗属、因公牺牲军人遗属、病故军人遗属死亡的，增发6个月其原享受的定期抚恤金，作为丧葬补助费，同时注销其领取定期抚恤金的证件。</w:t>
            </w:r>
          </w:p>
          <w:p w14:paraId="7113B441">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第二十八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退出现役的因战、因公致残的残疾军人因旧伤复发死亡的，由县级人民政府退役军人事务部门按照因公牺牲军人的抚恤金标准发给其遗属一次性抚恤金，其遗属享受因公牺牲军人遗属抚恤待遇。</w:t>
            </w:r>
          </w:p>
          <w:p w14:paraId="75E3438F">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退出现役的因战、因公、因病致残的残疾军人因病死亡的，对其遗属增发12个月的残疾抚恤金，作为丧葬补助费；其中，因战、因公致残的一级至四级残疾军人因病死亡的，其遗属享受病故军人遗属抚恤待遇。</w:t>
            </w:r>
          </w:p>
          <w:p w14:paraId="7C7955EF">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军队离休、退休干部和退休士官的抚恤优待，依照本条例有关现役军人抚恤优待的规定执行。</w:t>
            </w:r>
          </w:p>
          <w:p w14:paraId="4AE2286D">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因参战伤亡的民兵、民工的抚恤，因参加军事演习、军事训练和执行军事勤务伤亡的预备役人员、民兵、民工以及其他人员的抚恤，参照本条例的有关规定办理。</w:t>
            </w:r>
          </w:p>
          <w:p w14:paraId="4935408C">
            <w:pPr>
              <w:keepNext w:val="0"/>
              <w:keepLines w:val="0"/>
              <w:pageBreakBefore w:val="0"/>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3.【地方政府规章】《广西壮族自治区实施〈军人抚恤优待条例〉办法》（2010年自治区人民政府令第59号发布，2020年自治区人民政府令第134号修正）第十三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享受定期抚恤金的烈士遗属、因公牺牲军人遗属、病故军人遗属死亡或者享受定期定量生活补助的复员军人、带病回乡退伍军人死亡，由其户籍所在地的县级人民政府民政部门增发6 个月其原享受的定期抚恤金或者定期定量生活补助，作为丧葬补助费。并自其死亡次月起停发定期抚恤金或者定期定量生活补助。</w:t>
            </w:r>
          </w:p>
        </w:tc>
        <w:tc>
          <w:tcPr>
            <w:tcW w:w="1618" w:type="dxa"/>
            <w:vAlign w:val="center"/>
          </w:tcPr>
          <w:p w14:paraId="0D9BDE5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D87EF1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DBCB8A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08E850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FCAD55C">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2D518C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2964B6D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61997F0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510F795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491E619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F17F47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41A3CBE7">
            <w:pPr>
              <w:adjustRightInd w:val="0"/>
              <w:snapToGrid w:val="0"/>
              <w:spacing w:line="300" w:lineRule="exact"/>
              <w:ind w:firstLine="400" w:firstLineChars="200"/>
              <w:rPr>
                <w:rFonts w:hint="eastAsia" w:ascii="Times New Roman" w:hAnsi="Times New Roman" w:eastAsia="仿宋_GB2312"/>
                <w:b/>
                <w:bCs/>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210E1BB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75B49DA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C69C8A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487256A">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DBABD7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42921FF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488CDA3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5E6549B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1E22B26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1E46196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33D6648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7963623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426AD6C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2B22469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7AA3D84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421BF40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71D11B1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67AFA3B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1A51009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0CB2E5C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18D2E0D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5A5BFBC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6B1EAB4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7AA3DAF1">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537EF594">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0EB7503">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38725B33">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3C5D9813">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33055794">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5FD1BE0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7593D6AB">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4429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70294E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12</w:t>
            </w:r>
          </w:p>
        </w:tc>
        <w:tc>
          <w:tcPr>
            <w:tcW w:w="308" w:type="dxa"/>
            <w:vAlign w:val="center"/>
          </w:tcPr>
          <w:p w14:paraId="46F66FE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62C156BA">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退出现役的残疾军人残疾抚恤金给付</w:t>
            </w:r>
          </w:p>
        </w:tc>
        <w:tc>
          <w:tcPr>
            <w:tcW w:w="495" w:type="dxa"/>
            <w:vAlign w:val="center"/>
          </w:tcPr>
          <w:p w14:paraId="1DBCE80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2F80810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3CEF301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20FE82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1.【法律】《中华人民共和国退役军人保障法》第五十六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残疾退役军人依法享受抚恤。</w:t>
            </w:r>
          </w:p>
          <w:p w14:paraId="2B92B7E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残疾退役军人按照残疾等级享受残疾抚恤金，标准由国务院退役军人工作主管部门会同国务院财政部门综合考虑国家经济社会发展水平、消费物价水平、全国城镇单位就业人员工资水平、国家财力情况等因素确定。残疾抚恤金由县级人民政府退役军人工作主管部门发放。</w:t>
            </w:r>
          </w:p>
          <w:p w14:paraId="57CF37A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2.【行政法规】《军人抚恤优待条例》（2004年国务院、中央军委令第413号发布，2019年国务院令第709号修订）第二十六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退出现役的残疾军人，按照残疾等级享受残疾抚恤金。残疾抚恤金由县级人民政府退役军人事务部门发给。</w:t>
            </w:r>
          </w:p>
          <w:p w14:paraId="1AF18B0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因工作需要继续服现役的残疾军人，经军队军级以上单位批准，由所在部队按照规定发给残疾抚恤金。</w:t>
            </w:r>
          </w:p>
          <w:p w14:paraId="70A0DEE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3.【部门规章】《伤残抚恤管理办法》（2007年民政部令第34号公布，2019年退役军人事务部令第1号修订）第二十三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人员从被批准残疾等级评定后的下一个月起，由户籍地县级人民政府退役军人事务部门按照规定予以抚恤。伤残人员抚恤关系转移的，其当年的抚恤金由部队或者迁出地的退役军人事务部门负责发给，从下一年起由迁入地退役军人事务部门按当地标准发给。由于申请人原因造成抚恤金断发的，不再补发。 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14:paraId="7B2CC51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残疾军人、复员军人、带病回乡退伍军人以及因公牺牲军人遗属、病故军人遗属享受医疗优惠待遇。具体办法由省、自治区、直辖市人民政府规定。</w:t>
            </w:r>
          </w:p>
          <w:p w14:paraId="6671F5F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中央财政对抚恤优待对象人数较多的困难地区给予适当补助，用于帮助解决抚恤优待对象的医疗费用困难问题。</w:t>
            </w:r>
          </w:p>
          <w:p w14:paraId="229CE8B3">
            <w:pPr>
              <w:keepNext w:val="0"/>
              <w:keepLines w:val="0"/>
              <w:pageBreakBefore w:val="0"/>
              <w:kinsoku/>
              <w:wordWrap/>
              <w:overflowPunct/>
              <w:topLinePunct w:val="0"/>
              <w:autoSpaceDE/>
              <w:autoSpaceDN/>
              <w:bidi w:val="0"/>
              <w:adjustRightInd w:val="0"/>
              <w:snapToGrid w:val="0"/>
              <w:spacing w:line="22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4.【规范性文件】《广西壮族自治区一至六级残疾军人医疗保障实施办法》（桂民发〔2007〕59号）</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医疗补助所需资金由残疾军人残疾抚恤关系所在地民政、劳动和社会保障根据本地经济和社会发展水平、财政负担能力、残疾军人医疗费实际支出和原医疗保障水平等因素测算，经同级财政部门审核确定后，列入当年财政预算。各地要管好用好医疗补助的资金，保障残疾军人现有的医疗待遇不降低，尤其要对一至四级残疾军人给予政策倾斜。残疾军人在单位已享受的医疗保障待遇高于本办法的，由原单位继续予以保障。医疗补助资金要与基本医疗保险基金，分开核算，</w:t>
            </w:r>
            <w:r>
              <w:rPr>
                <w:rFonts w:hint="eastAsia" w:eastAsia="仿宋_GB2312"/>
                <w:color w:val="000000" w:themeColor="text1"/>
                <w:kern w:val="0"/>
                <w:sz w:val="20"/>
                <w:szCs w:val="20"/>
                <w:lang w:eastAsia="zh-CN"/>
                <w14:textFill>
                  <w14:solidFill>
                    <w14:schemeClr w14:val="tx1"/>
                  </w14:solidFill>
                </w14:textFill>
              </w:rPr>
              <w:t>单独列账</w:t>
            </w:r>
            <w:r>
              <w:rPr>
                <w:rFonts w:hint="eastAsia" w:ascii="Times New Roman" w:hAnsi="Times New Roman" w:eastAsia="仿宋_GB2312"/>
                <w:color w:val="000000" w:themeColor="text1"/>
                <w:kern w:val="0"/>
                <w:sz w:val="20"/>
                <w:szCs w:val="20"/>
                <w14:textFill>
                  <w14:solidFill>
                    <w14:schemeClr w14:val="tx1"/>
                  </w14:solidFill>
                </w14:textFill>
              </w:rPr>
              <w:t>。</w:t>
            </w:r>
          </w:p>
        </w:tc>
        <w:tc>
          <w:tcPr>
            <w:tcW w:w="1618" w:type="dxa"/>
            <w:vAlign w:val="center"/>
          </w:tcPr>
          <w:p w14:paraId="36FE6D8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BF8889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AE84D6A">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09B56B">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4F06AF8">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0C4468EB">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w:t>
            </w:r>
            <w:r>
              <w:rPr>
                <w:rFonts w:hint="eastAsia" w:ascii="Times New Roman" w:hAnsi="Times New Roman" w:eastAsia="仿宋_GB2312"/>
                <w:color w:val="000000" w:themeColor="text1"/>
                <w:kern w:val="0"/>
                <w:sz w:val="20"/>
                <w:szCs w:val="20"/>
                <w14:textFill>
                  <w14:solidFill>
                    <w14:schemeClr w14:val="tx1"/>
                  </w14:solidFill>
                </w14:textFill>
              </w:rPr>
              <w:t>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4C259C51">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670702D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9D03288">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7CE907E6">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4FCBC3EE">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59B07DB9">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0B9A331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54AD5F0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8AAE33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A1A4290">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650392E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04B145F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5918816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623249C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723B14E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68ECFE4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1D27E83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217DDC0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28016D2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6FBCFD4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7C08026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0E17EEC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5BF5610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43FCFDD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7D5C8CC1">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5118154A">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1A239C8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7DE49A77">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02A57573">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5AF9B949">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35314FF1">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222388B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1781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7C75277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13</w:t>
            </w:r>
          </w:p>
        </w:tc>
        <w:tc>
          <w:tcPr>
            <w:tcW w:w="308" w:type="dxa"/>
            <w:vAlign w:val="center"/>
          </w:tcPr>
          <w:p w14:paraId="5C04ABF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5A39536F">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退出现役的因战、因公、因病致残的因病死亡的残疾军人死亡丧葬补助费给付</w:t>
            </w:r>
          </w:p>
        </w:tc>
        <w:tc>
          <w:tcPr>
            <w:tcW w:w="495" w:type="dxa"/>
            <w:vAlign w:val="center"/>
          </w:tcPr>
          <w:p w14:paraId="7B7F365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34DA6D1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28F3543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6015D976">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【行政法规】《军人抚恤</w:t>
            </w:r>
            <w:r>
              <w:rPr>
                <w:rFonts w:hint="eastAsia" w:ascii="Times New Roman" w:hAnsi="Times New Roman" w:eastAsia="仿宋_GB2312"/>
                <w:color w:val="000000" w:themeColor="text1"/>
                <w:kern w:val="0"/>
                <w:sz w:val="20"/>
                <w:szCs w:val="20"/>
                <w14:textFill>
                  <w14:solidFill>
                    <w14:schemeClr w14:val="tx1"/>
                  </w14:solidFill>
                </w14:textFill>
              </w:rPr>
              <w:t>优待条例</w:t>
            </w:r>
            <w:r>
              <w:rPr>
                <w:rFonts w:hint="eastAsia" w:ascii="Times New Roman" w:hAnsi="Times New Roman" w:eastAsia="仿宋_GB2312" w:cs="宋体"/>
                <w:color w:val="000000" w:themeColor="text1"/>
                <w:kern w:val="0"/>
                <w:sz w:val="20"/>
                <w:szCs w:val="20"/>
                <w14:textFill>
                  <w14:solidFill>
                    <w14:schemeClr w14:val="tx1"/>
                  </w14:solidFill>
                </w14:textFill>
              </w:rPr>
              <w:t>》（2004年国务院、</w:t>
            </w:r>
            <w:r>
              <w:rPr>
                <w:rFonts w:hint="eastAsia" w:ascii="Times New Roman" w:hAnsi="Times New Roman" w:eastAsia="仿宋_GB2312"/>
                <w:color w:val="000000" w:themeColor="text1"/>
                <w:kern w:val="0"/>
                <w:sz w:val="20"/>
                <w:szCs w:val="20"/>
                <w14:textFill>
                  <w14:solidFill>
                    <w14:schemeClr w14:val="tx1"/>
                  </w14:solidFill>
                </w14:textFill>
              </w:rPr>
              <w:t>中央军</w:t>
            </w:r>
            <w:r>
              <w:rPr>
                <w:rFonts w:hint="eastAsia" w:ascii="Times New Roman" w:hAnsi="Times New Roman" w:eastAsia="仿宋_GB2312" w:cs="宋体"/>
                <w:color w:val="000000" w:themeColor="text1"/>
                <w:kern w:val="0"/>
                <w:sz w:val="20"/>
                <w:szCs w:val="20"/>
                <w14:textFill>
                  <w14:solidFill>
                    <w14:schemeClr w14:val="tx1"/>
                  </w14:solidFill>
                </w14:textFill>
              </w:rPr>
              <w:t>委令第4</w:t>
            </w:r>
            <w:r>
              <w:rPr>
                <w:rFonts w:hint="eastAsia" w:ascii="Times New Roman" w:hAnsi="Times New Roman" w:eastAsia="仿宋_GB2312"/>
                <w:color w:val="000000" w:themeColor="text1"/>
                <w:kern w:val="0"/>
                <w:sz w:val="20"/>
                <w:szCs w:val="20"/>
                <w14:textFill>
                  <w14:solidFill>
                    <w14:schemeClr w14:val="tx1"/>
                  </w14:solidFill>
                </w14:textFill>
              </w:rPr>
              <w:t>13号发</w:t>
            </w:r>
            <w:r>
              <w:rPr>
                <w:rFonts w:hint="eastAsia" w:ascii="Times New Roman" w:hAnsi="Times New Roman" w:eastAsia="仿宋_GB2312" w:cs="宋体"/>
                <w:color w:val="000000" w:themeColor="text1"/>
                <w:kern w:val="0"/>
                <w:sz w:val="20"/>
                <w:szCs w:val="20"/>
                <w14:textFill>
                  <w14:solidFill>
                    <w14:schemeClr w14:val="tx1"/>
                  </w14:solidFill>
                </w14:textFill>
              </w:rPr>
              <w:t>布，2019</w:t>
            </w:r>
            <w:r>
              <w:rPr>
                <w:rFonts w:hint="eastAsia" w:ascii="Times New Roman" w:hAnsi="Times New Roman" w:eastAsia="仿宋_GB2312"/>
                <w:color w:val="000000" w:themeColor="text1"/>
                <w:kern w:val="0"/>
                <w:sz w:val="20"/>
                <w:szCs w:val="20"/>
                <w14:textFill>
                  <w14:solidFill>
                    <w14:schemeClr w14:val="tx1"/>
                  </w14:solidFill>
                </w14:textFill>
              </w:rPr>
              <w:t>年国务</w:t>
            </w:r>
            <w:r>
              <w:rPr>
                <w:rFonts w:hint="eastAsia" w:ascii="Times New Roman" w:hAnsi="Times New Roman" w:eastAsia="仿宋_GB2312" w:cs="宋体"/>
                <w:color w:val="000000" w:themeColor="text1"/>
                <w:kern w:val="0"/>
                <w:sz w:val="20"/>
                <w:szCs w:val="20"/>
                <w14:textFill>
                  <w14:solidFill>
                    <w14:schemeClr w14:val="tx1"/>
                  </w14:solidFill>
                </w14:textFill>
              </w:rPr>
              <w:t>院令第709号</w:t>
            </w:r>
            <w:r>
              <w:rPr>
                <w:rFonts w:hint="eastAsia" w:ascii="Times New Roman" w:hAnsi="Times New Roman" w:eastAsia="仿宋_GB2312"/>
                <w:color w:val="000000" w:themeColor="text1"/>
                <w:kern w:val="0"/>
                <w:sz w:val="20"/>
                <w:szCs w:val="20"/>
                <w14:textFill>
                  <w14:solidFill>
                    <w14:schemeClr w14:val="tx1"/>
                  </w14:solidFill>
                </w14:textFill>
              </w:rPr>
              <w:t>修订）</w:t>
            </w:r>
            <w:r>
              <w:rPr>
                <w:rFonts w:hint="eastAsia" w:ascii="Times New Roman" w:hAnsi="Times New Roman" w:eastAsia="仿宋_GB2312" w:cs="宋体"/>
                <w:color w:val="000000" w:themeColor="text1"/>
                <w:kern w:val="0"/>
                <w:sz w:val="20"/>
                <w:szCs w:val="20"/>
                <w14:textFill>
                  <w14:solidFill>
                    <w14:schemeClr w14:val="tx1"/>
                  </w14:solidFill>
                </w14:textFill>
              </w:rPr>
              <w:t>第五</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……县级以上地方人民政府退役军人事务部门主管本行政区域内的军人</w:t>
            </w:r>
            <w:r>
              <w:rPr>
                <w:rFonts w:hint="eastAsia" w:ascii="Times New Roman" w:hAnsi="Times New Roman" w:eastAsia="仿宋_GB2312"/>
                <w:color w:val="000000" w:themeColor="text1"/>
                <w:kern w:val="0"/>
                <w:sz w:val="20"/>
                <w:szCs w:val="20"/>
                <w14:textFill>
                  <w14:solidFill>
                    <w14:schemeClr w14:val="tx1"/>
                  </w14:solidFill>
                </w14:textFill>
              </w:rPr>
              <w:t>抚恤</w:t>
            </w:r>
            <w:r>
              <w:rPr>
                <w:rFonts w:hint="eastAsia" w:ascii="Times New Roman" w:hAnsi="Times New Roman" w:eastAsia="仿宋_GB2312" w:cs="宋体"/>
                <w:color w:val="000000" w:themeColor="text1"/>
                <w:kern w:val="0"/>
                <w:sz w:val="20"/>
                <w:szCs w:val="20"/>
                <w14:textFill>
                  <w14:solidFill>
                    <w14:schemeClr w14:val="tx1"/>
                  </w14:solidFill>
                </w14:textFill>
              </w:rPr>
              <w:t>优</w:t>
            </w:r>
            <w:r>
              <w:rPr>
                <w:rFonts w:hint="eastAsia" w:ascii="Times New Roman" w:hAnsi="Times New Roman" w:eastAsia="仿宋_GB2312"/>
                <w:color w:val="000000" w:themeColor="text1"/>
                <w:kern w:val="0"/>
                <w:sz w:val="20"/>
                <w:szCs w:val="20"/>
                <w14:textFill>
                  <w14:solidFill>
                    <w14:schemeClr w14:val="tx1"/>
                  </w14:solidFill>
                </w14:textFill>
              </w:rPr>
              <w:t>待工作</w:t>
            </w:r>
            <w:r>
              <w:rPr>
                <w:rFonts w:hint="eastAsia" w:ascii="Times New Roman" w:hAnsi="Times New Roman" w:eastAsia="仿宋_GB2312" w:cs="宋体"/>
                <w:color w:val="000000" w:themeColor="text1"/>
                <w:kern w:val="0"/>
                <w:sz w:val="20"/>
                <w:szCs w:val="20"/>
                <w14:textFill>
                  <w14:solidFill>
                    <w14:schemeClr w14:val="tx1"/>
                  </w14:solidFill>
                </w14:textFill>
              </w:rPr>
              <w:t>……。</w:t>
            </w:r>
          </w:p>
          <w:p w14:paraId="1160BF18">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第二十六</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退出现役的残疾军人，按照残疾等级享受残疾抚恤金。残疾抚恤金由县级人民政府退役军人事</w:t>
            </w:r>
            <w:r>
              <w:rPr>
                <w:rFonts w:hint="eastAsia" w:ascii="Times New Roman" w:hAnsi="Times New Roman" w:eastAsia="仿宋_GB2312"/>
                <w:color w:val="000000" w:themeColor="text1"/>
                <w:kern w:val="0"/>
                <w:sz w:val="20"/>
                <w:szCs w:val="20"/>
                <w14:textFill>
                  <w14:solidFill>
                    <w14:schemeClr w14:val="tx1"/>
                  </w14:solidFill>
                </w14:textFill>
              </w:rPr>
              <w:t>务部门</w:t>
            </w:r>
            <w:r>
              <w:rPr>
                <w:rFonts w:hint="eastAsia" w:ascii="Times New Roman" w:hAnsi="Times New Roman" w:eastAsia="仿宋_GB2312" w:cs="宋体"/>
                <w:color w:val="000000" w:themeColor="text1"/>
                <w:kern w:val="0"/>
                <w:sz w:val="20"/>
                <w:szCs w:val="20"/>
                <w14:textFill>
                  <w14:solidFill>
                    <w14:schemeClr w14:val="tx1"/>
                  </w14:solidFill>
                </w14:textFill>
              </w:rPr>
              <w:t>发给。</w:t>
            </w:r>
          </w:p>
          <w:p w14:paraId="133F1A00">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第二</w:t>
            </w:r>
            <w:r>
              <w:rPr>
                <w:rFonts w:hint="eastAsia" w:ascii="Times New Roman" w:hAnsi="Times New Roman" w:eastAsia="仿宋_GB2312"/>
                <w:color w:val="000000" w:themeColor="text1"/>
                <w:kern w:val="0"/>
                <w:sz w:val="20"/>
                <w:szCs w:val="20"/>
                <w14:textFill>
                  <w14:solidFill>
                    <w14:schemeClr w14:val="tx1"/>
                  </w14:solidFill>
                </w14:textFill>
              </w:rPr>
              <w:t>十</w:t>
            </w:r>
            <w:r>
              <w:rPr>
                <w:rFonts w:hint="eastAsia" w:ascii="Times New Roman" w:hAnsi="Times New Roman" w:eastAsia="仿宋_GB2312" w:cs="宋体"/>
                <w:color w:val="000000" w:themeColor="text1"/>
                <w:kern w:val="0"/>
                <w:sz w:val="20"/>
                <w:szCs w:val="20"/>
                <w14:textFill>
                  <w14:solidFill>
                    <w14:schemeClr w14:val="tx1"/>
                  </w14:solidFill>
                </w14:textFill>
              </w:rPr>
              <w:t>八条第二款 退出现役的因战、因公、因病致残的残疾军人因病死亡的，</w:t>
            </w:r>
            <w:r>
              <w:rPr>
                <w:rFonts w:hint="eastAsia" w:ascii="Times New Roman" w:hAnsi="Times New Roman" w:eastAsia="仿宋_GB2312"/>
                <w:color w:val="000000" w:themeColor="text1"/>
                <w:kern w:val="0"/>
                <w:sz w:val="20"/>
                <w:szCs w:val="20"/>
                <w14:textFill>
                  <w14:solidFill>
                    <w14:schemeClr w14:val="tx1"/>
                  </w14:solidFill>
                </w14:textFill>
              </w:rPr>
              <w:t>对其</w:t>
            </w:r>
            <w:r>
              <w:rPr>
                <w:rFonts w:hint="eastAsia" w:ascii="Times New Roman" w:hAnsi="Times New Roman" w:eastAsia="仿宋_GB2312" w:cs="宋体"/>
                <w:color w:val="000000" w:themeColor="text1"/>
                <w:kern w:val="0"/>
                <w:sz w:val="20"/>
                <w:szCs w:val="20"/>
                <w14:textFill>
                  <w14:solidFill>
                    <w14:schemeClr w14:val="tx1"/>
                  </w14:solidFill>
                </w14:textFill>
              </w:rPr>
              <w:t>遗属增发12个月的残疾抚恤金，作为丧葬补助费；其中，因战、因公致残的一级至四级残疾军人因病死亡的，其遗属享受病故军人遗</w:t>
            </w:r>
            <w:r>
              <w:rPr>
                <w:rFonts w:hint="eastAsia" w:ascii="Times New Roman" w:hAnsi="Times New Roman" w:eastAsia="仿宋_GB2312"/>
                <w:color w:val="000000" w:themeColor="text1"/>
                <w:kern w:val="0"/>
                <w:sz w:val="20"/>
                <w:szCs w:val="20"/>
                <w14:textFill>
                  <w14:solidFill>
                    <w14:schemeClr w14:val="tx1"/>
                  </w14:solidFill>
                </w14:textFill>
              </w:rPr>
              <w:t>属抚恤待遇。</w:t>
            </w:r>
          </w:p>
        </w:tc>
        <w:tc>
          <w:tcPr>
            <w:tcW w:w="1618" w:type="dxa"/>
            <w:vAlign w:val="center"/>
          </w:tcPr>
          <w:p w14:paraId="280720C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DC9C1E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55F22E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77EA51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32A8666">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080FFDA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w:t>
            </w:r>
            <w:r>
              <w:rPr>
                <w:rFonts w:hint="eastAsia" w:ascii="Times New Roman" w:hAnsi="Times New Roman" w:eastAsia="仿宋_GB2312"/>
                <w:color w:val="000000" w:themeColor="text1"/>
                <w:kern w:val="0"/>
                <w:sz w:val="20"/>
                <w:szCs w:val="20"/>
                <w14:textFill>
                  <w14:solidFill>
                    <w14:schemeClr w14:val="tx1"/>
                  </w14:solidFill>
                </w14:textFill>
              </w:rPr>
              <w:t>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FF86C3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7901963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03F0030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608379B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1161F31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4B015652">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71E6BEC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1A3115D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87BF9D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E0B6DDF">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4BBEBA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6AF46BD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07A6526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264B3F9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6C0F529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27CECE2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32533D8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51B8051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3FB4F5A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6E686D9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54441F7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5F351471">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0329D0BD">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0778219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26B5A6B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4ABD8900">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29B350E4">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7AA4F2BA">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8593C50">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5091D91C">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2B60CD1">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1B50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04DF86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14</w:t>
            </w:r>
          </w:p>
        </w:tc>
        <w:tc>
          <w:tcPr>
            <w:tcW w:w="308" w:type="dxa"/>
            <w:vAlign w:val="center"/>
          </w:tcPr>
          <w:p w14:paraId="611E9EB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4BBFD318">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退出现役的分散安置的一级至四级残疾军人护理费给付</w:t>
            </w:r>
          </w:p>
        </w:tc>
        <w:tc>
          <w:tcPr>
            <w:tcW w:w="495" w:type="dxa"/>
            <w:vAlign w:val="center"/>
          </w:tcPr>
          <w:p w14:paraId="675603CB">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47C881A9">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3BFE531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70C1349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对分散安置的一级至四级残疾军人发给护理费，护理费的标准为：</w:t>
            </w:r>
          </w:p>
          <w:p w14:paraId="391191B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（一）因战、因公一级和二级残疾的，为当地职工月平均工资的50%；</w:t>
            </w:r>
          </w:p>
          <w:p w14:paraId="101AC97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（二）因战、因公三级和四级残疾的，为当地职工月平均工资的40%；</w:t>
            </w:r>
          </w:p>
          <w:p w14:paraId="0249D60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（三）因病一级至四级残疾的，为当地职工月平均工资的30%。</w:t>
            </w:r>
          </w:p>
          <w:p w14:paraId="41548E0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退出现役的残疾军人的护理费，由县级以上地方人民政府退役军人事务部门发给；未退出现役的残疾军人的护理费，经军队军级以上单位批准，由所在部队发给。</w:t>
            </w:r>
          </w:p>
          <w:p w14:paraId="2B71C343">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2.【地方政府规章】《广西壮族自治区实施〈军人抚恤优待条例〉办法》（2010年自治区人民政府令第59号发布，2020年自治区人民政府令第134号修正）第十四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分散安置的一级至四级残疾军人，其户籍所在地的县级人民政府退役军人事务部门应当按照规定发给护理费。集中供养的残疾军人的护理费由集中供养机构统一安排使用。</w:t>
            </w:r>
          </w:p>
        </w:tc>
        <w:tc>
          <w:tcPr>
            <w:tcW w:w="1618" w:type="dxa"/>
            <w:vAlign w:val="center"/>
          </w:tcPr>
          <w:p w14:paraId="79902C3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4FE8BC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9EAE47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8EE9CC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AB0569B">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5417850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318AD3D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35CD4A0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38D6FEF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3B48B14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18EE64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2A517C09">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766FD37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31A4D36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8BC8D7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4B354B9">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74D1E83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591C41D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7B9B53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73C73B9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66D5E97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61B9B14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71E273B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0D65F66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3A7F10A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6CA9780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24A51E3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E8F1911">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3B916078">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72E78DE0">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6BA4FDD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3AAD75C6">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108CCAE9">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5A2A5214">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42CE715">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6C7900B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769C3609">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4C25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0197F7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15</w:t>
            </w:r>
          </w:p>
        </w:tc>
        <w:tc>
          <w:tcPr>
            <w:tcW w:w="308" w:type="dxa"/>
            <w:vAlign w:val="center"/>
          </w:tcPr>
          <w:p w14:paraId="2234629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71DA3B0C">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优抚对象医疗保障</w:t>
            </w:r>
          </w:p>
        </w:tc>
        <w:tc>
          <w:tcPr>
            <w:tcW w:w="495" w:type="dxa"/>
            <w:vAlign w:val="center"/>
          </w:tcPr>
          <w:p w14:paraId="61A11F0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0B4D172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494AEE5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B9C536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102E70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81ABF1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95512A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F38205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D211D3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1DE280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国家对一级至六级残疾军人的医疗费用按照规定予以保障，由所在医疗保险统筹地区社会保险经办机构单独列账管理。具体办法由国务院</w:t>
            </w:r>
            <w:r>
              <w:rPr>
                <w:rFonts w:hint="eastAsia" w:ascii="Times New Roman" w:hAnsi="Times New Roman" w:eastAsia="仿宋_GB2312"/>
                <w:color w:val="000000" w:themeColor="text1"/>
                <w:spacing w:val="-4"/>
                <w:kern w:val="0"/>
                <w:sz w:val="20"/>
                <w:szCs w:val="20"/>
                <w14:textFill>
                  <w14:solidFill>
                    <w14:schemeClr w14:val="tx1"/>
                  </w14:solidFill>
                </w14:textFill>
              </w:rPr>
              <w:t>退役军人事务部门会同国务院人力资源社会保障部门、财政部门规定。 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14:paraId="355AE18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残疾军人、复员军人、带病回乡退伍军人以及因公牺牲军人遗属、病故军人遗属享受医疗优惠待遇。具体办法由省、自治区、直辖市人民政府规定。</w:t>
            </w:r>
          </w:p>
          <w:p w14:paraId="2BBD411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中央财政对抚恤优待对象人数较多的困难地区给予适当补助，用于帮助解决抚恤优待对象的医疗费用困难问题。</w:t>
            </w:r>
          </w:p>
          <w:p w14:paraId="61F6BA1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广西壮族自治区一至六级残疾军人医疗保障实施办法》（桂民发〔2007〕59号）医疗补助所需资金由残疾军人残疾抚恤关系所在地民政、劳动和社会保障根据本地经济和社会发展水平、财政负担能力、残疾军人医疗费实际支出和原医疗保障水平等因素测算，经同级财政部门审核确定后，列入当年财政预算。各地要管好用好医疗补助的资金，保障残疾军人现有的医疗待遇不降低，尤其要对一至四级残疾军人给予政策倾斜。残疾军人在单位已享受的医疗保障待遇高于本办法的，由原单位继续予以保障。医疗补助资金要与基本医疗保险基金，分开核算，</w:t>
            </w:r>
            <w:r>
              <w:rPr>
                <w:rFonts w:hint="eastAsia" w:eastAsia="仿宋_GB2312"/>
                <w:color w:val="000000" w:themeColor="text1"/>
                <w:kern w:val="0"/>
                <w:sz w:val="20"/>
                <w:szCs w:val="20"/>
                <w:lang w:eastAsia="zh-CN"/>
                <w14:textFill>
                  <w14:solidFill>
                    <w14:schemeClr w14:val="tx1"/>
                  </w14:solidFill>
                </w14:textFill>
              </w:rPr>
              <w:t>单独列账</w:t>
            </w:r>
            <w:r>
              <w:rPr>
                <w:rFonts w:hint="eastAsia" w:ascii="Times New Roman" w:hAnsi="Times New Roman" w:eastAsia="仿宋_GB2312"/>
                <w:color w:val="000000" w:themeColor="text1"/>
                <w:kern w:val="0"/>
                <w:sz w:val="20"/>
                <w:szCs w:val="20"/>
                <w14:textFill>
                  <w14:solidFill>
                    <w14:schemeClr w14:val="tx1"/>
                  </w14:solidFill>
                </w14:textFill>
              </w:rPr>
              <w:t>。</w:t>
            </w:r>
          </w:p>
          <w:p w14:paraId="7680B73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3.【规范性文件】《广西壮族自治区优抚对象医疗保障实施办法》（桂民发〔2009〕31号） 第七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参加城镇居民基本医疗保险、新型农村合作医疗的优抚对</w:t>
            </w:r>
            <w:r>
              <w:rPr>
                <w:rFonts w:hint="eastAsia" w:ascii="Times New Roman" w:hAnsi="Times New Roman" w:eastAsia="仿宋_GB2312"/>
                <w:color w:val="000000" w:themeColor="text1"/>
                <w:spacing w:val="-4"/>
                <w:kern w:val="0"/>
                <w:sz w:val="20"/>
                <w:szCs w:val="20"/>
                <w14:textFill>
                  <w14:solidFill>
                    <w14:schemeClr w14:val="tx1"/>
                  </w14:solidFill>
                </w14:textFill>
              </w:rPr>
              <w:t>象，在定点医疗机构就医所发生的门诊医疗费用，享受定额门诊补助。定额门诊补助由所在地县级人民政府民政部门给予补助列入</w:t>
            </w:r>
            <w:r>
              <w:rPr>
                <w:rFonts w:hint="eastAsia" w:eastAsia="仿宋_GB2312"/>
                <w:color w:val="000000" w:themeColor="text1"/>
                <w:spacing w:val="-4"/>
                <w:kern w:val="0"/>
                <w:sz w:val="20"/>
                <w:szCs w:val="20"/>
                <w:lang w:eastAsia="zh-CN"/>
                <w14:textFill>
                  <w14:solidFill>
                    <w14:schemeClr w14:val="tx1"/>
                  </w14:solidFill>
                </w14:textFill>
              </w:rPr>
              <w:t>个人账户</w:t>
            </w:r>
            <w:r>
              <w:rPr>
                <w:rFonts w:hint="eastAsia" w:ascii="Times New Roman" w:hAnsi="Times New Roman" w:eastAsia="仿宋_GB2312"/>
                <w:color w:val="000000" w:themeColor="text1"/>
                <w:spacing w:val="-4"/>
                <w:kern w:val="0"/>
                <w:sz w:val="20"/>
                <w:szCs w:val="20"/>
                <w14:textFill>
                  <w14:solidFill>
                    <w14:schemeClr w14:val="tx1"/>
                  </w14:solidFill>
                </w14:textFill>
              </w:rPr>
              <w:t>，不得以现金的形式发放。</w:t>
            </w:r>
          </w:p>
          <w:p w14:paraId="7A099E0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其他优抚对象在按城镇职工基本医疗保险、城镇居民基本医疗保险规定报销或者得到新型农村合作医疗规定的补偿后，剩余部分中符合基本医疗保险和新型农村合作医疗规定范围内，起付标准以下、最高支付限额以上，以及个人共付段的医疗费用，由所在地县级人民政府按照下列标准予以医疗补助：...</w:t>
            </w:r>
          </w:p>
          <w:p w14:paraId="0F1DEA6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...无工作单位的按照工伤保险有关规定和标准列入医疗补助，由所在地县级人民政府民政部门从优抚对象医疗补助资金中解决。</w:t>
            </w:r>
          </w:p>
          <w:p w14:paraId="49FFBF56">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县级以上人民政府应积极筹措优抚医疗补助资金，并根据本地经济和社会发展水平、财政负担能力、优抚对象医疗费实际支出和原医疗保障水平等因素测算，经同级财政部门审核确定后，列入当年财政预算。优抚医疗补助资金主要用于：一至六级残疾军人医疗补助；对所在单位无力支付和无工作单位的七至十级残疾军人旧伤复发的医疗费用给予补助；其他优抚对象的医疗补助。</w:t>
            </w:r>
          </w:p>
        </w:tc>
        <w:tc>
          <w:tcPr>
            <w:tcW w:w="1618" w:type="dxa"/>
            <w:vAlign w:val="center"/>
          </w:tcPr>
          <w:p w14:paraId="3AB23B77">
            <w:pPr>
              <w:widowControl/>
              <w:adjustRightInd w:val="0"/>
              <w:snapToGrid w:val="0"/>
              <w:spacing w:line="25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2A8FD32">
            <w:pPr>
              <w:widowControl/>
              <w:adjustRightInd w:val="0"/>
              <w:snapToGrid w:val="0"/>
              <w:spacing w:line="25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D5C7D0F">
            <w:pPr>
              <w:widowControl/>
              <w:adjustRightInd w:val="0"/>
              <w:snapToGrid w:val="0"/>
              <w:spacing w:line="25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0E94812">
            <w:pPr>
              <w:widowControl/>
              <w:adjustRightInd w:val="0"/>
              <w:snapToGrid w:val="0"/>
              <w:spacing w:line="25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DCFF6D3">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3971BD7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15EB3CB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3BF7AD8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1EAEAAE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2C57420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44A5033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5DB7ACFA">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3EB269A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22225EA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C74F90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7D78F4A">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37ADFBC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23B2EEC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59E55D8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5016460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793BE6C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299FAAC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6F6A493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6DD923A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5C23CFC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3744C17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78DCA7F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7A0FBAC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6137270">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36613B47">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7B1BB885">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52B81336">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64E59733">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3A51DD01">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46DE41D9">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43C5E87">
            <w:pPr>
              <w:keepNext w:val="0"/>
              <w:keepLines w:val="0"/>
              <w:pageBreakBefore w:val="0"/>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2271B0EE">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0D454A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4C96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CD7FB0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16</w:t>
            </w:r>
          </w:p>
        </w:tc>
        <w:tc>
          <w:tcPr>
            <w:tcW w:w="308" w:type="dxa"/>
            <w:vAlign w:val="center"/>
          </w:tcPr>
          <w:p w14:paraId="439F4F7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行政给付</w:t>
            </w:r>
          </w:p>
        </w:tc>
        <w:tc>
          <w:tcPr>
            <w:tcW w:w="992" w:type="dxa"/>
            <w:vAlign w:val="center"/>
          </w:tcPr>
          <w:p w14:paraId="0C1DBD90">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义务兵家庭优待金的给付</w:t>
            </w:r>
          </w:p>
        </w:tc>
        <w:tc>
          <w:tcPr>
            <w:tcW w:w="495" w:type="dxa"/>
            <w:vAlign w:val="center"/>
          </w:tcPr>
          <w:p w14:paraId="4947548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6014AE8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368B5FC1">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0C9FC45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1.【行政法规】《军人抚恤优待条例》（2004年国务院、中央军委令第413号发布，2019年国务院令第709号修订）第三十三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义务兵服现役期间，其家庭由当地人民政府发给优待金或者给予其他优待，优待标准不低于当地平均生活水平。</w:t>
            </w:r>
          </w:p>
          <w:p w14:paraId="331BB63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义务兵和初级士官入伍前是国家机关、社会团体、企业事业单位职工（含合同制人员）的，退出现役后，允许复工复职，并享受不低于本单位同岗位（工种）、同工龄职工的各项待遇；服现役期间，其家属继续享受该单位职工家属的有关福利待遇。</w:t>
            </w:r>
          </w:p>
          <w:p w14:paraId="2250F47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义务兵和初级士官入伍前的承包地（山、林）等，应当保留；服现役期间，除依照国家有关规定和承包合同的约定缴纳有关税费外，免除其他负担。</w:t>
            </w:r>
          </w:p>
          <w:p w14:paraId="771BB1D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义务兵从部队发出的平信，免费邮递。</w:t>
            </w:r>
          </w:p>
          <w:p w14:paraId="1E4BB26A">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2.【地方政府规章】《广西壮族自治区实施〈军人抚恤优待条例〉办法》（2020年1月20日广西壮族自治区人民政府令第134号）第十六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义务兵服现役期间，其入伍时的户籍所在地县级人民政府应当给其家属发放年度优待金。年度优待金标准由县级人民政府按照不低于城镇居民或者农村居民平均水平标准确定。</w:t>
            </w:r>
          </w:p>
        </w:tc>
        <w:tc>
          <w:tcPr>
            <w:tcW w:w="1618" w:type="dxa"/>
            <w:vAlign w:val="center"/>
          </w:tcPr>
          <w:p w14:paraId="4258D8A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4B6656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2.审查责任：审查相关证件。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5DB7D8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04128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ED86EF5">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116C1C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2A587B9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66BE931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6499FD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37BFA1C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7A9CDAC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61AAF222">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23FA716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因不履行或不正确履行行政职责，有下列情形的，相关工作人员应承担相应责任：</w:t>
            </w:r>
          </w:p>
          <w:p w14:paraId="2E670F6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A91EED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01A103A">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4B27B99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 xml:space="preserve"> </w:t>
            </w:r>
          </w:p>
          <w:p w14:paraId="749FAB7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0E50D11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75373FC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1.【法律】《中华人民共和国行政许可法》</w:t>
            </w:r>
            <w:r>
              <w:rPr>
                <w:rFonts w:hint="eastAsia" w:ascii="Times New Roman" w:hAnsi="Times New Roman" w:eastAsia="仿宋_GB2312"/>
                <w:color w:val="000000" w:themeColor="text1"/>
                <w:kern w:val="0"/>
                <w:sz w:val="20"/>
                <w:szCs w:val="20"/>
                <w14:textFill>
                  <w14:solidFill>
                    <w14:schemeClr w14:val="tx1"/>
                  </w14:solidFill>
                </w14:textFill>
              </w:rPr>
              <w:t>（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01216DE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1DA006F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3A409A3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15344F0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6EEFCFE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55AAD4C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18B0632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3FCB75D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C5D3C7F">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2. 【法规】《军人抚恤优待条例》</w:t>
            </w:r>
            <w:r>
              <w:rPr>
                <w:rFonts w:hint="eastAsia" w:ascii="Times New Roman" w:hAnsi="Times New Roman" w:eastAsia="仿宋_GB2312"/>
                <w:color w:val="000000" w:themeColor="text1"/>
                <w:kern w:val="0"/>
                <w:sz w:val="20"/>
                <w:szCs w:val="20"/>
                <w14:textFill>
                  <w14:solidFill>
                    <w14:schemeClr w14:val="tx1"/>
                  </w14:solidFill>
                </w14:textFill>
              </w:rPr>
              <w:t>（国务院、中央军委令第602号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w:t>
            </w:r>
            <w:r>
              <w:rPr>
                <w:rFonts w:hint="eastAsia" w:ascii="Times New Roman" w:hAnsi="Times New Roman" w:eastAsia="仿宋_GB2312"/>
                <w:color w:val="000000" w:themeColor="text1"/>
                <w:kern w:val="0"/>
                <w:sz w:val="20"/>
                <w:szCs w:val="20"/>
                <w:lang w:eastAsia="zh-CN"/>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2CEC6E15">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（一）违反规定审批军人抚恤待遇的；</w:t>
            </w:r>
          </w:p>
          <w:p w14:paraId="1496E8F8">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（二）在审批军人抚恤待遇工作中出具虚假诊断、鉴定、证明的；</w:t>
            </w:r>
          </w:p>
          <w:p w14:paraId="7566245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（三）不按规定的标准、数额、对象审批或者发放抚恤金、补助金、优待金的；</w:t>
            </w:r>
          </w:p>
          <w:p w14:paraId="190479E1">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（四）在军人抚恤优待工作中利用职权谋取私利的。</w:t>
            </w:r>
          </w:p>
          <w:p w14:paraId="35A527D8">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lang w:eastAsia="zh-CN"/>
                <w14:textFill>
                  <w14:solidFill>
                    <w14:schemeClr w14:val="tx1"/>
                  </w14:solidFill>
                </w14:textFill>
              </w:rPr>
              <w:t>3.同2.</w:t>
            </w:r>
          </w:p>
          <w:p w14:paraId="6FB3548F">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p w14:paraId="1D47BB9D">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p>
        </w:tc>
        <w:tc>
          <w:tcPr>
            <w:tcW w:w="532" w:type="dxa"/>
            <w:vAlign w:val="center"/>
          </w:tcPr>
          <w:p w14:paraId="49ADD363">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33595524">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03E3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0387852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17</w:t>
            </w:r>
          </w:p>
        </w:tc>
        <w:tc>
          <w:tcPr>
            <w:tcW w:w="308" w:type="dxa"/>
            <w:vAlign w:val="center"/>
          </w:tcPr>
          <w:p w14:paraId="63C0EF4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行政确认</w:t>
            </w:r>
          </w:p>
        </w:tc>
        <w:tc>
          <w:tcPr>
            <w:tcW w:w="992" w:type="dxa"/>
            <w:vAlign w:val="center"/>
          </w:tcPr>
          <w:p w14:paraId="34C386DF">
            <w:pPr>
              <w:adjustRightInd w:val="0"/>
              <w:snapToGrid w:val="0"/>
              <w:spacing w:line="300" w:lineRule="exact"/>
              <w:jc w:val="both"/>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带病回乡退伍军人身份认定</w:t>
            </w:r>
          </w:p>
        </w:tc>
        <w:tc>
          <w:tcPr>
            <w:tcW w:w="495" w:type="dxa"/>
            <w:vAlign w:val="center"/>
          </w:tcPr>
          <w:p w14:paraId="24A30A29">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529" w:type="dxa"/>
            <w:vAlign w:val="center"/>
          </w:tcPr>
          <w:p w14:paraId="04FDA71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34D5314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507ACB0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1.【行政法规】《军人抚恤优待条例》（2004年国务院、中央军委令第413号发布，2019年国务院令第709号修订）第五十三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本条例所称的复员军人，是指在1954年10月31日之前入伍、后经批准从部队复员的人员；带病回乡退伍军人，是指在服现役期间患病，尚未达到评定残疾等级条件并有军队医院证明，从部队退伍的人员。</w:t>
            </w:r>
          </w:p>
          <w:p w14:paraId="2394C29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民政部关于带病回乡退伍军人认定及待遇问题的通知》（民发〔2009〕166号）县级人民政府民政部门对上述材料进行审查，认为符合条件的，安排申请人按照省级人民政府民政部门的规定或到指定的医院对军队医院证明的慢性疾病进行检查。对于在部队所患慢性病未痊愈的，填写《带病回乡退伍军人审批表》（表格样式由各省级人民政府民政部门制定），由县级或报县级以上人民政府民政部门审批。具体审批机关，由省级人民政府民政部门规定。</w:t>
            </w:r>
          </w:p>
          <w:p w14:paraId="047E2E2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3.【规范性文件】《广西壮族自治区带病回乡退伍军人认定管理办法》（桂民发〔2013﹞35号）第八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设区市的市人民政府民政部门根据医疗卫生专家小组的鉴定意见，作出是否符合享受带病回乡退伍军人待遇的结论，认为申请人符合条件的，批准其享受带病回乡退伍军人待遇，并上报自治区人民政府民政部门备案。</w:t>
            </w:r>
          </w:p>
        </w:tc>
        <w:tc>
          <w:tcPr>
            <w:tcW w:w="1618" w:type="dxa"/>
            <w:vAlign w:val="center"/>
          </w:tcPr>
          <w:p w14:paraId="73B6E3C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1.受理责任：在办公场所公示依法应当提交的材料，依法受理或不予受理，并一次性告知不予受理理由或补正材料。</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483095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2.审查责任：对医疗卫生专家小组的鉴定意见进行审核。</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1EBE58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3.决定责任：符合条件的作出认定；不符合条件的，不予认定并告知理由。</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16FB67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D951F97">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204FBFC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1.【规范性文件】《广西壮族自治区带病回乡退伍军人认定管理办法》 第四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申请。患慢性病退出现役的义务兵和初级士官生活困难的，可以向户籍所在地县级人民政府民政部门申请享受带病回乡退伍军人待遇，并提交或具备以下材料：（一）本人申请（精神病患者由其利害关系人提出）。内容包括患病时的基本情况、工作经历、患病时间、地点、部位、治疗经过和目前病情等。（二）户口簿、身份证。（三）退伍军人证。（四）军队医院证明。具体是指下列之一：1．退伍档案中记载患有慢性病的退伍军人登记表或在服役期间军队体系医院出具的患慢性病证明（须能取得该医院或上级卫生部门确认）；2.近期从军队体系医院复印的盖有病历管理部门印章的在服役期间患慢性病原始病历。（五）盖有医院病历管理部门印章的近期慢性病（特指原军队医院证明中记载的慢性病）就诊病历复印件及相关医疗检查报告、诊断结论等。</w:t>
            </w:r>
          </w:p>
          <w:p w14:paraId="383ECDE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2.【规范性文件】《广西壮族自治区带病回乡退伍军人认定管理办法》第五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审查。县级人民政府民政部门应当对申请人提交的材料进行审查，符合条件的，填写《广西壮族自治区带病回乡退伍军人病情送检表》（以下简称《送检表》）交予申请人，填写《广西壮族自治区带病回乡退伍军人审批表》（以下简称《审批表》）报设区的市人民政府民政部门；不符合条件的，书面答复申请人，并说明理由。  </w:t>
            </w:r>
          </w:p>
          <w:p w14:paraId="6603FD5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医学检查。设区的市人民政府民政部门应当组织经县级人民政府民政部门审查符合条件的申请人到指定的医疗卫生机构进行医学检查。医疗卫生机构应当将检查结果和《送检表》直接送设区的市人民政府民政部门。  </w:t>
            </w:r>
          </w:p>
          <w:p w14:paraId="5532C22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专家鉴定。设区的市人民政府民政部门在本级残情医学鉴定医疗卫生专家数据库中，随机抽取3名或者5名相关专家组成医疗卫生专家小组，根据医学检查结果，做出是否符合《带病回乡常见慢性病范围（试行）》的鉴定意见。</w:t>
            </w:r>
          </w:p>
          <w:p w14:paraId="460B3CB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3.【规范性文件】《广西壮族自治区带病回乡退伍军人认定管理办法》第七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医疗卫生机构组成医疗卫生专家小组，根据医学检查结果，做出是否符合《带病回乡常见慢性病范围（试行）》的鉴定意见。 </w:t>
            </w:r>
          </w:p>
          <w:p w14:paraId="7E746C3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审批。设区的市人民政府民政部门根据医疗卫生专家小组的鉴定意见，作出是否符合享受带病回乡退伍军人待遇的结论，并在《审批表》中签署意见，认为申请人符合条件的，批准其享受带病回乡退伍军人待遇，并上报自治区人民政府民政部门备案；认为申请人不符合条件的或所患慢性病已经治愈的，书面答复申请人，并将鉴定意见（复印件）和申请人提供的材料退还申请人。</w:t>
            </w:r>
          </w:p>
          <w:p w14:paraId="1DEC45C6">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381A4D5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因不履行或不正确履行行政职责，有下列相关工作人员应承担相应责任。</w:t>
            </w:r>
          </w:p>
          <w:p w14:paraId="13E874E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1F8980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2、对不符合法定条件的申请人准予批准设置或者超越法定职权作出准予批准设置决定的；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F10196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3、对符合法定条件的申请人不予核准或者不存法定期限内作出准予核准决定的；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1168FE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4、违反法定程序实施核准决定的。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BC29E5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5、工作中玩忽职守滥用职权的。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AC89C9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6、办理社会福利机构设置核准、实施监督检查，索取或者收受他人财物或者谋取其他利益的；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EE09E8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18451D8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30" w:lineRule="exact"/>
              <w:ind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774B1FB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3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2.【法律】《中华人民共和国行政许可法》（2019年4月23日第十三届全国人民代表大会常务委员会第十次会议修正）第七十四条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14:paraId="328AB0D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41E33F0E">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5377B60F">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23F94411">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6.【法律】《中华人民共和国行政许可法》（2019年4月23日第十三届全国人民代表大会常务委员会第十次会议修正）第七十三条 行政机关工作人员办理行政许可、实施监督检查，索取或者收受他人财物或者谋取其他利益，构成犯罪的，依</w:t>
            </w:r>
            <w:r>
              <w:rPr>
                <w:rFonts w:hint="eastAsia" w:ascii="Times New Roman" w:hAnsi="Times New Roman" w:eastAsia="仿宋_GB2312"/>
                <w:color w:val="000000" w:themeColor="text1"/>
                <w:spacing w:val="-20"/>
                <w:kern w:val="0"/>
                <w:sz w:val="20"/>
                <w:szCs w:val="20"/>
                <w14:textFill>
                  <w14:solidFill>
                    <w14:schemeClr w14:val="tx1"/>
                  </w14:solidFill>
                </w14:textFill>
              </w:rPr>
              <w:t>法追究刑事责任；尚不构成犯罪的，依法给予行政处分。</w:t>
            </w:r>
          </w:p>
        </w:tc>
        <w:tc>
          <w:tcPr>
            <w:tcW w:w="532" w:type="dxa"/>
            <w:vAlign w:val="center"/>
          </w:tcPr>
          <w:p w14:paraId="715261A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0846982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5E04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D500FB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18</w:t>
            </w:r>
          </w:p>
        </w:tc>
        <w:tc>
          <w:tcPr>
            <w:tcW w:w="308" w:type="dxa"/>
            <w:vAlign w:val="center"/>
          </w:tcPr>
          <w:p w14:paraId="2E70576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行政确认</w:t>
            </w:r>
          </w:p>
        </w:tc>
        <w:tc>
          <w:tcPr>
            <w:tcW w:w="992" w:type="dxa"/>
            <w:vAlign w:val="center"/>
          </w:tcPr>
          <w:p w14:paraId="7C7FAB52">
            <w:pPr>
              <w:adjustRightInd w:val="0"/>
              <w:snapToGrid w:val="0"/>
              <w:spacing w:line="300" w:lineRule="exact"/>
              <w:jc w:val="both"/>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伤残等级评定（审核转报）</w:t>
            </w:r>
          </w:p>
        </w:tc>
        <w:tc>
          <w:tcPr>
            <w:tcW w:w="495" w:type="dxa"/>
            <w:vAlign w:val="center"/>
          </w:tcPr>
          <w:p w14:paraId="472B1FF4">
            <w:pPr>
              <w:adjustRightInd w:val="0"/>
              <w:snapToGrid w:val="0"/>
              <w:spacing w:line="300" w:lineRule="exact"/>
              <w:jc w:val="both"/>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1.换发或者补发伤残证件</w:t>
            </w:r>
          </w:p>
        </w:tc>
        <w:tc>
          <w:tcPr>
            <w:tcW w:w="529" w:type="dxa"/>
            <w:vAlign w:val="center"/>
          </w:tcPr>
          <w:p w14:paraId="04AAB563">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71C7D6F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4A68E2B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1.【部门规章】《伤残抚恤管理办法》（2007年民政部令第34号公布， 2019年退役军人事务部令第1号修订）第十五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证件有效期满或者损毁、遗失的，证件持有人应当到县级人民政府退役军人事务部门申请换发证件或者补发证件。伤残证件遗失的须本人登报声明作废。县级人民政府退役军人事务部门经审查认为符合条件的，填写《伤残人员换证补证审批表》，连同照片逐级上报省级人民政府退役军人事务部门...各级退役军人事务部门应当在20个工作日内完成本级需要办理的事项。</w:t>
            </w:r>
          </w:p>
          <w:p w14:paraId="2FE022A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2.【规范性文件】《广西壮族自治区伤残抚恤管理办法实施细则》第三十二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证件有效期满或者损毁、遗失的，证件持有人应当到县级退役军人事务部门申请换发、补发证件，并提交下列材料...县级退役军人事务部门经审查认为符合条件的，填写《伤残人员换证补证审批表》，连同上述材料逐级上报自治区退役军人事务部门。</w:t>
            </w:r>
          </w:p>
        </w:tc>
        <w:tc>
          <w:tcPr>
            <w:tcW w:w="1618" w:type="dxa"/>
            <w:vAlign w:val="center"/>
          </w:tcPr>
          <w:p w14:paraId="1E4CCC9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0547A4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2.审查责任：对伤残人员换证补证审批表、身份证明等法定材料进行审核；提出审查意见。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49AFE6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3.决定责任：作出决定（不予换发补发的应当告知理由）；按时办结。</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14B60F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4.送达责任：制发送达伤残证件。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772C88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6301890">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2BF570A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2082A7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       </w:t>
            </w:r>
          </w:p>
          <w:p w14:paraId="675C743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2.【法律】《中华人民共和国行政许可法》第三十四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行政机关应当对申请人提交的申请材料进行审查。       </w:t>
            </w:r>
          </w:p>
          <w:p w14:paraId="11A847C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证件有效期满或者损毁、遗失的，证件持有人应当到县级人民政府退役军人事务部门申请换发证件或者补发证件。伤残证件遗失的须本人登报声明作废。县级人民政府退役军人事务部门经审查认为符合条件的，填写《伤残人员换证补证审批表》，连同照片逐级上报省级人民政府退役军人事务部门。省级人民政府退役军人事务部门将新办理的伤残证件逐级通过县级人民政府退役军人事务部门发给申请人。各级退役军人事务部门应当在20个工作日内完成本级需要办理的事项。</w:t>
            </w:r>
          </w:p>
          <w:p w14:paraId="55B8F44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2797002A">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0634881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因不履行或不正确履行行政职责，有下列情形的，工信委及其工作人员应承担相应责任：</w:t>
            </w:r>
          </w:p>
          <w:p w14:paraId="454C8E20">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441E7F0">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2.对符合伤残人员迁入登记换证、评残、调整伤残等级审核转报条件的申请人不予预审或者不作出转报决定的.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A108B92">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3.对不符合伤残人员迁入登记换证、评残、调整伤残等级审核转报条件的申请人随意转报的.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99D8EDC">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4.未严格伤残人员迁入登记换证、评残、调整伤残等级审核转报条件，导致严重后果的.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06F2EBC">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5.擅自增设对伤残人员迁入登记换证、评残、调整伤残等级审核转报审批程序或审批条件的.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04AF36D">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6.在受理审核过程中违法收取费用的.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51A5FC9">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7.在伤残人员迁入登记换证、评残、调整伤残等级审核转报审核过程中滥用职权、徇私舞弊的.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69DB5DA">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8.其他违反法律法规规章文件规定的行为</w:t>
            </w:r>
            <w:r>
              <w:rPr>
                <w:rFonts w:hint="eastAsia" w:eastAsia="仿宋_GB2312"/>
                <w:color w:val="000000" w:themeColor="text1"/>
                <w:kern w:val="0"/>
                <w:sz w:val="20"/>
                <w:szCs w:val="20"/>
                <w:lang w:val="en-US"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1AA6F5C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592534F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2C90870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7104632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4FD27D5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6891A03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1128C4D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580097D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p>
          <w:p w14:paraId="512E955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3B5582F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3-2. .【法律】《中华人民共和国行政许可法》（2019年4月23日第十三届全国人民代表大会常务委员会第十次会议修正）第七十四条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39AC902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1DDB769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36D5E34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30C4683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43CBFFF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 【法律】《公务员法》（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6ED14AC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5E0FBCF7">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p>
        </w:tc>
        <w:tc>
          <w:tcPr>
            <w:tcW w:w="532" w:type="dxa"/>
            <w:vAlign w:val="center"/>
          </w:tcPr>
          <w:p w14:paraId="4BB87A9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490D12E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3166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7392A5B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308" w:type="dxa"/>
            <w:vAlign w:val="center"/>
          </w:tcPr>
          <w:p w14:paraId="21847DF8">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992" w:type="dxa"/>
            <w:vAlign w:val="center"/>
          </w:tcPr>
          <w:p w14:paraId="15F11174">
            <w:pPr>
              <w:adjustRightInd w:val="0"/>
              <w:snapToGrid w:val="0"/>
              <w:spacing w:line="300" w:lineRule="exact"/>
              <w:jc w:val="center"/>
              <w:rPr>
                <w:rFonts w:hint="eastAsia" w:ascii="Times New Roman" w:hAnsi="Times New Roman" w:eastAsia="仿宋_GB2312" w:cs="宋体"/>
                <w:color w:val="000000" w:themeColor="text1"/>
                <w:kern w:val="0"/>
                <w:sz w:val="20"/>
                <w:szCs w:val="20"/>
                <w14:textFill>
                  <w14:solidFill>
                    <w14:schemeClr w14:val="tx1"/>
                  </w14:solidFill>
                </w14:textFill>
              </w:rPr>
            </w:pPr>
          </w:p>
        </w:tc>
        <w:tc>
          <w:tcPr>
            <w:tcW w:w="495" w:type="dxa"/>
            <w:vAlign w:val="center"/>
          </w:tcPr>
          <w:p w14:paraId="0B497536">
            <w:pPr>
              <w:adjustRightInd w:val="0"/>
              <w:snapToGrid w:val="0"/>
              <w:spacing w:line="300" w:lineRule="exact"/>
              <w:jc w:val="both"/>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2.认定残疾性质和评定残疾等级</w:t>
            </w:r>
          </w:p>
        </w:tc>
        <w:tc>
          <w:tcPr>
            <w:tcW w:w="529" w:type="dxa"/>
            <w:vAlign w:val="center"/>
          </w:tcPr>
          <w:p w14:paraId="0EA8980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2AD6490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07AA0E7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1.【行政法规】《军人抚恤优待条例》（2004年国务院、中央军委令第413号发布，2019国务院令第709号）第二十四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因战、因公、因病致残性质的认定和残疾等级的评定权限是：...（三）退出现役的军人和移</w:t>
            </w:r>
            <w:r>
              <w:rPr>
                <w:rFonts w:hint="eastAsia" w:ascii="Times New Roman" w:hAnsi="Times New Roman" w:eastAsia="仿宋_GB2312"/>
                <w:color w:val="000000" w:themeColor="text1"/>
                <w:spacing w:val="-4"/>
                <w:kern w:val="0"/>
                <w:sz w:val="20"/>
                <w:szCs w:val="20"/>
                <w14:textFill>
                  <w14:solidFill>
                    <w14:schemeClr w14:val="tx1"/>
                  </w14:solidFill>
                </w14:textFill>
              </w:rPr>
              <w:t>交政府安置的军队离休、退休干部需要认定残疾性质和评定残疾等级的，由省级人民政府退役军人事务部门认定和评定。评定残疾等级，应当依据医疗卫生专家小组出具的残疾等级医学鉴定意见。残疾军人由认定残疾性质和评定残疾等级的机关发给《中华人民共和国残疾军人证》。</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66472A3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2.【部门规章】《伤残抚恤管理办法》（2007年民政部令第34号公布，2019年退役军人事务部令第1号</w:t>
            </w:r>
            <w:r>
              <w:rPr>
                <w:rFonts w:hint="eastAsia" w:ascii="Times New Roman" w:hAnsi="Times New Roman" w:eastAsia="仿宋_GB2312"/>
                <w:color w:val="000000" w:themeColor="text1"/>
                <w:spacing w:val="-4"/>
                <w:kern w:val="0"/>
                <w:sz w:val="20"/>
                <w:szCs w:val="20"/>
                <w14:textFill>
                  <w14:solidFill>
                    <w14:schemeClr w14:val="tx1"/>
                  </w14:solidFill>
                </w14:textFill>
              </w:rPr>
              <w:t>修订）第五</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4"/>
                <w:kern w:val="0"/>
                <w:sz w:val="20"/>
                <w:szCs w:val="20"/>
                <w14:textFill>
                  <w14:solidFill>
                    <w14:schemeClr w14:val="tx1"/>
                  </w14:solidFill>
                </w14:textFill>
              </w:rPr>
              <w:t>新办评定残疾等级是指对本办法第二条第一款第（一）项以外的人员认定因战因公残疾性质，评定残疾等级。属于新办评定残疾等级的，申请人应当在因战因公负伤或者被诊断、鉴定为职业病3年内提出申请。</w:t>
            </w:r>
          </w:p>
          <w:p w14:paraId="3DFA9DA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县级人民政府退役军人事务部门对报送的有关材料进行核对，对材料不全或者材料不符合法定形式的应当告知申请人补充材料。</w:t>
            </w:r>
          </w:p>
          <w:p w14:paraId="4E59ED8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经审查认为申请人符合因战因公负伤条件的，在报经设区的市级人民政府以上退役军人事务部门审核同意后，应当填写《残疾等级评定审批表》，并在受理之日起20个工作日内，签发《受理通知书》，通知本人到设区的市级人民政府以上退役军人事务部门指定的医疗卫生机构，对属于因战因公导致的残疾情况进行鉴定，由医疗卫生专家小组根据《军人残疾等级评定标准》，出具残疾等级医学鉴定意见。职业病的残疾情况鉴定由省级人民政府退役军人事务部门指定的承担职业病诊断的医疗卫生机构作出；精神病的残疾情况鉴定由省级人民政府退役军人事务部门指定的二级以上精神病专科医院作出。</w:t>
            </w:r>
          </w:p>
          <w:p w14:paraId="55D2B35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依据医疗卫生专家小组出具的残疾等级医学鉴定意见对申请人拟定残疾等级，在《残疾等级评定审批表》上签署意见，加盖印章，连同其他申请材料，于收到医疗卫生专家小组签署意见之日起20个工作日内，一并报送设区的市级人民政府退役军人事务部门。</w:t>
            </w:r>
          </w:p>
          <w:p w14:paraId="474D703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本办法第二条第一款第（一）项人员，经审查认为不符合因战因公负伤条件的，或者经医疗卫生专家小组鉴定达不到补评或者调整残疾等级标准的，应当根据《军人抚恤优待条例》相关规定逐级上报省级人民政府退役军人事务部门。对本办法第二条第一款第（一）项以外的人员，经审查认为不符合因战因公负伤条件的，或者经医疗卫生专家小组鉴定达不到新评或者调整残疾等级标准的，应当填写《残疾等级评定结果告知书》，连同申请人提供的材料，退还申请人或者所在单位。</w:t>
            </w:r>
          </w:p>
          <w:p w14:paraId="53A82B7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设区的市级人民政府退役军人事务部门对报送的材料审查后，在《残疾等级评定审批表》上签署意见，并加盖印章。</w:t>
            </w:r>
          </w:p>
          <w:p w14:paraId="139D39EA">
            <w:pPr>
              <w:keepNext w:val="0"/>
              <w:keepLines w:val="0"/>
              <w:pageBreakBefore w:val="0"/>
              <w:kinsoku/>
              <w:wordWrap/>
              <w:overflowPunct/>
              <w:topLinePunct w:val="0"/>
              <w:autoSpaceDE/>
              <w:autoSpaceDN/>
              <w:bidi w:val="0"/>
              <w:adjustRightInd w:val="0"/>
              <w:snapToGrid w:val="0"/>
              <w:spacing w:line="300" w:lineRule="exact"/>
              <w:ind w:firstLine="400" w:firstLineChars="200"/>
              <w:jc w:val="both"/>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对符合条件的，于收到材料之日起20个工作日内，将上述材料报送省级人民政府退役军人事务部门。对不符合条件的，属于本办法第二条第一款第（一）项人员，</w:t>
            </w:r>
            <w:r>
              <w:rPr>
                <w:rFonts w:hint="eastAsia" w:ascii="Times New Roman" w:hAnsi="Times New Roman" w:eastAsia="仿宋_GB2312"/>
                <w:color w:val="000000" w:themeColor="text1"/>
                <w:spacing w:val="-4"/>
                <w:kern w:val="0"/>
                <w:sz w:val="20"/>
                <w:szCs w:val="20"/>
                <w14:textFill>
                  <w14:solidFill>
                    <w14:schemeClr w14:val="tx1"/>
                  </w14:solidFill>
                </w14:textFill>
              </w:rPr>
              <w:t>根据《军人抚恤优待条例》相关规定上报省级人民政府退役军人事务部门；属于本办法第二条第一款第（一）项以外的人员，填写《残疾等级评定结果告知书》，连同申请人提供的材料，逐级退还申请人或者其所在单位。</w:t>
            </w:r>
          </w:p>
        </w:tc>
        <w:tc>
          <w:tcPr>
            <w:tcW w:w="1618" w:type="dxa"/>
            <w:vAlign w:val="center"/>
          </w:tcPr>
          <w:p w14:paraId="487C60F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543B5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2.审查责任：对伤残评定审批表、残情证明等法定材料进行审核；提出审查意见。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E6975F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3.决定责任：作出决定（不予确认的应当告知理由）；按时办结。</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0F9A36D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4.送达责任：制发送达伤残证件或不予评定决定书。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2FB21E9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C1B94DB">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6E61524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C96C31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14:paraId="7516779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2.【法律】《中华人民共和国行政许可法》第三十四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行政机关应当对申请人提交的申请材料进行审查。</w:t>
            </w:r>
          </w:p>
          <w:p w14:paraId="59470DF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对报送的材料初审后，认为符合条件的，逐级通知县级人民政府退役军人事务部门对申请人的评残情况进行公示。公示内容应当包括致残的时间、地点、原因、残疾情况（涉及隐私或者不宜公开的不公示）、拟定的残疾等级以及县级退役军人事务部门联系方式。公示应当在申请人工作单位所在地或者居住地进行，时间不少于7个工作日。县级人民政府退役军人事务部门应当对公示中反馈的意见进行核实并签署意见，逐级上报省级人民政府退役军人事务部门，对调整等级的应当将本人持有的伤残人员证一并上报。</w:t>
            </w:r>
          </w:p>
          <w:p w14:paraId="5C31191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应当对公示的意见进行审核，在《残疾等级评定审批表》上签署审批意见，加盖印章。对符合条件的，办理伤残人员证（调整等级的，在证件变更栏处填写新等级），于公示结束之日起60个工作日内逐级发给申请人或者其所在单位。对不符合条件的，填写《残疾等级评定结果告知书》，连同申请人提供的材料，于收到材料之日或者公示结束之日起60个工作日内逐级退还申请人或者其所在单位。</w:t>
            </w:r>
          </w:p>
          <w:p w14:paraId="0B1508A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671ACB80">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511CE8D3">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因不履行或不正确履行行政职责，有下列情形的，工信委及其工作人员应承担相应责任：</w:t>
            </w:r>
          </w:p>
          <w:p w14:paraId="5C3B1DDA">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B9C85BF">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2.对符合伤残人员迁入登记换证、评残、调整伤残等级审核转报条件的申请人不予预审或者不作出转报决定的.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21129F2">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3.对不符合伤残人员迁入登记换证、评残、调整伤残等级审核转报条件的申请人随意转报的.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F8AFAB1">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4.未严格伤残人员迁入登记换证、评残、调整伤残等级审核转报条件，导致严重后果的.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32BF975">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5.擅自增设对伤残人员迁入登记换证、评残、调整伤残等级审核转报审批程序或审批条件的.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BEB8518">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6.在受理审核过程中违法收取费用的.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3A94808">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7.在伤残人员迁入登记换证、评残、调整伤残等级审核转报审核过程中滥用职权、徇私舞弊的.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C68D3E3">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8.其他违反法律法规规章文件规定的行为</w:t>
            </w:r>
            <w:r>
              <w:rPr>
                <w:rFonts w:hint="eastAsia" w:eastAsia="仿宋_GB2312"/>
                <w:color w:val="000000" w:themeColor="text1"/>
                <w:kern w:val="0"/>
                <w:sz w:val="20"/>
                <w:szCs w:val="20"/>
                <w:lang w:val="en-US"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31E2476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08B6923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7FD14BA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764C556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433DEB4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5AD4A5E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32E6F97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42D827D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p>
          <w:p w14:paraId="3469123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25F31CC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3-2. .【法律】《中华人民共和国行政许可法》（2019年4月23日第十三届全国人民代表大会常务委员会第十次会议修正）第七十四条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6D158F87">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3BCD655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355A9AE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4499437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3FEE2AA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 【法律】《公务员法》（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35483EF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3226DE7D">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p>
          <w:p w14:paraId="0F1E324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256151A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31AFCA7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574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30ED06E2">
            <w:pPr>
              <w:adjustRightInd w:val="0"/>
              <w:snapToGrid w:val="0"/>
              <w:spacing w:line="300" w:lineRule="exact"/>
              <w:jc w:val="center"/>
              <w:rPr>
                <w:rFonts w:hint="eastAsia" w:ascii="方正书宋_GBK" w:hAnsi="宋体" w:eastAsia="方正书宋_GBK" w:cs="宋体"/>
                <w:color w:val="000000" w:themeColor="text1"/>
                <w:kern w:val="0"/>
                <w:sz w:val="20"/>
                <w:szCs w:val="20"/>
                <w14:textFill>
                  <w14:solidFill>
                    <w14:schemeClr w14:val="tx1"/>
                  </w14:solidFill>
                </w14:textFill>
              </w:rPr>
            </w:pPr>
          </w:p>
        </w:tc>
        <w:tc>
          <w:tcPr>
            <w:tcW w:w="308" w:type="dxa"/>
            <w:vAlign w:val="center"/>
          </w:tcPr>
          <w:p w14:paraId="1F6E1DA3">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992" w:type="dxa"/>
            <w:vAlign w:val="center"/>
          </w:tcPr>
          <w:p w14:paraId="759B170F">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495" w:type="dxa"/>
            <w:vAlign w:val="center"/>
          </w:tcPr>
          <w:p w14:paraId="52108034">
            <w:pPr>
              <w:adjustRightInd w:val="0"/>
              <w:snapToGrid w:val="0"/>
              <w:spacing w:line="300" w:lineRule="exact"/>
              <w:jc w:val="both"/>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3.补办评定残疾等级</w:t>
            </w:r>
          </w:p>
        </w:tc>
        <w:tc>
          <w:tcPr>
            <w:tcW w:w="529" w:type="dxa"/>
            <w:vAlign w:val="center"/>
          </w:tcPr>
          <w:p w14:paraId="2133DA04">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0EBB989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645A8ED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1.【行政法规】《军人抚恤优待条例》（2004年国务院、中央军委令第413号发布，2019年国务院令第709号修订）第二十五条第一款　现役军人因战、因公致残，未及时评定残疾等级，退出现役后或者医疗终结满3年后，本人（精神病患者由其利害关系人）申请补办评定残疾等级，有档案记载或者有原始医疗证明的，可以评定残疾等级。</w:t>
            </w:r>
          </w:p>
          <w:p w14:paraId="4B0B02D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2.【部门规章】《伤残抚恤管理办法》（2007年民政部令第34号公布，2019年退役军人事务部令第1号修订）第五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补办评定残疾等级是指对现役军人因战因公致残未能及时评定残疾等级，在退出现役后依据《军人抚恤优待条例》的规定，认定因战因公性质、评定残疾等级。</w:t>
            </w:r>
          </w:p>
          <w:p w14:paraId="34553E2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县级人民政府退役军人事务部门对报送的有关材料进行核对，对材料不全或者材料不符合法定形式的应当告知申请人补充材料。</w:t>
            </w:r>
          </w:p>
          <w:p w14:paraId="63187BA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经审查认为申请人符合因战因公负伤条件的，在报经设区的市级人民政府以上退役军人事务部门审核同意后，应当填写《残疾等级评定审批表》，并在受理之日起20个工作日内，签发《受理通知书》，通知本人到设区的市级人民政府以上退役军人事务部门指定的医疗卫生机构，对属于因战因公导致的残疾情况进行鉴定，由医疗卫生专家小组根据《军人残疾等级评定标准》，出具残疾等级医学鉴定意见。职业病的残疾情况鉴定由省级人民政府退役军人事务部门指定的承担职业病诊断的医疗卫生机构作出；精神病的残疾情况鉴定由省级人民政府退役军人事务部门指定的二级以上精神病专科医院作出。</w:t>
            </w:r>
          </w:p>
          <w:p w14:paraId="6DFA1F9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依据医疗卫生专家小组出具的残疾等级医学鉴定意见对申请人拟定残疾等级，在《残疾等级评定审批表》上签署意见，加盖印章，连同其他申请材料，于收到医疗卫生专家小组签署意见之日起20个工作日内，一并报送设区的市级人民政府退役军人事务部门。</w:t>
            </w:r>
          </w:p>
          <w:p w14:paraId="423DDE3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本办法第二条第一款第（一）项人员，经审查认为不符合因战因公负伤条件的，或者经医疗卫生专家小组鉴定达不到补评或者调整残疾等级标准的，应当根据《军人抚恤优待条例》相关规定逐级上报省级人民政府退役军人事务部门。对本办法第二条第一款第（一）项以外的人员，经审查认为不符合因战因公负伤条件的，或者经医疗卫生专家小组鉴定达不到新评或者调整残疾等级标准的，应当填写《残疾等级评定结果告知书》，连同申请人提供的材料，退还申请人或者所在单位。</w:t>
            </w:r>
          </w:p>
          <w:p w14:paraId="77C2FB3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设区的市级人民政府退役军人事务部门对报送的材料审查后，在《残疾等级评定审批表》上签署意见，并加盖印章。</w:t>
            </w:r>
          </w:p>
          <w:p w14:paraId="71E68AE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符合条件的，于收到材料之日起20个工作日内，将上述材料报送省级人民政府退役军人事务部门。对不符合条件的，属于本办法第二条第一款第（一）项人员，根据《军人抚恤优待条例》相关规定上报省级人民政府</w:t>
            </w:r>
            <w:r>
              <w:rPr>
                <w:rFonts w:hint="eastAsia" w:ascii="Times New Roman" w:hAnsi="Times New Roman" w:eastAsia="仿宋_GB2312"/>
                <w:color w:val="000000" w:themeColor="text1"/>
                <w:spacing w:val="-4"/>
                <w:kern w:val="0"/>
                <w:sz w:val="20"/>
                <w:szCs w:val="20"/>
                <w14:textFill>
                  <w14:solidFill>
                    <w14:schemeClr w14:val="tx1"/>
                  </w14:solidFill>
                </w14:textFill>
              </w:rPr>
              <w:t>退役军人事务部门；属于本办法第二条第一款第（一）项以外的人员，填写《残疾等级评定结果告知书》，连同申请人提供的材料，逐级退还申请人或者其所在单位。</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754B457E">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3.【规范性文件】《广西壮族自治区伤残抚恤管理办法实施细则》第七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补办评定残疾等级是指对现役军人因战因公致残未能及时评定残疾等级，在退出现役后依据《军人抚恤优待条例》，认定因战因公性质、评定残疾等级。</w:t>
            </w:r>
          </w:p>
        </w:tc>
        <w:tc>
          <w:tcPr>
            <w:tcW w:w="1618" w:type="dxa"/>
            <w:vAlign w:val="center"/>
          </w:tcPr>
          <w:p w14:paraId="75256BB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701EFB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2.审查责任：对伤残评定审批表、残情证明等法定材料进行审核；提出审查意见。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63998A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3.决定责任：作出决定（不予确认的应当告知理由）；按时办结。</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2203A6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4.送达责任：制发送达伤残证件或不予评定决定书。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D6782C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2ABEA8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0C60C9E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770698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14:paraId="5BF9288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2.【法律】《中华人民共和国行政许可法》第三十四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行政机关应当对申请人提交的申请材料进行审查。</w:t>
            </w:r>
          </w:p>
          <w:p w14:paraId="670C3E4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对报送的材料初审后，认为符合条件的，逐级通知县级人民政府退役军人事务部门对申请人的评残情况进行公示。公示内容应当包括致残的时间、地点、原因、残疾情况（涉及隐私或者不宜公开的不公示）、拟定的残疾等级以及县级退役军人事务部门联系方式。公示应当在申请人工作单位所在地或者居住地进行，时间不少于7个工作日。县级人民政府退役军人事务部门应当对公示中反馈的意见进行核实并签署意见，逐级上报省级人民政府退役军人事务部门，对调整等级的应当将本人持有的伤残人员证一并上报。</w:t>
            </w:r>
          </w:p>
          <w:p w14:paraId="4CF8F6C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应当对公示的意见进行审核，在《残疾等级评定审批表》上签署审批意见，加盖印章。对符合条件的，办理伤残人员证（调整等级的，在证件变更栏处填写新等级），于公示结束之日起60个工作日内逐级发给申请人或者其所在单位。对不符合条件的，填写《残疾等级评定结果告知书》，连同申请人提供的材料，于收到材料之日或者公示结束之日起60个工作日内逐级退还申请人或者其所在单位。</w:t>
            </w:r>
          </w:p>
          <w:p w14:paraId="7DB3001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4CEFD80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p w14:paraId="0189AF6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p>
        </w:tc>
        <w:tc>
          <w:tcPr>
            <w:tcW w:w="1800" w:type="dxa"/>
            <w:vAlign w:val="center"/>
          </w:tcPr>
          <w:p w14:paraId="1F42365C">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因不履行或不正确履行行政职责，有下列情形的，工信委及其工作人员应承担相应责任：</w:t>
            </w:r>
          </w:p>
          <w:p w14:paraId="23C6324C">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D698419">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2.对符合伤残人员迁入登记换证、评残、调整伤残等级审核转报条件的申请人不予预审或者不作出转报决定的.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5226A3B">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3.对不符合伤残人员迁入登记换证、评残、调整伤残等级审核转报条件的申请人随意转报的.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8A55F00">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4.未严格伤残人员迁入登记换证、评残、调整伤残等级审核转报条件，导致严重后果的.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E4FF904">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5.擅自增设对伤残人员迁入登记换证、评残、调整伤残等级审核转报审批程序或审批条件的.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27E1432">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6.在受理审核过程中违法收取费用的.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45A9BBF">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7.在伤残人员迁入登记换证、评残、调整伤残等级审核转报审核过程中滥用职权、徇私舞弊的.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EB6B866">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8.其他违反法律法规规章文件规定的行为</w:t>
            </w:r>
            <w:r>
              <w:rPr>
                <w:rFonts w:hint="eastAsia" w:eastAsia="仿宋_GB2312"/>
                <w:color w:val="000000" w:themeColor="text1"/>
                <w:kern w:val="0"/>
                <w:sz w:val="20"/>
                <w:szCs w:val="20"/>
                <w:lang w:val="en-US"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3C820E0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6786E24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5272BE9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4EC0C0D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15BE6AC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19B0C81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2835D17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097FD69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p>
          <w:p w14:paraId="6A60F6D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6D34B8F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3-2. .【法律】《中华人民共和国行政许可法》（2019年4月23日第十三届全国人民代表大会常务委员会第十次会议修正）第七十四条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7EAC14A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24F3869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5C65170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0AFC981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6F56ED1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 【法律】《公务员法》（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3A3059A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2B81E8A1">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p>
          <w:p w14:paraId="439C543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3EADEA1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373F55F2">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4EE1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425B8EDC">
            <w:pPr>
              <w:adjustRightInd w:val="0"/>
              <w:snapToGrid w:val="0"/>
              <w:spacing w:line="300" w:lineRule="exact"/>
              <w:jc w:val="center"/>
              <w:rPr>
                <w:rFonts w:hint="eastAsia" w:ascii="方正书宋_GBK" w:hAnsi="宋体" w:eastAsia="方正书宋_GBK" w:cs="宋体"/>
                <w:color w:val="000000" w:themeColor="text1"/>
                <w:kern w:val="0"/>
                <w:sz w:val="20"/>
                <w:szCs w:val="20"/>
                <w14:textFill>
                  <w14:solidFill>
                    <w14:schemeClr w14:val="tx1"/>
                  </w14:solidFill>
                </w14:textFill>
              </w:rPr>
            </w:pPr>
          </w:p>
        </w:tc>
        <w:tc>
          <w:tcPr>
            <w:tcW w:w="308" w:type="dxa"/>
            <w:vAlign w:val="center"/>
          </w:tcPr>
          <w:p w14:paraId="3712DCF7">
            <w:pPr>
              <w:adjustRightInd w:val="0"/>
              <w:snapToGrid w:val="0"/>
              <w:spacing w:line="300" w:lineRule="exact"/>
              <w:jc w:val="cente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pPr>
          </w:p>
        </w:tc>
        <w:tc>
          <w:tcPr>
            <w:tcW w:w="992" w:type="dxa"/>
            <w:vAlign w:val="center"/>
          </w:tcPr>
          <w:p w14:paraId="6A135FB8">
            <w:pPr>
              <w:adjustRightInd w:val="0"/>
              <w:snapToGrid w:val="0"/>
              <w:spacing w:line="300" w:lineRule="exact"/>
              <w:jc w:val="center"/>
              <w:rPr>
                <w:rFonts w:hint="eastAsia" w:ascii="Times New Roman" w:hAnsi="Times New Roman" w:eastAsia="仿宋_GB2312" w:cs="宋体"/>
                <w:color w:val="000000" w:themeColor="text1"/>
                <w:kern w:val="0"/>
                <w:sz w:val="20"/>
                <w:szCs w:val="20"/>
                <w14:textFill>
                  <w14:solidFill>
                    <w14:schemeClr w14:val="tx1"/>
                  </w14:solidFill>
                </w14:textFill>
              </w:rPr>
            </w:pPr>
          </w:p>
        </w:tc>
        <w:tc>
          <w:tcPr>
            <w:tcW w:w="495" w:type="dxa"/>
            <w:vAlign w:val="center"/>
          </w:tcPr>
          <w:p w14:paraId="114992B1">
            <w:pPr>
              <w:adjustRightInd w:val="0"/>
              <w:snapToGrid w:val="0"/>
              <w:spacing w:line="300" w:lineRule="exact"/>
              <w:jc w:val="both"/>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4.调整残疾等级</w:t>
            </w:r>
          </w:p>
        </w:tc>
        <w:tc>
          <w:tcPr>
            <w:tcW w:w="529" w:type="dxa"/>
            <w:vAlign w:val="center"/>
          </w:tcPr>
          <w:p w14:paraId="2D9C59D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0B2C094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21C4E74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1.【行政法规】《军人抚恤优待条例》（2004年国务院、中央军委令第413号发布，2019年国务院令第709号修订）第二十五条第二款 现役军人被评定残疾等级后，在服现役期间或者退出现役后残疾情况发生严重恶化，原定残疾等级与残疾情况明显不符，本人（精神病患者由其利害关系人）申请调整残疾等级的，可以重新评定残疾等级。</w:t>
            </w:r>
          </w:p>
          <w:p w14:paraId="5A89BBD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2.【部门规章】《伤残抚恤管理办法》（2007年民政部令第34号公布，2019退役军人事务部令第1号修订）第五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调整残疾等级是指对已经评定残疾等级，因原致残部位残疾情况变化与原评定的残疾等级明显不符的人员调整残疾等级级别，对达不到最低评残标准的可以取消其残疾等级。属于调整残疾等级的，应当在上一次评定残疾等级1年后提出申请。</w:t>
            </w:r>
          </w:p>
          <w:p w14:paraId="69AC852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县级人民政府退役军人事务部门对报送的有关材料进行核对，对材料不全或者材料不符合法定形式的应当告知申请人补充材料。</w:t>
            </w:r>
          </w:p>
          <w:p w14:paraId="1B5EDC4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经审查认为申请人符合因战因公负伤条件的，在报经设区的市级人民政府以上退役军人事务部门审核同意后，应当填写《残疾等级评定审批表》，并在受理之日起20个工作日内，签发《受理通知书》，通知本人到设区的市级人民政府以上退役军人事务部门指定的医疗卫生机构，对属于因战因公导致的残疾情况进行鉴定，由医疗卫生专家小组根据《军人残疾等级评定标准》，出具残疾等级医学鉴定意见。职业病的残疾情况鉴定由省级人民政府退役军人事务部门指定的承担职业病诊断的医疗卫生机构作出；精神病的残疾情况鉴定由省级人民政府退役军人事务部门指定的二级以上精神病专科医院作出。</w:t>
            </w:r>
          </w:p>
          <w:p w14:paraId="61631DA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依据医疗卫生专家小组出具的残疾等级医学鉴定意见对申请人拟定残疾等级，在《残疾等级评定审批表》上签署意见，加盖印章，连同其他申请材料，于收到医疗卫生专家小组签署意见之日起20个工作日内，一并报送设区的市级人民政府退役军人事务部门。</w:t>
            </w:r>
          </w:p>
          <w:p w14:paraId="0160446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对本办法第二条第一款第（一）项人员，经审查认为不符合因战因公负伤条件的，或者经医疗卫生专家小组鉴定达不到补评或者调整残疾等级标准的，应当根据《军人抚恤优待条例》相关规定逐级上报省级人民政府退役军人事务部门。对本办法第二条第一款第（一）项以外的人员，经审查认为不符合因战因公负伤条件的，或者经医疗卫生专家小组鉴定达不到新评或者调整残疾等级标准的，应当填写《残疾等级评定结果告知书》，连同申请人提供的材料，退还申请人或者所在单位。</w:t>
            </w:r>
          </w:p>
          <w:p w14:paraId="0B2E6EA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设区的市级人民政府退役军人事务部门对报送的材料审查后，在《残疾等级评定审批表》上签署意见，并加盖印章。</w:t>
            </w:r>
          </w:p>
          <w:p w14:paraId="286776F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对符合条件的，于收到材料之日起20个工作日内，将上述材料报送省级人民政府退役军人事务部门。对不符合条件的，属于本办法第二条第一款第（一）项人员，</w:t>
            </w:r>
            <w:r>
              <w:rPr>
                <w:rFonts w:hint="eastAsia" w:ascii="Times New Roman" w:hAnsi="Times New Roman" w:eastAsia="仿宋_GB2312"/>
                <w:color w:val="000000" w:themeColor="text1"/>
                <w:spacing w:val="-4"/>
                <w:kern w:val="0"/>
                <w:sz w:val="20"/>
                <w:szCs w:val="20"/>
                <w14:textFill>
                  <w14:solidFill>
                    <w14:schemeClr w14:val="tx1"/>
                  </w14:solidFill>
                </w14:textFill>
              </w:rPr>
              <w:t>根据《军人抚恤优待条例》相关规定上报省级人民政府退役军人事务部门；属于本办法第二条第一款第（一）项以外的人员，填写《残疾等级评定结果告知书》，连同申请人提供的材料，逐级退还申请人或者其所在单位。</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3DC8B222">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3.【规范性文件】《广西壮族自治区伤残抚恤管理办法实施细则》第八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调整残疾等级是指对已经评定残疾等级，因残疾情况变化与所评定的残疾等级明显不符的人员调整残疾等级级别。对达不到最低评残标准的可以取消其残疾等级，收回伤残证件。申请人不得以与原残疾部位无关的残（病）情申请调整残疾等级。</w:t>
            </w:r>
          </w:p>
        </w:tc>
        <w:tc>
          <w:tcPr>
            <w:tcW w:w="1618" w:type="dxa"/>
            <w:vAlign w:val="center"/>
          </w:tcPr>
          <w:p w14:paraId="74B3877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BA2420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2.审查责任：对伤残评定审批表、残情证明等法定材料进行审核；提出审查意见。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2DE36C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3.决定责任：作出决定（不予确认的应当告知理由）；按时办结。</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44DB2A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4.送达责任：制发送达伤残证件或不予评定决定书。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CB8765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A8B38AA">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12B1FF6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FA89CB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14:paraId="5FDE365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2.【法律】《中华人民共和国行政许可法》第三十四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行政机关应当对申请人提交的申请材料进行审查。</w:t>
            </w:r>
          </w:p>
          <w:p w14:paraId="59CEF56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对报送的材料初审后，认为符合条件的，逐级通知县级人民政府退役军人事务部门对申请人的评残情况进行公示。公示内容应当包括致残的时间、地点、原因、残疾情况（涉及隐私或者不宜公开的不公示）、拟定的残疾等级以及县级退役军人事务部门联系方式。公示应当在申请人工作单位所在地或者居住地进行，时间不少于7个工作日。县级人民政府退役军人事务部门应当对公示中反馈的意见进行核实并签署意见，逐级上报省级人民政府退役军人事务部门，对调整等级的应当将本人持有的伤残人员证一并上报。</w:t>
            </w:r>
          </w:p>
          <w:p w14:paraId="0F9E46F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应当对公示的意见进行审核，在《残疾等级评定审批表》上签署审批意见，加盖印章。对符合条件的，办理伤残人员证（调整等级的，在证件变更栏处填写新等级），于公示结束之日起60个工作日内逐级发给申请人或者其所在单位。对不符合条件的，填写《残疾等级评定结果告知书》，连同申请人提供的材料，于收到材料之日或者公示结束之日起60个工作日内逐级退还申请人或者其所在单位。</w:t>
            </w:r>
          </w:p>
          <w:p w14:paraId="41F4905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47B19ADD">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1FC96661">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因不履行或不正确履行行政职责，有下列情形的，工信委及其工作人员应承担相应责任：</w:t>
            </w:r>
          </w:p>
          <w:p w14:paraId="595EF3FF">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F6C8EB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2.对符合伤残人员迁入登记换证、评残、调整伤残等级审核转报条件的申请人不予预审或者不作出转报决定的.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E8F78A3">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3.对不符合伤残人员迁入登记换证、评残、调整伤残等级审核转报条件的申请人随意转报的.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E6C468B">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4.未严格伤残人员迁入登记换证、评残、调整伤残等级审核转报条件，导致严重后果的.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0BDA2DF">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5.擅自增设对伤残人员迁入登记换证、评残、调整伤残等级审核转报审批程序或审批条件的.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68783A0">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6.在受理审核过程中违法收取费用的.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ADB1333">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7.在伤残人员迁入登记换证、评残、调整伤残等级审核转报审核过程中滥用职权、徇私舞弊的.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28CA4BE">
            <w:pPr>
              <w:adjustRightInd w:val="0"/>
              <w:snapToGrid w:val="0"/>
              <w:spacing w:line="28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8.其他违反法律法规规章文件规定的行为</w:t>
            </w:r>
            <w:r>
              <w:rPr>
                <w:rFonts w:hint="eastAsia" w:eastAsia="仿宋_GB2312"/>
                <w:color w:val="000000" w:themeColor="text1"/>
                <w:kern w:val="0"/>
                <w:sz w:val="20"/>
                <w:szCs w:val="20"/>
                <w:lang w:val="en-US"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F4107F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5A85B93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2FFBBD7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513666D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49FC1E3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2594F65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5D01E54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429B69B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p>
          <w:p w14:paraId="1D594B7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4DA75C6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3-2. .【法律】《中华人民共和国行政许可法》（2019年4月23日第十三届全国人民代表大会常务委员会第十次会议修正）第七十四条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1E04038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62F555D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5D31702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64D43A3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1FA3148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 【法律】《公务员法》（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771DE9C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77C3BD30">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p>
          <w:p w14:paraId="1C00429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7D1C375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0B6DC6C8">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1EB3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73297BC2">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19</w:t>
            </w:r>
          </w:p>
        </w:tc>
        <w:tc>
          <w:tcPr>
            <w:tcW w:w="308" w:type="dxa"/>
            <w:vAlign w:val="center"/>
          </w:tcPr>
          <w:p w14:paraId="7933E1C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行政确认</w:t>
            </w:r>
          </w:p>
        </w:tc>
        <w:tc>
          <w:tcPr>
            <w:tcW w:w="992" w:type="dxa"/>
            <w:vAlign w:val="center"/>
          </w:tcPr>
          <w:p w14:paraId="39C07651">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伤残抚恤关系接收、转移办理（审核转报）</w:t>
            </w:r>
          </w:p>
        </w:tc>
        <w:tc>
          <w:tcPr>
            <w:tcW w:w="495" w:type="dxa"/>
            <w:vAlign w:val="center"/>
          </w:tcPr>
          <w:p w14:paraId="218874D3">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0FCC3407">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5CCCC7AE">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67C067BD">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w:t>
            </w:r>
            <w:r>
              <w:rPr>
                <w:rFonts w:hint="eastAsia" w:ascii="Times New Roman" w:hAnsi="Times New Roman" w:eastAsia="仿宋_GB2312"/>
                <w:color w:val="000000" w:themeColor="text1"/>
                <w:spacing w:val="-4"/>
                <w:kern w:val="0"/>
                <w:sz w:val="20"/>
                <w:szCs w:val="20"/>
                <w14:textFill>
                  <w14:solidFill>
                    <w14:schemeClr w14:val="tx1"/>
                  </w14:solidFill>
                </w14:textFill>
              </w:rPr>
              <w:t>务院、中央军委令第413号发布，2019年国务院令第709号修订）第二十四</w:t>
            </w:r>
            <w:r>
              <w:rPr>
                <w:rFonts w:hint="eastAsia" w:ascii="Times New Roman" w:hAnsi="Times New Roman" w:eastAsia="仿宋_GB2312"/>
                <w:color w:val="000000" w:themeColor="text1"/>
                <w:spacing w:val="-4"/>
                <w:kern w:val="0"/>
                <w:sz w:val="20"/>
                <w:szCs w:val="20"/>
                <w:lang w:eastAsia="zh-CN"/>
                <w14:textFill>
                  <w14:solidFill>
                    <w14:schemeClr w14:val="tx1"/>
                  </w14:solidFill>
                </w14:textFill>
              </w:rPr>
              <w:t>条：</w:t>
            </w:r>
            <w:r>
              <w:rPr>
                <w:rFonts w:hint="eastAsia" w:ascii="Times New Roman" w:hAnsi="Times New Roman" w:eastAsia="仿宋_GB2312"/>
                <w:color w:val="000000" w:themeColor="text1"/>
                <w:spacing w:val="-4"/>
                <w:kern w:val="0"/>
                <w:sz w:val="20"/>
                <w:szCs w:val="20"/>
                <w14:textFill>
                  <w14:solidFill>
                    <w14:schemeClr w14:val="tx1"/>
                  </w14:solidFill>
                </w14:textFill>
              </w:rPr>
              <w:t>残疾军人由认定残疾性质和评定残疾等级的机关发给《中华人民共和国残疾军人证》。”</w:t>
            </w:r>
          </w:p>
          <w:p w14:paraId="427907FF">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2.【部门规章】《伤残抚恤管理办法》（2007年民政部令第34号公布，2019年退役军人事务部令第1号修订）</w:t>
            </w:r>
            <w:r>
              <w:rPr>
                <w:rFonts w:hint="eastAsia" w:ascii="Times New Roman" w:hAnsi="Times New Roman" w:eastAsia="仿宋_GB2312"/>
                <w:color w:val="000000" w:themeColor="text1"/>
                <w:kern w:val="0"/>
                <w:sz w:val="20"/>
                <w:szCs w:val="20"/>
                <w:lang w:eastAsia="zh-CN"/>
                <w14:textFill>
                  <w14:solidFill>
                    <w14:schemeClr w14:val="tx1"/>
                  </w14:solidFill>
                </w14:textFill>
              </w:rPr>
              <w:t>第二十条：</w:t>
            </w:r>
            <w:r>
              <w:rPr>
                <w:rFonts w:hint="eastAsia" w:ascii="Times New Roman" w:hAnsi="Times New Roman" w:eastAsia="仿宋_GB2312"/>
                <w:color w:val="000000" w:themeColor="text1"/>
                <w:kern w:val="0"/>
                <w:sz w:val="20"/>
                <w:szCs w:val="20"/>
                <w14:textFill>
                  <w14:solidFill>
                    <w14:schemeClr w14:val="tx1"/>
                  </w14:solidFill>
                </w14:textFill>
              </w:rPr>
              <w:t>残疾军人退役或者向政府移交，必须自军队办理了退役手续或者移交手续后60日内，向户籍迁入地的县级人民政府退役军人事务部门申请转入抚恤关系。退役军人事务部门必须进行审查、登记、备案。审查的材料有：《户口登记簿》、《残疾军人证》、军队相关部门监制的《军人残疾等级评定表》、《换领〈中华人民共和国残疾军人证〉申报审批表》、退役证件或者移交政府安置的相关证明。</w:t>
            </w:r>
          </w:p>
          <w:p w14:paraId="60709CC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县级人民政府退役军人事务部门应当对残疾军人残疾情况及有关材料进行审查，必要时可以复查鉴定残疾情况。认为符合条件的，将《残疾军人证》及有关材料逐级报送省级人民政府退役军人事务部门。省级人民政府退役军人事务部门审查无误的，在《残疾军人证》变更栏内填写新的户籍地、重新编号，并加盖印章，将《残疾军人证》逐级通过县级人民政府退役军人事务部门发还申请人。各级退役军人事务部门应当在20个工作日内完成本级需要办理的事项。如复查、鉴定残疾情况的可以适当延长工作日。</w:t>
            </w:r>
          </w:p>
          <w:p w14:paraId="4588FD5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军人残疾等级评定表》或者《换领〈中华人民共和国残疾军人证〉申报审批表》记载的残疾情况与残疾等级明显不符的，县级退役军人事务部门应当暂缓登记，逐级上报省级人民政府退役军人事务部门通知原审批机关更正，或者按复查鉴定的残疾情况重新评定残疾等级。伪造、变造《残疾军人证》和评残材料的，县级人民政府退役军人事务部门收回《残疾军人证》不予登记，并移交当地公安机关处理。</w:t>
            </w:r>
          </w:p>
          <w:p w14:paraId="6E08E6B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3.【部门规章】《伤残抚恤管理办法》（2007年民政部令第34号公布，2019年退役军人事务部令第1号修订）第二十一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人员跨省迁移户籍时，应同步转移伤残抚恤关系，迁出地的县级人民政府退役军人事务部门根据伤残人员申请及其伤残证件和迁入地户口簿，将伤残档案、迁入地户口簿复印件以及《伤残人员关系转移证明》，发送迁入地县级人民政府退役军人事务部门，并同时将此信息逐级上报本省级人民政府退役军人事务部门。</w:t>
            </w:r>
          </w:p>
          <w:p w14:paraId="690B529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迁入地县级人民政府退役军人事务部门在收到上述材料和申请人提供的伤残证件后，逐级上报省级人民政府退役军人事务部门。省级人民政府退役军人事务部门在向迁出地省级人民政府退役军人事务部门核实无误后，在伤残证件变更栏内填写新的户籍地、重新编号，并加盖印章，逐级通过县级人民政府退役军人事务部门发还申请人。各级退役军人事务部门应当在20个工作日内完成本级需要办理的事项。</w:t>
            </w:r>
          </w:p>
          <w:p w14:paraId="37D41A6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迁出地退役军人事务部门邮寄伤残档案时，应当将伤残证件及其军队或者地方相关的评残审批表或者换证表复印备查。</w:t>
            </w:r>
          </w:p>
          <w:p w14:paraId="58A04567">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4.【部门规章】《伤残抚恤管理办法》（2007年民政部令第34号公布，2019年退役军人事务部令第1号修订）第二十二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伤残人员本省、自治区、直辖市范围内迁移的有关手续，由省、自治区、直辖市人民政府退役军人事务部门规定。</w:t>
            </w:r>
          </w:p>
        </w:tc>
        <w:tc>
          <w:tcPr>
            <w:tcW w:w="1618" w:type="dxa"/>
            <w:vAlign w:val="center"/>
          </w:tcPr>
          <w:p w14:paraId="1B9AE793">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公示办理条件、程序以及申请人所需提交的材料，申请资料齐全、符合法定形式的，应当受理申请；申请资料不齐全或者不符合法定形式的，应当当场或者在5个工作日内一次告知申请人需要补正的全部内容；不符合条件的，不予受理，告知申请人并说明不予受理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3EEA228">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2.审查责任：对残疾军人证、原评定残疾等级审批材料等法定材料进行审核；提出审查意见。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E053852">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3.决定责任：作出决定（不符合条件的不予登记或暂缓登记）；按时办结。</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5E2690A">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4.送达责任：在残疾军人证变更栏内填写新的户籍地、重新编号，加盖印章，逐级发还申请人。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238EF4">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5.监管责任：建立审批档案；加强监督检查。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240E0A0">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305E09E3">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46BC7D9">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14:paraId="55A9EB7A">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2.【法律】《中华人民共和国行政许可法》第三十四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行政机关应当对申请人提交的申请材料进行审查。</w:t>
            </w:r>
          </w:p>
          <w:p w14:paraId="39E65891">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3.【部门规章】《伤残抚恤管理办法》（2007年民政部令第34号公布，2019年退役军人事务部令第1号修订）</w:t>
            </w:r>
            <w:r>
              <w:rPr>
                <w:rFonts w:hint="eastAsia" w:ascii="Times New Roman" w:hAnsi="Times New Roman" w:eastAsia="仿宋_GB2312"/>
                <w:color w:val="000000" w:themeColor="text1"/>
                <w:kern w:val="0"/>
                <w:sz w:val="20"/>
                <w:szCs w:val="20"/>
                <w:lang w:eastAsia="zh-CN"/>
                <w14:textFill>
                  <w14:solidFill>
                    <w14:schemeClr w14:val="tx1"/>
                  </w14:solidFill>
                </w14:textFill>
              </w:rPr>
              <w:t>第二十条：</w:t>
            </w:r>
            <w:r>
              <w:rPr>
                <w:rFonts w:hint="eastAsia" w:ascii="Times New Roman" w:hAnsi="Times New Roman" w:eastAsia="仿宋_GB2312"/>
                <w:color w:val="000000" w:themeColor="text1"/>
                <w:kern w:val="0"/>
                <w:sz w:val="20"/>
                <w:szCs w:val="20"/>
                <w14:textFill>
                  <w14:solidFill>
                    <w14:schemeClr w14:val="tx1"/>
                  </w14:solidFill>
                </w14:textFill>
              </w:rPr>
              <w:t>残疾军人退役或者向政府移交，必须自军队办理了退役手续或者移交手续后60日内，向户籍迁入地的县级人民政府退役军人事务部门申请转入抚恤关系。退役军人事务部门必须进行审查、登记、备案。审查的材料有：《户口登记簿》、《残疾军人证》、军队相关部门监制的《军人残疾等级评定表》、《换领〈中华人民共和国残疾军人证〉申报审批表》、退役证件或者移交政府安置的相关证明。</w:t>
            </w:r>
          </w:p>
          <w:p w14:paraId="48F7C14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省级人民政府退役军人事务部门审查无误的，在《残疾军人证》变更栏内填写新的户籍地、重新编号，并加盖印章，将《残疾军人证》逐级通过县级人民政府退役军人事务部门发还申请人。各级退役军人事务部门应当在20个工作日内完成本级需要办理的事项。如复查、鉴定残疾情况的可以适当延长工作日。</w:t>
            </w:r>
          </w:p>
          <w:p w14:paraId="284F2AF2">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军人残疾等级评定表》或者《换领〈中华人民共和国残疾军人证〉申报审批表》记载的残疾情况与残疾等级明显不符的，县级退役军人事务部门应当暂缓登记，逐级上报省级人民政府退役军人事务部门通知原审批机关更正，或者按复查鉴定的残疾情况重新评定残疾等级。伪造、变造《残疾军人证》和评残材料的，县级人民政府退役军人事务部门收回《残疾军人证》不予登记，并移交当地公安机关处理。</w:t>
            </w:r>
          </w:p>
          <w:p w14:paraId="7AAF00BD">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第二十一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伤残人员跨省迁移户籍时，应同步转移伤残抚恤关系，迁出地的县级人民政府退役军人事务部门根据伤残人员申请及其伤残证件和迁入地户口簿，将伤残档案、迁入地户口簿复印件以及《伤残人员关系转移证明》，发送迁入地县级人民政府退役军人事务部门，并同时将此信息逐级上报本省级人民政府退役军人事务部门。</w:t>
            </w:r>
          </w:p>
          <w:p w14:paraId="6254FF6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迁入地县级人民政府退役军人事务部门在收到上述材料和申请人提供的伤残证件后，逐级上报省级人民政府退役军人事务部门。省级人民政府退役军人事务部门在向迁出地省级人民政府退役军人事务部门核实无误后，在伤残证件变更栏内填写新的户籍地、重新编号，并加盖印章，逐级通过县级人民政府退役军人事务部门发还申请人。各级退役军人事务部门应当在20个工作日内完成本级需要办理的事项。</w:t>
            </w:r>
          </w:p>
          <w:p w14:paraId="263269E6">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迁出地退役军人事务部门邮寄伤残档案时，应当将伤残证件及其军队或者地方相关的评残审批表或者换证表复印备查。</w:t>
            </w:r>
          </w:p>
          <w:p w14:paraId="638DE857">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39410507">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05C14BD6">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因不履行或不正确履行行政职责，有下列情形的，工信委及其工作人员应承担相应责任：</w:t>
            </w:r>
          </w:p>
          <w:p w14:paraId="6BEA76A6">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8EE5D4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2.对符合伤残人员迁入登记换证、评残、调整伤残等级审核转报条件的申请人不予预审或者不作出转报决定的.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4C0B40E">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3.对不符合伤残人员迁入登记换证、评残、调整伤残等级审核转报条件的申请人随意转报的.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8A886B1">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4.未严格伤残人员迁入登记换证、评残、调整伤残等级审核转报条件，导致严重后果的.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9098DDD">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5.擅自增设对伤残人员迁入登记换证、评残、调整伤残等级审核转报审批程序或审批条件的.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573D638">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6.在受理审核过程中违法收取费用的.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59F872A">
            <w:pPr>
              <w:widowControl/>
              <w:adjustRightInd w:val="0"/>
              <w:snapToGrid w:val="0"/>
              <w:spacing w:line="26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7.在伤残人员迁入登记换证、评残、调整伤残等级审核转报审核过程中滥用职权、徇私舞弊的.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11BD300">
            <w:pPr>
              <w:widowControl/>
              <w:adjustRightInd w:val="0"/>
              <w:snapToGrid w:val="0"/>
              <w:spacing w:line="264" w:lineRule="exact"/>
              <w:ind w:firstLine="400" w:firstLineChars="200"/>
              <w:rPr>
                <w:rFonts w:hint="eastAsia" w:ascii="方正书宋_GBK" w:hAnsi="宋体" w:eastAsia="仿宋_GB2312" w:cs="宋体"/>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8.其他违反法律法规规章文件规定的行为</w:t>
            </w:r>
            <w:r>
              <w:rPr>
                <w:rFonts w:hint="eastAsia" w:eastAsia="仿宋_GB2312"/>
                <w:color w:val="000000" w:themeColor="text1"/>
                <w:kern w:val="0"/>
                <w:sz w:val="20"/>
                <w:szCs w:val="20"/>
                <w:lang w:val="en-US" w:eastAsia="zh-CN"/>
                <w14:textFill>
                  <w14:solidFill>
                    <w14:schemeClr w14:val="tx1"/>
                  </w14:solidFill>
                </w14:textFill>
              </w:rPr>
              <w:t>.</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7F31981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w:t>
            </w:r>
          </w:p>
          <w:p w14:paraId="373FAE28">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（一）没有法定的行政处罚依据的；</w:t>
            </w:r>
          </w:p>
          <w:p w14:paraId="4F1C693B">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（二）擅自改变行政处罚种类、幅度的；</w:t>
            </w:r>
          </w:p>
          <w:p w14:paraId="40A46DFE">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（三）违反法定的行政处罚程序的；</w:t>
            </w:r>
          </w:p>
          <w:p w14:paraId="069144C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（四）违反本法第二十条关于委托处罚的规定的；</w:t>
            </w:r>
          </w:p>
          <w:p w14:paraId="3B354E0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（五）执法人员未取得执法证件的。</w:t>
            </w:r>
          </w:p>
          <w:p w14:paraId="22F20D9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p>
          <w:p w14:paraId="32253080">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p>
          <w:p w14:paraId="5150ABB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3-1.【法律】《中华人民共和国行政处罚法》（2021年1月22日第十三届全国人民代表大会常务委员会第二十五次会议修订）第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1EA11C0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3-2. .【法律】《中华人民共和国行政许可法》（2019年4月23日第十三届全国人民代表大会常务委员会第十次会议修正）第七十四条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271D95A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74DF50E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4175FCD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3C3C9BA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6133DC5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 【法律】《公务员法》（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4109E0E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4168FE36">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p>
          <w:p w14:paraId="4B4B75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0948DCE3">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B50DD3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34C7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203C594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20</w:t>
            </w:r>
          </w:p>
        </w:tc>
        <w:tc>
          <w:tcPr>
            <w:tcW w:w="308" w:type="dxa"/>
            <w:vAlign w:val="center"/>
          </w:tcPr>
          <w:p w14:paraId="23F6AD29">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行政确认</w:t>
            </w:r>
          </w:p>
        </w:tc>
        <w:tc>
          <w:tcPr>
            <w:tcW w:w="992" w:type="dxa"/>
            <w:vAlign w:val="center"/>
          </w:tcPr>
          <w:p w14:paraId="714CFB50">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对退出现役残疾军人集中供养的确定</w:t>
            </w:r>
          </w:p>
        </w:tc>
        <w:tc>
          <w:tcPr>
            <w:tcW w:w="495" w:type="dxa"/>
            <w:vAlign w:val="center"/>
          </w:tcPr>
          <w:p w14:paraId="6410088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243A103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4215028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12C1C458">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【行政法规】《军人抚恤</w:t>
            </w:r>
            <w:r>
              <w:rPr>
                <w:rFonts w:hint="eastAsia" w:ascii="Times New Roman" w:hAnsi="Times New Roman" w:eastAsia="仿宋_GB2312"/>
                <w:color w:val="000000" w:themeColor="text1"/>
                <w:kern w:val="0"/>
                <w:sz w:val="20"/>
                <w:szCs w:val="20"/>
                <w14:textFill>
                  <w14:solidFill>
                    <w14:schemeClr w14:val="tx1"/>
                  </w14:solidFill>
                </w14:textFill>
              </w:rPr>
              <w:t>优待条例</w:t>
            </w:r>
            <w:r>
              <w:rPr>
                <w:rFonts w:hint="eastAsia" w:ascii="Times New Roman" w:hAnsi="Times New Roman" w:eastAsia="仿宋_GB2312" w:cs="宋体"/>
                <w:color w:val="000000" w:themeColor="text1"/>
                <w:kern w:val="0"/>
                <w:sz w:val="20"/>
                <w:szCs w:val="20"/>
                <w14:textFill>
                  <w14:solidFill>
                    <w14:schemeClr w14:val="tx1"/>
                  </w14:solidFill>
                </w14:textFill>
              </w:rPr>
              <w:t>》（2004年国务院、</w:t>
            </w:r>
            <w:r>
              <w:rPr>
                <w:rFonts w:hint="eastAsia" w:ascii="Times New Roman" w:hAnsi="Times New Roman" w:eastAsia="仿宋_GB2312"/>
                <w:color w:val="000000" w:themeColor="text1"/>
                <w:kern w:val="0"/>
                <w:sz w:val="20"/>
                <w:szCs w:val="20"/>
                <w14:textFill>
                  <w14:solidFill>
                    <w14:schemeClr w14:val="tx1"/>
                  </w14:solidFill>
                </w14:textFill>
              </w:rPr>
              <w:t>中央军</w:t>
            </w:r>
            <w:r>
              <w:rPr>
                <w:rFonts w:hint="eastAsia" w:ascii="Times New Roman" w:hAnsi="Times New Roman" w:eastAsia="仿宋_GB2312" w:cs="宋体"/>
                <w:color w:val="000000" w:themeColor="text1"/>
                <w:kern w:val="0"/>
                <w:sz w:val="20"/>
                <w:szCs w:val="20"/>
                <w14:textFill>
                  <w14:solidFill>
                    <w14:schemeClr w14:val="tx1"/>
                  </w14:solidFill>
                </w14:textFill>
              </w:rPr>
              <w:t>委令第4</w:t>
            </w:r>
            <w:r>
              <w:rPr>
                <w:rFonts w:hint="eastAsia" w:ascii="Times New Roman" w:hAnsi="Times New Roman" w:eastAsia="仿宋_GB2312"/>
                <w:color w:val="000000" w:themeColor="text1"/>
                <w:kern w:val="0"/>
                <w:sz w:val="20"/>
                <w:szCs w:val="20"/>
                <w14:textFill>
                  <w14:solidFill>
                    <w14:schemeClr w14:val="tx1"/>
                  </w14:solidFill>
                </w14:textFill>
              </w:rPr>
              <w:t>13号发</w:t>
            </w:r>
            <w:r>
              <w:rPr>
                <w:rFonts w:hint="eastAsia" w:ascii="Times New Roman" w:hAnsi="Times New Roman" w:eastAsia="仿宋_GB2312" w:cs="宋体"/>
                <w:color w:val="000000" w:themeColor="text1"/>
                <w:kern w:val="0"/>
                <w:sz w:val="20"/>
                <w:szCs w:val="20"/>
                <w14:textFill>
                  <w14:solidFill>
                    <w14:schemeClr w14:val="tx1"/>
                  </w14:solidFill>
                </w14:textFill>
              </w:rPr>
              <w:t>布，2019</w:t>
            </w:r>
            <w:r>
              <w:rPr>
                <w:rFonts w:hint="eastAsia" w:ascii="Times New Roman" w:hAnsi="Times New Roman" w:eastAsia="仿宋_GB2312"/>
                <w:color w:val="000000" w:themeColor="text1"/>
                <w:kern w:val="0"/>
                <w:sz w:val="20"/>
                <w:szCs w:val="20"/>
                <w14:textFill>
                  <w14:solidFill>
                    <w14:schemeClr w14:val="tx1"/>
                  </w14:solidFill>
                </w14:textFill>
              </w:rPr>
              <w:t>年国务</w:t>
            </w:r>
            <w:r>
              <w:rPr>
                <w:rFonts w:hint="eastAsia" w:ascii="Times New Roman" w:hAnsi="Times New Roman" w:eastAsia="仿宋_GB2312" w:cs="宋体"/>
                <w:color w:val="000000" w:themeColor="text1"/>
                <w:kern w:val="0"/>
                <w:sz w:val="20"/>
                <w:szCs w:val="20"/>
                <w14:textFill>
                  <w14:solidFill>
                    <w14:schemeClr w14:val="tx1"/>
                  </w14:solidFill>
                </w14:textFill>
              </w:rPr>
              <w:t>院令第709号修订</w:t>
            </w:r>
            <w:r>
              <w:rPr>
                <w:rFonts w:hint="eastAsia" w:ascii="Times New Roman" w:hAnsi="Times New Roman" w:eastAsia="仿宋_GB2312"/>
                <w:color w:val="000000" w:themeColor="text1"/>
                <w:kern w:val="0"/>
                <w:sz w:val="20"/>
                <w:szCs w:val="20"/>
                <w14:textFill>
                  <w14:solidFill>
                    <w14:schemeClr w14:val="tx1"/>
                  </w14:solidFill>
                </w14:textFill>
              </w:rPr>
              <w:t>）</w:t>
            </w:r>
            <w:r>
              <w:rPr>
                <w:rFonts w:hint="eastAsia" w:ascii="Times New Roman" w:hAnsi="Times New Roman" w:eastAsia="仿宋_GB2312" w:cs="宋体"/>
                <w:color w:val="000000" w:themeColor="text1"/>
                <w:kern w:val="0"/>
                <w:sz w:val="20"/>
                <w:szCs w:val="20"/>
                <w14:textFill>
                  <w14:solidFill>
                    <w14:schemeClr w14:val="tx1"/>
                  </w14:solidFill>
                </w14:textFill>
              </w:rPr>
              <w:t>第二十九</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退出现役的一级至四级残疾军人，由国家供养终身；其中，对需要长年医疗或者独身一人不便分散安置的，经省级人民政府退役军人事务部门批准，可以集中供养。</w:t>
            </w:r>
          </w:p>
        </w:tc>
        <w:tc>
          <w:tcPr>
            <w:tcW w:w="1618" w:type="dxa"/>
            <w:vAlign w:val="center"/>
          </w:tcPr>
          <w:p w14:paraId="37B36B5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1.受理责任：依法受理或不予受理，并一次性告之不予受理理由或需补充提供的相关材料目录。</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1FD650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2.审查责任：审查《伤残军人证明书》、户口簿等证件。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24F576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3.决定责任：对符合条件的，现场予以告之后续办事事宜，对不符合条件的，解释原因。</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57688E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4.事后监管责任：登记并按要求签字领取补助。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E1C18FA">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5C26B41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w:t>
            </w:r>
          </w:p>
          <w:p w14:paraId="2B18E14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（三）依法保护或拒绝保护人身权、财产权，以及发给或者拒绝发给抚恤金的行为；</w:t>
            </w:r>
          </w:p>
          <w:p w14:paraId="7ACF137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4B00BE3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2812256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0981A36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5DF7120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7187105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2E8781D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因不履行或不正确履行行政职责，有下列情形的，相关工作人员应承担相应责任：</w:t>
            </w:r>
          </w:p>
          <w:p w14:paraId="5A0840F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1.对符合条件不予受理的。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7B7A35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2.违反规定批准补助资金的。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FEA84B0">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3.其他法律法规规章文件规定应履行的行为。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6CF49AC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C35E33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523BE4A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1C6F7CD4">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4897647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46B30F1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01D389E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57F6873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6857F06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67DA60E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1734017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2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584B39B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2.【法规】《军人抚恤优待条例》（国务院、中央军委令第602号</w:t>
            </w:r>
            <w:r>
              <w:rPr>
                <w:rFonts w:hint="eastAsia" w:eastAsia="仿宋_GB2312"/>
                <w:color w:val="000000" w:themeColor="text1"/>
                <w:kern w:val="0"/>
                <w:sz w:val="20"/>
                <w:szCs w:val="20"/>
                <w:lang w:eastAsia="zh-CN"/>
                <w14:textFill>
                  <w14:solidFill>
                    <w14:schemeClr w14:val="tx1"/>
                  </w14:solidFill>
                </w14:textFill>
              </w:rPr>
              <w:t>，</w:t>
            </w:r>
            <w:r>
              <w:rPr>
                <w:rFonts w:hint="eastAsia" w:eastAsia="仿宋_GB2312"/>
                <w:color w:val="000000" w:themeColor="text1"/>
                <w:kern w:val="0"/>
                <w:sz w:val="20"/>
                <w:szCs w:val="20"/>
                <w:lang w:val="en-US" w:eastAsia="zh-CN"/>
                <w14:textFill>
                  <w14:solidFill>
                    <w14:schemeClr w14:val="tx1"/>
                  </w14:solidFill>
                </w14:textFill>
              </w:rPr>
              <w:t>2019年国务院令第709号修订</w:t>
            </w:r>
            <w:r>
              <w:rPr>
                <w:rFonts w:hint="eastAsia" w:ascii="Times New Roman" w:hAnsi="Times New Roman" w:eastAsia="仿宋_GB2312"/>
                <w:color w:val="000000" w:themeColor="text1"/>
                <w:kern w:val="0"/>
                <w:sz w:val="20"/>
                <w:szCs w:val="20"/>
                <w14:textFill>
                  <w14:solidFill>
                    <w14:schemeClr w14:val="tx1"/>
                  </w14:solidFill>
                </w14:textFill>
              </w:rPr>
              <w:t>）第四十七条　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14:paraId="67660B26">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（一）违反规定审批军人抚恤待遇的；</w:t>
            </w:r>
          </w:p>
          <w:p w14:paraId="062DB40B">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（二）在审批军人抚恤待遇工作中出具虚假诊断、鉴定、证明的；</w:t>
            </w:r>
          </w:p>
          <w:p w14:paraId="429042B2">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（三）不按规定的标准、数额、对象审批或者发放抚恤金、补助金、优待金的；</w:t>
            </w:r>
          </w:p>
          <w:p w14:paraId="220F6C9A">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（四）在军人抚恤优待工作中利用职权谋取私利的。</w:t>
            </w:r>
          </w:p>
          <w:p w14:paraId="3AFBAD3E">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3EC126D8">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CF1216C">
            <w:pPr>
              <w:keepNext w:val="0"/>
              <w:keepLines w:val="0"/>
              <w:pageBreakBefore w:val="0"/>
              <w:widowControl/>
              <w:kinsoku/>
              <w:wordWrap/>
              <w:overflowPunct/>
              <w:topLinePunct w:val="0"/>
              <w:autoSpaceDE/>
              <w:autoSpaceDN/>
              <w:bidi w:val="0"/>
              <w:adjustRightInd w:val="0"/>
              <w:snapToGrid w:val="0"/>
              <w:spacing w:line="32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7DD86F3">
            <w:pPr>
              <w:keepNext w:val="0"/>
              <w:keepLines w:val="0"/>
              <w:pageBreakBefore w:val="0"/>
              <w:widowControl/>
              <w:kinsoku/>
              <w:wordWrap/>
              <w:overflowPunct/>
              <w:topLinePunct w:val="0"/>
              <w:autoSpaceDE/>
              <w:autoSpaceDN/>
              <w:bidi w:val="0"/>
              <w:adjustRightInd w:val="0"/>
              <w:snapToGrid w:val="0"/>
              <w:spacing w:line="21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71FE1EEE">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086B0AFA">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CD7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5733E8A1">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21</w:t>
            </w:r>
          </w:p>
        </w:tc>
        <w:tc>
          <w:tcPr>
            <w:tcW w:w="308" w:type="dxa"/>
            <w:vAlign w:val="center"/>
          </w:tcPr>
          <w:p w14:paraId="6AB4891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其他行政权力</w:t>
            </w:r>
          </w:p>
        </w:tc>
        <w:tc>
          <w:tcPr>
            <w:tcW w:w="992" w:type="dxa"/>
            <w:vAlign w:val="center"/>
          </w:tcPr>
          <w:p w14:paraId="3D7341D5">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对未经批准迁移烈士纪念设施，非法侵占烈士纪念设施保护范围内的土地、设施，破坏、污损烈士纪念设施，或者在烈士纪念设施保护范围内为烈士以外的其他人修建纪念设施、安放骨灰、埋葬遗体的处置</w:t>
            </w:r>
          </w:p>
        </w:tc>
        <w:tc>
          <w:tcPr>
            <w:tcW w:w="495" w:type="dxa"/>
            <w:vAlign w:val="center"/>
          </w:tcPr>
          <w:p w14:paraId="56C3BF29">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7C12CFE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0A9D0B0E">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63FBE197">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1.【行政法规】《烈士褒扬条例》（2011年国务院令第601号公布，2019年国务院令第718号修订）第三十七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14:paraId="07A96F86">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2.【部门规章】《烈士纪念设施保护管理办法》（2013民政部令第47号）第十五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任何单位或者个人不得侵占烈士纪念设施保护范围内的土地和设施。禁止在烈士纪念设施保护范围内进行其他工程建设。任何单位或者个人不得在烈士纪念设施保护范围内为烈士以外的其他人修建纪念设施或者安放骨灰、埋葬遗体。在烈士纪念设施保护范围内不得从事与纪念烈士无关的活动。</w:t>
            </w:r>
          </w:p>
          <w:p w14:paraId="4AEE6968">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未经批准迁移烈士纪念设施，非法侵占烈士纪念设施保护范围内的土地、设施，破坏、污损烈士纪念设施，或者在烈士纪念设施保护范围内为烈士以外其他人修建纪念设施、安放骨灰、遗体的，由烈士纪念设施保护单位的上级主管部门责令改正，恢复原状、原貌；造成损失的，依法承担赔偿责任；构成犯罪的，依法追究刑事责任。</w:t>
            </w:r>
          </w:p>
        </w:tc>
        <w:tc>
          <w:tcPr>
            <w:tcW w:w="1618" w:type="dxa"/>
            <w:vAlign w:val="center"/>
          </w:tcPr>
          <w:p w14:paraId="32CB4CDF">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1.立案责任：受理，并决定是否立案。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7C0FB84">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2.调查取证责任：进行调查，收集、调取证据并记录保存。</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65627E1">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47C0D40">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4.告知责任：事先告知处罚的事实、理由、依据及享有的陈述、申辩等权利。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CBC1A1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5.决定责任：作出行政处罚决定。</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19EBFED">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6.送达责任：行政处罚决定书应当在宣告后当场交付当事人；当事人不在场的，行政机关应当在七日内依照民事诉讼法的有关规定，将行政处罚决定书送达当事人。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7A7BA03">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7.执行责任：依照生效的行政处罚决定，自觉履行或强制执行。</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75C039E">
            <w:pPr>
              <w:widowControl/>
              <w:adjustRightInd w:val="0"/>
              <w:snapToGrid w:val="0"/>
              <w:spacing w:line="28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8.监督责任：对处罚决定执行情况进行监督检查。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FE203EB">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50F9C83A">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《广西壮族自治区行政执法程序规定》（1997年广西壮族自治区人民政府令第13号）第二十八条</w:t>
            </w:r>
            <w:r>
              <w:rPr>
                <w:rFonts w:hint="eastAsia" w:ascii="Times New Roman" w:hAnsi="Times New Roman" w:eastAsia="仿宋_GB2312"/>
                <w:color w:val="000000" w:themeColor="text1"/>
                <w:kern w:val="0"/>
                <w:sz w:val="20"/>
                <w:szCs w:val="20"/>
                <w14:textFill>
                  <w14:solidFill>
                    <w14:schemeClr w14:val="tx1"/>
                  </w14:solidFill>
                </w14:textFill>
              </w:rPr>
              <w:t>第一、二款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行政执法机关对违法事项经过审查，认为有违法事实，依法需要给予行政处罚的，应当登记立案。两个以上行政执法机关联合办理的违法案件，由主办机关立案，立案报告应经联合办理机关会签。</w:t>
            </w:r>
          </w:p>
          <w:p w14:paraId="1FCA9C9C">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《广西壮族自治区行政执法程序规定》（1997年广西壮族自治区人民政府令第13号）第二十九条：</w:t>
            </w:r>
            <w:r>
              <w:rPr>
                <w:rFonts w:hint="eastAsia" w:ascii="Times New Roman" w:hAnsi="Times New Roman" w:eastAsia="仿宋_GB2312"/>
                <w:color w:val="000000" w:themeColor="text1"/>
                <w:kern w:val="0"/>
                <w:sz w:val="20"/>
                <w:szCs w:val="20"/>
                <w14:textFill>
                  <w14:solidFill>
                    <w14:schemeClr w14:val="tx1"/>
                  </w14:solidFill>
                </w14:textFill>
              </w:rPr>
              <w:t>行政执法机关对已经立案的案件应及时组织调查取证。行政执法机关调查、收集证据，应遵循合法、客观、全面、及时的原则，证据必须经过查证核实。</w:t>
            </w:r>
          </w:p>
          <w:p w14:paraId="15C913EA">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58B74B9D">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第三十一条第三款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5E4DDA4B">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056FF47C">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行政执法机关对相对人的陈述和申辩应当制作笔录，对相对人提出的事实、理由或者证据应当进行审核。相对人所提出的事实、理由或者提供的证据成立的，行政执法机关应当采纳。</w:t>
            </w:r>
          </w:p>
          <w:p w14:paraId="70EA6659">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《广西壮族自治区行政执法程序规定》（1997年广西壮族自治区人民政府令第13号）第三十三条：</w:t>
            </w:r>
            <w:r>
              <w:rPr>
                <w:rFonts w:hint="eastAsia" w:ascii="Times New Roman" w:hAnsi="Times New Roman" w:eastAsia="仿宋_GB2312"/>
                <w:color w:val="000000" w:themeColor="text1"/>
                <w:kern w:val="0"/>
                <w:sz w:val="20"/>
                <w:szCs w:val="20"/>
                <w14:textFill>
                  <w14:solidFill>
                    <w14:schemeClr w14:val="tx1"/>
                  </w14:solidFill>
                </w14:textFill>
              </w:rPr>
              <w:t>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63E0B9AF">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36451E79">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行政执法机关及其行政执法人员在作出处罚决定之前，应当告知相对人作出处罚决定的事实、理由及依据，并告知其依法享有的权利。第四十一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行政执法机关应按本节规定的程序组织听证。但是国务院有关工作部门另有规定的，从其规定。</w:t>
            </w:r>
          </w:p>
          <w:p w14:paraId="265BD466">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《广西壮族自治区行政执法程序规定》（1997年广西壮族自治区人民政府令第13号）第三十七条：</w:t>
            </w:r>
            <w:r>
              <w:rPr>
                <w:rFonts w:hint="eastAsia" w:ascii="Times New Roman" w:hAnsi="Times New Roman" w:eastAsia="仿宋_GB2312"/>
                <w:color w:val="000000" w:themeColor="text1"/>
                <w:kern w:val="0"/>
                <w:sz w:val="20"/>
                <w:szCs w:val="20"/>
                <w14:textFill>
                  <w14:solidFill>
                    <w14:schemeClr w14:val="tx1"/>
                  </w14:solidFill>
                </w14:textFill>
              </w:rPr>
              <w:t>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w:t>
            </w:r>
          </w:p>
          <w:p w14:paraId="7127C502">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0C8E155B">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《广西壮族自治区行政执法程序规定》（1997年广西壮族自治区人民政府令第13号）第五十六条：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59335258">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2A9089D9">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《广西壮族自治区行政执法程序规定》（1997年广西壮族自治区人民政府令第13号）第五十九条：</w:t>
            </w:r>
            <w:r>
              <w:rPr>
                <w:rFonts w:hint="eastAsia" w:ascii="Times New Roman" w:hAnsi="Times New Roman" w:eastAsia="仿宋_GB2312"/>
                <w:color w:val="000000" w:themeColor="text1"/>
                <w:kern w:val="0"/>
                <w:sz w:val="20"/>
                <w:szCs w:val="20"/>
                <w14:textFill>
                  <w14:solidFill>
                    <w14:schemeClr w14:val="tx1"/>
                  </w14:solidFill>
                </w14:textFill>
              </w:rPr>
              <w:t>行政处理决定书送达时生效。生效的行政处理决定书必须执行。相对人对行政处理决定不服申请行政复议或者提起行政诉讼的，行政处理决定不停止执行，但法律、法规另有规定的除外。</w:t>
            </w:r>
          </w:p>
          <w:p w14:paraId="600CB64F">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行政处理决定涉及罚款的，除本规定第六十一条规定的由行政执法人员当场收缴外，相对人应当自收到行政处理决定书之日起十五日内，到指定的金融机构缴纳罚款。</w:t>
            </w:r>
          </w:p>
          <w:p w14:paraId="6544F4A3">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相对人逾期不缴纳罚款的，由作出罚款决定的行政执法机关每日按罚款数额的百分之三加处罚款，并依法强制执行或申请人民法院强制执行。执行费用由相对人承担。第六十五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24DB6681">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8.【法律】</w:t>
            </w:r>
            <w:r>
              <w:rPr>
                <w:rFonts w:hint="eastAsia" w:ascii="Times New Roman" w:hAnsi="Times New Roman" w:eastAsia="仿宋_GB2312"/>
                <w:color w:val="000000" w:themeColor="text1"/>
                <w:kern w:val="0"/>
                <w:sz w:val="20"/>
                <w:szCs w:val="20"/>
                <w:lang w:eastAsia="zh-CN"/>
                <w14:textFill>
                  <w14:solidFill>
                    <w14:schemeClr w14:val="tx1"/>
                  </w14:solidFill>
                </w14:textFill>
              </w:rPr>
              <w:t>《中华人民共和国行政处罚法》</w:t>
            </w:r>
            <w:r>
              <w:rPr>
                <w:rFonts w:hint="eastAsia" w:ascii="Times New Roman" w:hAnsi="Times New Roman" w:eastAsia="仿宋_GB2312"/>
                <w:color w:val="000000" w:themeColor="text1"/>
                <w:kern w:val="0"/>
                <w:sz w:val="20"/>
                <w:szCs w:val="20"/>
                <w14:textFill>
                  <w14:solidFill>
                    <w14:schemeClr w14:val="tx1"/>
                  </w14:solidFill>
                </w14:textFill>
              </w:rPr>
              <w:t>第七十五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tc>
        <w:tc>
          <w:tcPr>
            <w:tcW w:w="1800" w:type="dxa"/>
            <w:vAlign w:val="center"/>
          </w:tcPr>
          <w:p w14:paraId="0D8A00D7">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因不履行或不正确履行行政职责，有下列相关工作人员应承担相应责任。</w:t>
            </w:r>
          </w:p>
          <w:p w14:paraId="6DDAA822">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9F478F1">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2、对不符合法定条件的申请人准予批准设置或者超越法定职权作出准予批准设置决定的；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DAE386F">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3、对符合法定条件的申请人不予核准或者不存法定期限内作出准予核准决定的；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AF4AD29">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4、违反法定程序实施核准决定的。</w:t>
            </w:r>
          </w:p>
          <w:p w14:paraId="29C46C1C">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5、工作中玩忽职守滥用职权的。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3BAD3E4">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6、办理社会福利机构设置核准、实施监督检查，索取或者收受他人财物或者谋取其他利益的；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BFC322A">
            <w:pPr>
              <w:keepNext w:val="0"/>
              <w:keepLines w:val="0"/>
              <w:pageBreakBefore w:val="0"/>
              <w:widowControl/>
              <w:kinsoku/>
              <w:wordWrap/>
              <w:overflowPunct/>
              <w:topLinePunct w:val="0"/>
              <w:autoSpaceDE/>
              <w:autoSpaceDN/>
              <w:bidi w:val="0"/>
              <w:adjustRightInd w:val="0"/>
              <w:snapToGrid w:val="0"/>
              <w:spacing w:line="266"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2623996">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7381E89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2EC2DF0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BFB8B9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AE8A23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p>
          <w:p w14:paraId="23FC75A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2978F54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2152806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340AB28A">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2C35A0C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136EEF6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1E261CE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221BFEE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0B4275C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2.【法律】《中华人民共和国行政许可法》（2019年4月23日第十三届全国人民代表大会常务委员会第十次会议修正）第七十四条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1314E39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4718787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7319B62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p>
          <w:p w14:paraId="36B8EDB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42C4388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04913BF7">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7EBAD57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6.【法律】《中华人民共和国行政许可法》（2019年4月23日第十三届全国人民代表大会常务委员会第十次会议修正）第七十三条 行政机关工作人员办理行政许可、实施监督检查，索取或者收受他人财物或者谋取其他利益，构成犯罪的，依法追究刑事责任；尚不构成犯罪的，依法给予行政处分。</w:t>
            </w:r>
          </w:p>
          <w:p w14:paraId="068FAB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EAA7F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C38C69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3068E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70D56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47EB145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DE36318">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5D38F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272BA14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22</w:t>
            </w:r>
          </w:p>
        </w:tc>
        <w:tc>
          <w:tcPr>
            <w:tcW w:w="308" w:type="dxa"/>
            <w:vAlign w:val="center"/>
          </w:tcPr>
          <w:p w14:paraId="5B54CCD6">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其他行政权力</w:t>
            </w:r>
          </w:p>
        </w:tc>
        <w:tc>
          <w:tcPr>
            <w:tcW w:w="992" w:type="dxa"/>
            <w:vAlign w:val="center"/>
          </w:tcPr>
          <w:p w14:paraId="2C562787">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取消弄虚作假骗取安置的退役士兵安置待遇</w:t>
            </w:r>
          </w:p>
        </w:tc>
        <w:tc>
          <w:tcPr>
            <w:tcW w:w="495" w:type="dxa"/>
            <w:vAlign w:val="center"/>
          </w:tcPr>
          <w:p w14:paraId="1B2D777E">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7743CC1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21F5375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B2A58C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1.【法律】《中华人民共和国退役军人保障法》第七十八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退役军人弄虚作假骗取退役相关待遇的，由县级以上地方人民政府退役军人工作主管部门取消相关待遇，追缴非法所得，并由其所在单位或者有关部门依法给予处分。</w:t>
            </w:r>
          </w:p>
          <w:p w14:paraId="0D4B0234">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2.【行政法规】《退役士兵安置条例》（2011年国务院、中央军事委员会令第608号）第五十一条：退役士兵弄虚作假骗取安置待遇的，由安置地人民政府退役士兵安置工作主管部门取消相关安置待遇。</w:t>
            </w:r>
          </w:p>
        </w:tc>
        <w:tc>
          <w:tcPr>
            <w:tcW w:w="1618" w:type="dxa"/>
            <w:vAlign w:val="center"/>
          </w:tcPr>
          <w:p w14:paraId="2F21691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1.立案责任：在发现或者接到举报有相关违法行为时，及时审查，决定是否立案。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929CDE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2.调查责任：全面、客观、公正地进行调查，收集、调取证据，行政执法人员不得少于两人，调查时出示执法证件，允许当事人辩解陈述，保守有关秘密。</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928290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3.审查责任：对违法行为、违法事实、证据、调查取证程序、法律适用、处理种类和幅度、当事人陈述和申辩理由等方面进行审查，提出处理意见。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15B5408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4.告知责任：作出处理决定前，书面告知当事人违法事实及其享有的陈述、申辩等权力。</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B87160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5.决定阶段责：根据审理情况决定是否予以行政处罚。依法需要给予行政处罚的，制作行政处罚决定书，载明违法事实和证据、处罚依据和内容、申请行政复议或提起行政诉讼的途径和期限等内容。</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BBEF89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6.送达责任：在规定期限内将行政处罚决定书送达当事人。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5F5E56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7.执行责任：监督当事人在决定的期限内履行生效的处罚决定。</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E4BC0C6">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420917A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1.【行政法规】《退役士兵安置条例》（2011年国务院、中央军事委员会令第 608号）第五十一条：退役士兵弄虚作假骗取安置待遇的，由安置地人民政府退役士兵安置工作主管部门取消相关安置待遇。</w:t>
            </w:r>
          </w:p>
          <w:p w14:paraId="368BFC2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2.【法律】《中华人民共和国行政处罚法》第三十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公民、法人或者其他组织违反行政管理秩序的行为，依法应当给予行政处罚的，行政机关必须查明事实；违法事实不清的，不得给予行政处罚。</w:t>
            </w:r>
          </w:p>
          <w:p w14:paraId="7AB42BD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3.【法律】《中华人民共和国行政处罚法》第三十八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调查终结，行政机关负责人应当对调查结果进行审查，根据不同情况，分别作出决定。第三十九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行政机关……应当制作行政处罚决定书。</w:t>
            </w:r>
          </w:p>
          <w:p w14:paraId="1870952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4.【法律】《中华人民共和国行政处罚法》第五十四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14:paraId="68CF7EF8">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5.【法律】《中华人民共和国退役军人保障法》第七十八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退役军人弄虚作假骗取退役相关待遇的，由县级以上地方人民政府退役军人工作主管部门取消相关待遇，追缴非法所得，并由其所在单位或者有关部门依法给予处分。</w:t>
            </w:r>
          </w:p>
        </w:tc>
        <w:tc>
          <w:tcPr>
            <w:tcW w:w="1800" w:type="dxa"/>
            <w:vAlign w:val="center"/>
          </w:tcPr>
          <w:p w14:paraId="45B0D75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因不履行或不正确履行行政职责，出现以下情形的，行政机关及相关工作人员应承担相应责任：</w:t>
            </w:r>
          </w:p>
          <w:p w14:paraId="0273390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1.没有法律和事实依据实施行政处罚的；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E4611D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2.执法人员玩忽职守，致使公民合法权益受到伤害的；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21FA20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3.对应当没收非法财产而没有没收或者将没收的非法财产截留、私分或者变相私分的；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00D0D3C">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4.在行政处罚过程中发生腐败行为的；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53CAC4B">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36316007">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1．【法律】《中华人民共和国行政处罚法》（2021年1月22日第十三届全国人民代表大会常务委员会第二十五次会议修订）第</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七十六</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p>
          <w:p w14:paraId="5EC4F9E8">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行政机关对符合立案标准的案件不及时立案的，依照前款规定予以处理。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08E502B9">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 【法律】《中华人民共和国行政处罚法》（2021年1月22日第十三届全国人民代表大会常务委员会第二十五次会议修订）第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八十三</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 xml:space="preserve">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                                                                              </w:t>
            </w:r>
          </w:p>
          <w:p w14:paraId="404185A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60" w:lineRule="exact"/>
              <w:ind w:left="0" w:firstLine="400" w:firstLineChars="200"/>
              <w:jc w:val="left"/>
              <w:textAlignment w:val="auto"/>
              <w:rPr>
                <w:rFonts w:hint="eastAsia"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七十九</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行政机关截留、私分或者变相私分罚款、没收的违法所得或者财物的，由财政部门或者有关机关予以追缴，对直接负责的主管人员和其他直接责任人员依法给予处分；情节严重构成犯罪的，依法追究刑事责任。</w:t>
            </w:r>
          </w:p>
          <w:p w14:paraId="6EAED4F0">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执法人员利用职务上的便利，索取或者收受他人财物、将收缴罚款据为己有，构成犯罪的，依法追究刑事责任；情节轻微不构成犯罪的，依法给予处分。</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24C1302D">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4.【法律】《中华人民共和国行政处罚法》（2021年1月22日第十三届全国人民代表大会常务委员会第二十五次会议修订）第</w:t>
            </w:r>
            <w:r>
              <w:rPr>
                <w:rFonts w:hint="eastAsia" w:eastAsia="仿宋_GB2312"/>
                <w:color w:val="000000" w:themeColor="text1"/>
                <w:kern w:val="0"/>
                <w:sz w:val="20"/>
                <w:szCs w:val="20"/>
                <w:lang w:val="en-US" w:eastAsia="zh-CN"/>
                <w14:textFill>
                  <w14:solidFill>
                    <w14:schemeClr w14:val="tx1"/>
                  </w14:solidFill>
                </w14:textFill>
              </w:rPr>
              <w:t>八十二</w:t>
            </w:r>
            <w:r>
              <w:rPr>
                <w:rFonts w:hint="eastAsia" w:ascii="Times New Roman" w:hAnsi="Times New Roman" w:eastAsia="仿宋_GB2312"/>
                <w:color w:val="000000" w:themeColor="text1"/>
                <w:kern w:val="0"/>
                <w:sz w:val="20"/>
                <w:szCs w:val="20"/>
                <w14:textFill>
                  <w14:solidFill>
                    <w14:schemeClr w14:val="tx1"/>
                  </w14:solidFill>
                </w14:textFill>
              </w:rPr>
              <w:t xml:space="preserve">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14:paraId="5751DF38">
            <w:pPr>
              <w:keepNext w:val="0"/>
              <w:keepLines w:val="0"/>
              <w:pageBreakBefore w:val="0"/>
              <w:widowControl/>
              <w:kinsoku/>
              <w:wordWrap/>
              <w:overflowPunct/>
              <w:topLinePunct w:val="0"/>
              <w:autoSpaceDE/>
              <w:autoSpaceDN/>
              <w:bidi w:val="0"/>
              <w:adjustRightInd w:val="0"/>
              <w:snapToGrid w:val="0"/>
              <w:spacing w:line="25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规】《行政机关公务员处分条例》（2007年4月4日中华人民共和国国务院令第495号发布）第二十一条有下列行为之一的，给予警告或者记过处分；情节较重的，给予记大过或者降级处分；情节严重的，给予撤职处分：(一)在行政许可工作中违反法定权限、条件和程序设定或者实施行政许可的；(二)违法设定或者实施行政强制措施的；(三)违法设定或者实施行政处罚的；(四)违反法律、法规规定进行行政委托的；</w:t>
            </w:r>
          </w:p>
          <w:p w14:paraId="227B4A9D">
            <w:pPr>
              <w:keepNext w:val="0"/>
              <w:keepLines w:val="0"/>
              <w:pageBreakBefore w:val="0"/>
              <w:widowControl/>
              <w:kinsoku/>
              <w:wordWrap/>
              <w:overflowPunct/>
              <w:topLinePunct w:val="0"/>
              <w:autoSpaceDE/>
              <w:autoSpaceDN/>
              <w:bidi w:val="0"/>
              <w:adjustRightInd w:val="0"/>
              <w:snapToGrid w:val="0"/>
              <w:spacing w:line="250" w:lineRule="exact"/>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2DE5CEDF">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7F5BF110">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1D98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4190E6EF">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23</w:t>
            </w:r>
          </w:p>
        </w:tc>
        <w:tc>
          <w:tcPr>
            <w:tcW w:w="308" w:type="dxa"/>
            <w:vAlign w:val="center"/>
          </w:tcPr>
          <w:p w14:paraId="03935C0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其他行政权力</w:t>
            </w:r>
          </w:p>
        </w:tc>
        <w:tc>
          <w:tcPr>
            <w:tcW w:w="992" w:type="dxa"/>
            <w:vAlign w:val="center"/>
          </w:tcPr>
          <w:p w14:paraId="7D8C4408">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退役士兵易地安置（审核转报）</w:t>
            </w:r>
          </w:p>
        </w:tc>
        <w:tc>
          <w:tcPr>
            <w:tcW w:w="495" w:type="dxa"/>
            <w:vAlign w:val="center"/>
          </w:tcPr>
          <w:p w14:paraId="1992470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5CD38A9C">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60A3647E">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2C670C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行政法规】《退役士兵安置条例》（国务院、中央军事委员会令第608号）第五条第二款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县级以上地方人民政府退役士兵安置工作主管部门负责本行政区域的退役士兵安置工作。</w:t>
            </w:r>
          </w:p>
          <w:p w14:paraId="2DEBC853">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第十一条第一款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退役士兵有下列情形之一的，可以易地安置：（一）服现役期间父母户口所在地变更的，可以在父母现户口所在地安置；（二）符合军队有关现役士兵结婚规定且结婚满2年的，可以在配偶或者配偶父母户口所在地安置；（三）因其他特殊情况，由部队师（旅）级单位出具证明，经省级以上人民政府退役士兵安置工作主管部门批准易地安置的。</w:t>
            </w:r>
          </w:p>
          <w:p w14:paraId="2B62916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2.【地方性法规】《广西壮族自治区退役士兵安置办法》（2018年广西壮族自治区人民政府令第122号）第十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退役士兵有下列情形之一的，可以易地安置：</w:t>
            </w:r>
          </w:p>
          <w:p w14:paraId="7A505F9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（一）服现役期间父母双方或者一方户口所在地变更的，可以在父母任意一方现户口所在地安置；</w:t>
            </w:r>
          </w:p>
          <w:p w14:paraId="1915989D">
            <w:pPr>
              <w:keepNext w:val="0"/>
              <w:keepLines w:val="0"/>
              <w:pageBreakBefore w:val="0"/>
              <w:widowControl/>
              <w:kinsoku/>
              <w:wordWrap/>
              <w:overflowPunct/>
              <w:topLinePunct w:val="0"/>
              <w:autoSpaceDE/>
              <w:autoSpaceDN/>
              <w:bidi w:val="0"/>
              <w:adjustRightInd w:val="0"/>
              <w:snapToGrid w:val="0"/>
              <w:spacing w:line="300" w:lineRule="exact"/>
              <w:ind w:firstLine="376" w:firstLineChars="200"/>
              <w:textAlignment w:val="auto"/>
              <w:rPr>
                <w:rFonts w:hint="eastAsia" w:ascii="Times New Roman" w:hAnsi="Times New Roman" w:eastAsia="仿宋_GB2312"/>
                <w:color w:val="000000" w:themeColor="text1"/>
                <w:spacing w:val="-6"/>
                <w:kern w:val="0"/>
                <w:sz w:val="20"/>
                <w:szCs w:val="20"/>
                <w14:textFill>
                  <w14:solidFill>
                    <w14:schemeClr w14:val="tx1"/>
                  </w14:solidFill>
                </w14:textFill>
              </w:rPr>
            </w:pPr>
            <w:r>
              <w:rPr>
                <w:rFonts w:hint="eastAsia" w:ascii="Times New Roman" w:hAnsi="Times New Roman" w:eastAsia="仿宋_GB2312"/>
                <w:color w:val="000000" w:themeColor="text1"/>
                <w:spacing w:val="-6"/>
                <w:kern w:val="0"/>
                <w:sz w:val="20"/>
                <w:szCs w:val="20"/>
                <w14:textFill>
                  <w14:solidFill>
                    <w14:schemeClr w14:val="tx1"/>
                  </w14:solidFill>
                </w14:textFill>
              </w:rPr>
              <w:t>（二）符合军队有关现役士兵结婚规定且结婚满2年的，可以在配偶或者配偶父母任意一方现户口所在地安置；</w:t>
            </w:r>
          </w:p>
          <w:p w14:paraId="4A24532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（三）因其他特殊情况，由部队师（旅）级单位出具证明，经自治区退役士兵安置工作主管部门批准易地安置的。</w:t>
            </w:r>
          </w:p>
          <w:p w14:paraId="073876B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易地安置的退役士兵享受与安置地退役士兵同等安置待遇。</w:t>
            </w:r>
          </w:p>
          <w:p w14:paraId="50547B34">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符合本办法第十条第（一）项、第（二）项规定情形的退役士兵，申请跨设区的市易地安置的，由安置地县级退役士兵安置工作主管部门逐级上报自治区退役士兵安置工作主管部门审核后办理相关手续；在设区的市内跨县（市、区）易地安置的，由安置地县级退役士兵安置工作主管部门上报设区的市退役士兵安置工作主管部门审核后办理相关手续</w:t>
            </w:r>
          </w:p>
          <w:p w14:paraId="5C040BA1">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3.【规范性文件】退役军人事务部等10部委文件《关于进一步加强由政府安排工作退役士兵就业安置工作的意见》（退役军人部发〔2018〕27号）</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二、提</w:t>
            </w:r>
            <w:r>
              <w:rPr>
                <w:rFonts w:hint="eastAsia" w:ascii="Times New Roman" w:hAnsi="Times New Roman" w:eastAsia="仿宋_GB2312"/>
                <w:color w:val="000000" w:themeColor="text1"/>
                <w:spacing w:val="-4"/>
                <w:kern w:val="0"/>
                <w:sz w:val="20"/>
                <w:szCs w:val="20"/>
                <w14:textFill>
                  <w14:solidFill>
                    <w14:schemeClr w14:val="tx1"/>
                  </w14:solidFill>
                </w14:textFill>
              </w:rPr>
              <w:t>升安置质量（一）改进接收安置制度第1点：放宽安置地限制。 士兵服现役期间父母户口所在地变更的，可随父母如何一方安置。经本人申请，也可在配偶或者配偶父母如何一方户口所在地安置。其中，易地安置落户到国务院确定的超大城市的，应符合其关于落户的相关政策规定。</w:t>
            </w:r>
          </w:p>
          <w:p w14:paraId="28362377">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4.【规范性文件】广西壮族自治区退役军人事务厅等11个部门文件《关于进一步加强由政府安排工作退役士兵就业安置工作的实施意见》（桂军务发〔2018〕4号）</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二、提升安置质量（一）拓宽接收安置方式第1点：放宽安置地限制。士兵服现役期间父母双方或者一方户口所在地变更的，可以在父母任意一方现户口所在地安置。符合军队有关现役士兵结婚规定且结婚满2年的，可以在配偶或者配偶父母任意一方现户口所在地安置；结婚未满2年的，但自行找到接收安置单位，经本人申请，安置地退役士兵安置工作主管部门批准，签订三方协议后（退役士兵本人、退役士兵安置主管部门、接收单位）也可在配偶或者配偶父母任何一方现户口所在地安置。</w:t>
            </w:r>
          </w:p>
        </w:tc>
        <w:tc>
          <w:tcPr>
            <w:tcW w:w="1618" w:type="dxa"/>
            <w:vAlign w:val="center"/>
          </w:tcPr>
          <w:p w14:paraId="5BCEE8E1">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1.受理责任：应当提交的材料，一次性告知补正材料，依法受理或不予受理（不予受理应当告知理由）。</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AAD04E9">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2.审查责任：对书面申请材料进行审查，告知申请人、利害相关人享有听证权利。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D1664D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3.决定责任：作出核准或者不予核准决定，法定告知（不予核准的应当书面告知理由）。</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8D5A68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4.送达责任：准予的制发送达社会组织评估登记确认证明，信息公开。</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0F3107B3">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5.事后监管责任：建立实施监督检查的运行机制和管理制度，开展定期和不定期检查，依法采取相关处罚措施。</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66CD85B">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7894ADF0">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【行政法规】《退役士兵安置条例》（2011年国务院、中央军事委员会令第608号）第十一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 xml:space="preserve">退役士兵有下列情形之一的，可以易地安置：服现役期间父母户口所在地变更的，可以在父母现户口所在地安置；符合军队有关现役士兵结婚规定且结婚满2年的，可以在配偶或者配偶父母户口所在地安置；因其他特殊情况，由部队师（旅）级单位出具证明，经省级以上人民政府退役士兵安置工作主管部门批准易地安置的。易地安置的退役士兵享受与安置地退役士兵同等安置待遇。 </w:t>
            </w:r>
          </w:p>
          <w:p w14:paraId="7603F11C">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有下列情形之一的，根据本人申请，可以由省级以上人民政府退役士兵安置工作主管部门按照有利于退役士兵生活的原则确定其安置地：因战致残的；服现役期间平时荣获二等功以上奖励或者战时荣获三等功以上奖励的；是烈士子女的；父母双亡的。”</w:t>
            </w:r>
          </w:p>
          <w:p w14:paraId="4FD6B02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地方政府规章】《广西壮族自治区退役士兵安置办法》（2018年广西壮族自治区人民政府令第122号）第十一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符合本办法第十条第（一）项、第（二）项规定情形的退役士兵，申请跨设区的市易地安置的，由安置地县级退役士兵安置工作主管部门逐级上报自治区退役士兵安置工作主管部门审核后办理相关手续；在设区的市内跨县（市、区）易地安置的，由安置地县级退役士兵安置工作主管部门上报设区的市退役士兵安置工作主管部门审核后办理相关手续。</w:t>
            </w:r>
          </w:p>
          <w:p w14:paraId="1AB611C6">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退役士兵安置工作主管部门按照规定对退役士兵档案进行审核、办理接收手续，建立退役士兵基础信息数据库，并及时将退役士兵档案移送有关机构或者单位管理。</w:t>
            </w:r>
          </w:p>
          <w:p w14:paraId="6CB18537">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2.同1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w:t>
            </w:r>
          </w:p>
          <w:p w14:paraId="2F2BB252">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【行政法规】《退役士兵安置条例》（2011年国务院、中央军事委员会令第608号）第十四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退役士兵所在部队应当按照国家档案管理的有关规定，在士兵退役时将其档案及时移交安置地县级以上人民政府退役士兵安置工作主管部门。</w:t>
            </w:r>
          </w:p>
          <w:p w14:paraId="64306E74">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退役士兵安置工作主管部门应当于退役士兵报到时为其开具落户介绍信。公安机关凭退役士兵安置工作主管部门开具的落户介绍信，为退役士兵办理户口登记。</w:t>
            </w:r>
          </w:p>
          <w:p w14:paraId="203E3003">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自主就业和安排工作的退役士兵的档案，由安置地退役士兵安置工作主管部门按照国家档案管理有关规定办理。</w:t>
            </w:r>
          </w:p>
          <w:p w14:paraId="200CD1FC">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退休、供养的退役士兵的档案，由安置地退役士兵安置工作主管部门移交服务管理单位。</w:t>
            </w:r>
          </w:p>
          <w:p w14:paraId="143E833D">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.【地方政府规章】《广西壮族自治区退役士兵安置办法》（2018年广西壮族自治区人民政府令第122号）第十三</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退役士兵档案由所在部队团级以上单位按照有关规定，移交县级以上退役士兵安置工作主管部门。</w:t>
            </w:r>
          </w:p>
          <w:p w14:paraId="657D1250">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退役士兵个人携带移交的档案，退役士兵安置工作主管部门可以拒绝接收。</w:t>
            </w:r>
          </w:p>
          <w:p w14:paraId="1760A945">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退役士兵安置工作主管部门按照规定对退役士兵档案进行审核、办理接收手续，建立退役士兵基础信息数据库，并及时将退役士兵档案移送有关机构或者单位管理。</w:t>
            </w:r>
          </w:p>
        </w:tc>
        <w:tc>
          <w:tcPr>
            <w:tcW w:w="1800" w:type="dxa"/>
            <w:vAlign w:val="center"/>
          </w:tcPr>
          <w:p w14:paraId="28C2EB35">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因不履行或不正确履行行政职责，有下列相关工作人员应承担相应责任。</w:t>
            </w:r>
          </w:p>
          <w:p w14:paraId="3F63A4D6">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37472169">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2、对不符合法定条件的申请人准予批准设置或者超越法定职权作出准予批准设置决定的；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FB6D800">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3、对符合法定条件的申请人不予核准或者不存法定期限内作出准予核准决定的；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1E151F9C">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4、违反法定程序实施核准决定的。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BD1827F">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5、工作中玩忽职守滥用职权的。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1ABEF01">
            <w:pPr>
              <w:widowControl/>
              <w:adjustRightInd w:val="0"/>
              <w:snapToGrid w:val="0"/>
              <w:spacing w:line="25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6、办理社会福利机构设置核准、实施监督检查，索取或者收受他人财物或者谋取其他利益的；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15B8B20">
            <w:pPr>
              <w:widowControl/>
              <w:adjustRightInd w:val="0"/>
              <w:snapToGrid w:val="0"/>
              <w:spacing w:line="254"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49DEDF79">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1C1957D4">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362A7D97">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39561800">
            <w:pPr>
              <w:keepNext w:val="0"/>
              <w:keepLines w:val="0"/>
              <w:pageBreakBefore w:val="0"/>
              <w:kinsoku/>
              <w:wordWrap/>
              <w:overflowPunct/>
              <w:topLinePunct w:val="0"/>
              <w:autoSpaceDE/>
              <w:autoSpaceDN/>
              <w:bidi w:val="0"/>
              <w:adjustRightInd w:val="0"/>
              <w:snapToGrid w:val="0"/>
              <w:spacing w:line="30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7F347509">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w:t>
            </w:r>
          </w:p>
          <w:p w14:paraId="6F96154B">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（二）不在办公场所公示依法应当公示的材料的；</w:t>
            </w:r>
          </w:p>
          <w:p w14:paraId="33C1591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（三）在受理、审查、决定行政许可过程中，未向申请人、利害关系人履行法定告知义务的；</w:t>
            </w:r>
          </w:p>
          <w:p w14:paraId="5DB3A83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（四）申请人提交的申请材料不齐全、不符合法定形式，不一次告知申请人必须补正的全部内容的；</w:t>
            </w:r>
          </w:p>
          <w:p w14:paraId="5CA5CEE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（五）违法披露申请人提交的商业秘密、未披露信息或者保密商务信息的；</w:t>
            </w:r>
          </w:p>
          <w:p w14:paraId="7D659FA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（六）以转让技术作为取得行政许可的条件，或者在实施行政许可的过程中直接或者间接地要求转让技术的；</w:t>
            </w:r>
          </w:p>
          <w:p w14:paraId="22C8C2A0">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（七）未依法说明不受理行政许可申请或者不予行政许可的理由的；</w:t>
            </w:r>
          </w:p>
          <w:p w14:paraId="6A8B74E8">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p>
          <w:p w14:paraId="5056220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2.【法律】《中华人民共和国行政许可法》（2019年4月23日第十三届全国人民代表大会常务委员会第十次会议修正）第七十四条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w:t>
            </w:r>
          </w:p>
          <w:p w14:paraId="261382B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（一）对不符合法定条件的申请人准予行政许可或者超越法定职权作出准予行政许可决定的；</w:t>
            </w:r>
          </w:p>
          <w:p w14:paraId="0DF3CEF1">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300" w:lineRule="exact"/>
              <w:ind w:left="0" w:firstLine="400" w:firstLineChars="200"/>
              <w:jc w:val="left"/>
              <w:textAlignment w:val="auto"/>
              <w:rPr>
                <w:rFonts w:hint="default" w:ascii="Times New Roman" w:hAnsi="Times New Roman" w:eastAsia="仿宋_GB2312"/>
                <w:color w:val="000000" w:themeColor="text1"/>
                <w:kern w:val="0"/>
                <w:sz w:val="20"/>
                <w:szCs w:val="20"/>
                <w:lang w:val="en-US" w:eastAsia="zh-CN"/>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（二）对符合法定条件的申请人不予行政许可或者不在法定期限内作出准予行政许可决定的；</w:t>
            </w:r>
          </w:p>
          <w:p w14:paraId="5B7E22A9">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（三）依法应当根据招标、拍卖结果或者考试成绩择优作出准予行政许可决定，未经招标、拍卖或者考试，或者不根据招标、拍卖结果或者考试成绩择优作出准予行政许可决定的。</w:t>
            </w:r>
          </w:p>
          <w:p w14:paraId="7D9FCCCC">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3.同2.</w:t>
            </w:r>
          </w:p>
          <w:p w14:paraId="6CFF0BF2">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4.【法规】《行政机关公务员处分条例》（2007年4月4日中华人民共和国国务院令第495号发布）第二十一条　有下列行为之一的，给予警告或者记过处分；情节较重的，给予记大过或者降级处分；情节严重的，给予撤职处分：（一）在行政许可工作中违反法定权限、条件和程序设定或者实施行政许可的；</w:t>
            </w:r>
          </w:p>
          <w:p w14:paraId="61A6C425">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5.【法律】《公务员法》（</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2018年12月29日第十三届全国人民代表大会常务委员会第七次会议修订</w:t>
            </w:r>
            <w:r>
              <w:rPr>
                <w:rFonts w:hint="eastAsia" w:ascii="Times New Roman" w:hAnsi="Times New Roman" w:eastAsia="仿宋_GB2312"/>
                <w:color w:val="000000" w:themeColor="text1"/>
                <w:kern w:val="0"/>
                <w:sz w:val="20"/>
                <w:szCs w:val="20"/>
                <w14:textFill>
                  <w14:solidFill>
                    <w14:schemeClr w14:val="tx1"/>
                  </w14:solidFill>
                </w14:textFill>
              </w:rPr>
              <w:t>）第一百零</w:t>
            </w:r>
            <w:r>
              <w:rPr>
                <w:rFonts w:hint="eastAsia" w:eastAsia="仿宋_GB2312"/>
                <w:color w:val="000000" w:themeColor="text1"/>
                <w:kern w:val="0"/>
                <w:sz w:val="20"/>
                <w:szCs w:val="20"/>
                <w:lang w:val="en-US" w:eastAsia="zh-CN"/>
                <w14:textFill>
                  <w14:solidFill>
                    <w14:schemeClr w14:val="tx1"/>
                  </w14:solidFill>
                </w14:textFill>
              </w:rPr>
              <w:t>八</w:t>
            </w:r>
            <w:r>
              <w:rPr>
                <w:rFonts w:hint="eastAsia" w:ascii="Times New Roman" w:hAnsi="Times New Roman" w:eastAsia="仿宋_GB2312"/>
                <w:color w:val="000000" w:themeColor="text1"/>
                <w:kern w:val="0"/>
                <w:sz w:val="20"/>
                <w:szCs w:val="20"/>
                <w14:textFill>
                  <w14:solidFill>
                    <w14:schemeClr w14:val="tx1"/>
                  </w14:solidFill>
                </w14:textFill>
              </w:rPr>
              <w:t>条 公务员主管部门的工作人员，违反本法规定，滥用职权、玩忽职守、徇私舞弊，构成犯罪的，依法追究刑事责任；尚不构成犯罪的，给予处分或者由监察机关依法给予政务处分。</w:t>
            </w:r>
          </w:p>
          <w:p w14:paraId="106D572A">
            <w:pPr>
              <w:keepNext w:val="0"/>
              <w:keepLines w:val="0"/>
              <w:pageBreakBefore w:val="0"/>
              <w:widowControl/>
              <w:kinsoku/>
              <w:wordWrap/>
              <w:overflowPunct/>
              <w:topLinePunct w:val="0"/>
              <w:autoSpaceDE/>
              <w:autoSpaceDN/>
              <w:bidi w:val="0"/>
              <w:adjustRightInd w:val="0"/>
              <w:snapToGrid w:val="0"/>
              <w:spacing w:line="30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6.【法律】《中华人民共和国行政许可法》（2019年4月23日第十三届全国人民代表大会常务委员会第十次会议修正）第七十三条 行政机关工作人员办理行政许可、实施监督检查，索取或者收受他人财物或者谋取其他利益，构成犯罪的，依法追究刑事责任；尚不构成犯罪的，依法给予行政处分。</w:t>
            </w:r>
          </w:p>
          <w:p w14:paraId="40CE70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CB25A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7215A5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3C5A51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09CCAB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p>
        </w:tc>
        <w:tc>
          <w:tcPr>
            <w:tcW w:w="532" w:type="dxa"/>
            <w:vAlign w:val="center"/>
          </w:tcPr>
          <w:p w14:paraId="2DCAE953">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158C92C6">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3793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655C9AA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24</w:t>
            </w:r>
          </w:p>
        </w:tc>
        <w:tc>
          <w:tcPr>
            <w:tcW w:w="308" w:type="dxa"/>
            <w:vAlign w:val="center"/>
          </w:tcPr>
          <w:p w14:paraId="7037DCD8">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其中行政权力</w:t>
            </w:r>
          </w:p>
        </w:tc>
        <w:tc>
          <w:tcPr>
            <w:tcW w:w="992" w:type="dxa"/>
            <w:vAlign w:val="center"/>
          </w:tcPr>
          <w:p w14:paraId="66669ACD">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退役残疾军人配制部分辅助器械（审核转报）</w:t>
            </w:r>
          </w:p>
        </w:tc>
        <w:tc>
          <w:tcPr>
            <w:tcW w:w="495" w:type="dxa"/>
            <w:vAlign w:val="center"/>
          </w:tcPr>
          <w:p w14:paraId="773582BF">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5954DA9D">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3737B610">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9AEAA2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1.【行政法规】《军人抚恤优待条例》（2004年国务院、中央军委令第413号发布，2019年国务院令第709号修订）第三十一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残疾军人需要配制假肢、代步三轮车等辅助器械，正在服现役的，由军队军级以上单位负责解决；退出现役的，由省级人民政府退役军人事务部门负责解决。</w:t>
            </w:r>
          </w:p>
          <w:p w14:paraId="76CBFCDC">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2.【规范性文件】《民政部关于印发〈残疾军人亨利辅助器具配置暂行办法〉的通知》（民发〔2013〕15号）第九</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残疾军人需要配置、更换、维修康复辅助器具的，应由本人（本人无行为能力的由其直系亲属）向当地县级人民政府退役军人事务部门提出申请，填写《残疾军人配置康复辅助器具申请表》，在报经省级人民政府退役军人事务部门审查确认后，方可到定点配置机构按规定配置、更换、维修康复辅助器具；残疾军人行动不便的，应当根据服务协议由定点配置机构提供上门服务。</w:t>
            </w:r>
          </w:p>
        </w:tc>
        <w:tc>
          <w:tcPr>
            <w:tcW w:w="1618" w:type="dxa"/>
            <w:vAlign w:val="center"/>
          </w:tcPr>
          <w:p w14:paraId="59F9202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1.受理责任：受理退役残疾军人配制部分辅助器械审核相关申报材料，并对材料的齐全性、内容的完整性进行查验，符合要求的，直接受理，不符合要求的，一次性告知原因及补正材料；</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08B787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2.审查责任：审核材料，必要时征求相关部门意见、组织专家评审或实地考察，提出初审意见；</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F09559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3.决定责任：法定告知、作出行政许可或者不予行政许可决定（不予许可的应当告知理由）；</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BCD262E">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4.送达责任：制作送达文书；</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FD3FB0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5.事后监管责任：材料归档，信息公开，加强社会组织日常监管，完善投诉举报受理机制。</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C4E5A75">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6.其他法律法规规章文件规定应履行的责任。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21C32E7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—1.</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《广西壮族自治区行政执法程序规定》（1997年广西壮族自治区人民政府令第13号）第二条：</w:t>
            </w:r>
            <w:r>
              <w:rPr>
                <w:rFonts w:hint="eastAsia" w:ascii="Times New Roman" w:hAnsi="Times New Roman" w:eastAsia="仿宋_GB2312"/>
                <w:color w:val="000000" w:themeColor="text1"/>
                <w:kern w:val="0"/>
                <w:sz w:val="20"/>
                <w:szCs w:val="20"/>
                <w14:textFill>
                  <w14:solidFill>
                    <w14:schemeClr w14:val="tx1"/>
                  </w14:solidFill>
                </w14:textFill>
              </w:rPr>
              <w:t>本规定所称行政执法，是指行政执法机关或法律、法规授权的组织为贯彻执行法律、法规和规章，按照法定程序和权限而实施的下列具体行政行为：（三）依法保护或拒绝保护人身权、财产权，以及发给或者拒绝发给抚恤金的行为；</w:t>
            </w:r>
          </w:p>
          <w:p w14:paraId="52E18E18">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w:t>
            </w:r>
            <w:r>
              <w:rPr>
                <w:rFonts w:hint="eastAsia" w:ascii="Times New Roman" w:hAnsi="Times New Roman" w:eastAsia="仿宋_GB2312"/>
                <w:color w:val="000000" w:themeColor="text1"/>
                <w:kern w:val="0"/>
                <w:sz w:val="20"/>
                <w:szCs w:val="20"/>
                <w:lang w:eastAsia="zh-CN"/>
                <w14:textFill>
                  <w14:solidFill>
                    <w14:schemeClr w14:val="tx1"/>
                  </w14:solidFill>
                </w14:textFill>
              </w:rPr>
              <w:t>—2.</w:t>
            </w:r>
            <w:r>
              <w:rPr>
                <w:rFonts w:hint="eastAsia" w:ascii="Times New Roman" w:hAnsi="Times New Roman" w:eastAsia="仿宋_GB2312"/>
                <w:color w:val="000000" w:themeColor="text1"/>
                <w:kern w:val="0"/>
                <w:sz w:val="20"/>
                <w:szCs w:val="20"/>
                <w14:textFill>
                  <w14:solidFill>
                    <w14:schemeClr w14:val="tx1"/>
                  </w14:solidFill>
                </w14:textFill>
              </w:rPr>
              <w:t>【地方政府规章】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《广西壮族自治区行政执法程序规定》（1997年广西壮族自治区人民政府令第13号）第二十二条：</w:t>
            </w:r>
            <w:r>
              <w:rPr>
                <w:rFonts w:hint="eastAsia" w:ascii="Times New Roman" w:hAnsi="Times New Roman" w:eastAsia="仿宋_GB2312"/>
                <w:color w:val="000000" w:themeColor="text1"/>
                <w:kern w:val="0"/>
                <w:sz w:val="20"/>
                <w:szCs w:val="20"/>
                <w14:textFill>
                  <w14:solidFill>
                    <w14:schemeClr w14:val="tx1"/>
                  </w14:solidFill>
                </w14:textFill>
              </w:rPr>
              <w:t>行政执法机关应将办理各种申请的条件、程序、期限和范围及其他相关情况向社会公开，并应建立受理申请登记制度。</w:t>
            </w:r>
          </w:p>
          <w:p w14:paraId="27CD4F31">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《广西壮族自治区行政执法程序规定》（1997年广西壮族自治区人民政府令第13号）第二十四条：</w:t>
            </w:r>
            <w:r>
              <w:rPr>
                <w:rFonts w:hint="eastAsia" w:ascii="Times New Roman" w:hAnsi="Times New Roman" w:eastAsia="仿宋_GB2312"/>
                <w:color w:val="000000" w:themeColor="text1"/>
                <w:kern w:val="0"/>
                <w:sz w:val="20"/>
                <w:szCs w:val="20"/>
                <w14:textFill>
                  <w14:solidFill>
                    <w14:schemeClr w14:val="tx1"/>
                  </w14:solidFill>
                </w14:textFill>
              </w:rPr>
              <w:t>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w:t>
            </w:r>
          </w:p>
          <w:p w14:paraId="77A1D259">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对不予受理的，必须向相对人说明理由；因申请材料不完整或者不规范的，应一次性向相对人提出。</w:t>
            </w:r>
          </w:p>
          <w:p w14:paraId="1465D9F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14:paraId="76412B3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自治区行政执法机关审批的重大复杂申请事项，在三十日内不能作出决定的，经报自治区人民政府批准，可以适当延长办理时间。</w:t>
            </w:r>
          </w:p>
          <w:p w14:paraId="62C14080">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4.同3。</w:t>
            </w:r>
          </w:p>
          <w:p w14:paraId="51D3F054">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《广西壮族自治区行政执法程序规定》（1997年广西壮族自治区人民政府令第13号）第七十一条：</w:t>
            </w:r>
            <w:r>
              <w:rPr>
                <w:rFonts w:hint="eastAsia" w:ascii="Times New Roman" w:hAnsi="Times New Roman" w:eastAsia="仿宋_GB2312"/>
                <w:color w:val="000000" w:themeColor="text1"/>
                <w:kern w:val="0"/>
                <w:sz w:val="20"/>
                <w:szCs w:val="20"/>
                <w14:textFill>
                  <w14:solidFill>
                    <w14:schemeClr w14:val="tx1"/>
                  </w14:solidFill>
                </w14:textFill>
              </w:rPr>
              <w:t>行政执法机关应当建立健全对行政执法行为的监督制度。对上级行政机关交办的事项或者相对人的申诉、检举或者控告，行政执法机关应当及时认真办理，发现行政执法行为有错误的，应当主动改正。</w:t>
            </w:r>
          </w:p>
        </w:tc>
        <w:tc>
          <w:tcPr>
            <w:tcW w:w="1800" w:type="dxa"/>
            <w:vAlign w:val="center"/>
          </w:tcPr>
          <w:p w14:paraId="2AA26405">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因不履行或不正确履行行政职责，出现以下情形的，行政机关及相关工作人员应承担相应责任：</w:t>
            </w:r>
          </w:p>
          <w:p w14:paraId="2FCA2DBA">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1.对符合法定条件的申请不予受理的、不予行政许可或者不在法定期限内作出准予行政许可决定的；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51EBFE0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2.未说明不受理申请或者不予行政许可的理由的；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D96BBB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3.对不符合法定条件的准予行政许可或者超越法定职权作出准予行政许可决定的；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5AAB70D">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4.工作人员滥用职权、徇私舞弊、玩忽职守的。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DACABFF">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5.不依法履行监督职责或者监督不力，造成严重后果的；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6A97CD86">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2469CBE3">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D1DD92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447C73DC">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69A3DF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2.同1.                                                                      </w:t>
            </w:r>
          </w:p>
          <w:p w14:paraId="6E4D8D0F">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3.【法律】《中华人民共和国行政许可法》（2019年4月23日第十三届全国人民代表大会常务委员会第十次会议修正）第七十四条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387337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05734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5.【法律】《中华人民共和国行政许可法》（2019年4月23日第十三届全国人民代表大会常务委员会第十次会议修正）第</w:t>
            </w:r>
            <w:r>
              <w:rPr>
                <w:rFonts w:hint="eastAsia" w:eastAsia="仿宋_GB2312"/>
                <w:color w:val="000000" w:themeColor="text1"/>
                <w:kern w:val="0"/>
                <w:sz w:val="20"/>
                <w:szCs w:val="20"/>
                <w:lang w:val="en-US" w:eastAsia="zh-CN"/>
                <w14:textFill>
                  <w14:solidFill>
                    <w14:schemeClr w14:val="tx1"/>
                  </w14:solidFill>
                </w14:textFill>
              </w:rPr>
              <w:t>七十七</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行政机关不依法履行监督职责或者监督不力，造成严重后果的，由其上级行政机关或者监察机关责令改正，对直接负责的主管人员和其他直接责任人员依法给予行政处分；构成犯罪的，依法追究刑事责任。</w:t>
            </w:r>
          </w:p>
          <w:p w14:paraId="218F0626">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p w14:paraId="039E0FEA">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p>
        </w:tc>
        <w:tc>
          <w:tcPr>
            <w:tcW w:w="532" w:type="dxa"/>
            <w:vAlign w:val="center"/>
          </w:tcPr>
          <w:p w14:paraId="750A0E67">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59302A4D">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r w14:paraId="2BCC3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14:paraId="0789F67A">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25</w:t>
            </w:r>
          </w:p>
        </w:tc>
        <w:tc>
          <w:tcPr>
            <w:tcW w:w="308" w:type="dxa"/>
            <w:vAlign w:val="center"/>
          </w:tcPr>
          <w:p w14:paraId="3989C505">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其他行政权力</w:t>
            </w:r>
          </w:p>
        </w:tc>
        <w:tc>
          <w:tcPr>
            <w:tcW w:w="992" w:type="dxa"/>
            <w:vAlign w:val="center"/>
          </w:tcPr>
          <w:p w14:paraId="0143D0C9">
            <w:pPr>
              <w:adjustRightInd w:val="0"/>
              <w:snapToGrid w:val="0"/>
              <w:spacing w:line="300" w:lineRule="exact"/>
              <w:jc w:val="both"/>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取消违反相关规定的光荣院服务对象集中供养和优惠、优待服务资格</w:t>
            </w:r>
          </w:p>
        </w:tc>
        <w:tc>
          <w:tcPr>
            <w:tcW w:w="495" w:type="dxa"/>
            <w:vAlign w:val="center"/>
          </w:tcPr>
          <w:p w14:paraId="0CA98128">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c>
          <w:tcPr>
            <w:tcW w:w="529" w:type="dxa"/>
            <w:vAlign w:val="center"/>
          </w:tcPr>
          <w:p w14:paraId="24A37F3B">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全州县退役军人事务局</w:t>
            </w:r>
          </w:p>
        </w:tc>
        <w:tc>
          <w:tcPr>
            <w:tcW w:w="881" w:type="dxa"/>
            <w:vAlign w:val="center"/>
          </w:tcPr>
          <w:p w14:paraId="6D69DE91">
            <w:pPr>
              <w:adjustRightInd w:val="0"/>
              <w:snapToGrid w:val="0"/>
              <w:spacing w:line="300" w:lineRule="exact"/>
              <w:jc w:val="center"/>
              <w:rPr>
                <w:rFonts w:hint="default" w:ascii="方正书宋_GBK" w:hAnsi="宋体" w:eastAsia="方正书宋_GBK" w:cs="宋体"/>
                <w:color w:val="000000" w:themeColor="text1"/>
                <w:kern w:val="0"/>
                <w:sz w:val="20"/>
                <w:szCs w:val="20"/>
                <w:lang w:val="en-US" w:eastAsia="zh-CN"/>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综合股</w:t>
            </w:r>
          </w:p>
        </w:tc>
        <w:tc>
          <w:tcPr>
            <w:tcW w:w="3885" w:type="dxa"/>
            <w:vAlign w:val="center"/>
          </w:tcPr>
          <w:p w14:paraId="3EF1521C">
            <w:pPr>
              <w:widowControl/>
              <w:adjustRightInd w:val="0"/>
              <w:snapToGrid w:val="0"/>
              <w:spacing w:line="284"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【部门规章】《光荣院</w:t>
            </w:r>
            <w:r>
              <w:rPr>
                <w:rFonts w:hint="eastAsia" w:ascii="Times New Roman" w:hAnsi="Times New Roman" w:eastAsia="仿宋_GB2312"/>
                <w:color w:val="000000" w:themeColor="text1"/>
                <w:kern w:val="0"/>
                <w:sz w:val="20"/>
                <w:szCs w:val="20"/>
                <w14:textFill>
                  <w14:solidFill>
                    <w14:schemeClr w14:val="tx1"/>
                  </w14:solidFill>
                </w14:textFill>
              </w:rPr>
              <w:t>管理办法</w:t>
            </w:r>
            <w:r>
              <w:rPr>
                <w:rFonts w:hint="eastAsia" w:ascii="Times New Roman" w:hAnsi="Times New Roman" w:eastAsia="仿宋_GB2312" w:cs="宋体"/>
                <w:color w:val="000000" w:themeColor="text1"/>
                <w:kern w:val="0"/>
                <w:sz w:val="20"/>
                <w:szCs w:val="20"/>
                <w14:textFill>
                  <w14:solidFill>
                    <w14:schemeClr w14:val="tx1"/>
                  </w14:solidFill>
                </w14:textFill>
              </w:rPr>
              <w:t>》（2020年退役军</w:t>
            </w:r>
            <w:r>
              <w:rPr>
                <w:rFonts w:hint="eastAsia" w:ascii="Times New Roman" w:hAnsi="Times New Roman" w:eastAsia="仿宋_GB2312"/>
                <w:color w:val="000000" w:themeColor="text1"/>
                <w:kern w:val="0"/>
                <w:sz w:val="20"/>
                <w:szCs w:val="20"/>
                <w14:textFill>
                  <w14:solidFill>
                    <w14:schemeClr w14:val="tx1"/>
                  </w14:solidFill>
                </w14:textFill>
              </w:rPr>
              <w:t>人</w:t>
            </w:r>
            <w:r>
              <w:rPr>
                <w:rFonts w:hint="eastAsia" w:ascii="Times New Roman" w:hAnsi="Times New Roman" w:eastAsia="仿宋_GB2312" w:cs="宋体"/>
                <w:color w:val="000000" w:themeColor="text1"/>
                <w:kern w:val="0"/>
                <w:sz w:val="20"/>
                <w:szCs w:val="20"/>
                <w14:textFill>
                  <w14:solidFill>
                    <w14:schemeClr w14:val="tx1"/>
                  </w14:solidFill>
                </w14:textFill>
              </w:rPr>
              <w:t>事务部令</w:t>
            </w:r>
            <w:r>
              <w:rPr>
                <w:rFonts w:hint="eastAsia" w:ascii="Times New Roman" w:hAnsi="Times New Roman" w:eastAsia="仿宋_GB2312"/>
                <w:color w:val="000000" w:themeColor="text1"/>
                <w:kern w:val="0"/>
                <w:sz w:val="20"/>
                <w:szCs w:val="20"/>
                <w14:textFill>
                  <w14:solidFill>
                    <w14:schemeClr w14:val="tx1"/>
                  </w14:solidFill>
                </w14:textFill>
              </w:rPr>
              <w:t>第3号公</w:t>
            </w:r>
            <w:r>
              <w:rPr>
                <w:rFonts w:hint="eastAsia" w:ascii="Times New Roman" w:hAnsi="Times New Roman" w:eastAsia="仿宋_GB2312" w:cs="宋体"/>
                <w:color w:val="000000" w:themeColor="text1"/>
                <w:kern w:val="0"/>
                <w:sz w:val="20"/>
                <w:szCs w:val="20"/>
                <w14:textFill>
                  <w14:solidFill>
                    <w14:schemeClr w14:val="tx1"/>
                  </w14:solidFill>
                </w14:textFill>
              </w:rPr>
              <w:t>布，2020年退役军</w:t>
            </w:r>
            <w:r>
              <w:rPr>
                <w:rFonts w:hint="eastAsia" w:ascii="Times New Roman" w:hAnsi="Times New Roman" w:eastAsia="仿宋_GB2312"/>
                <w:color w:val="000000" w:themeColor="text1"/>
                <w:kern w:val="0"/>
                <w:sz w:val="20"/>
                <w:szCs w:val="20"/>
                <w14:textFill>
                  <w14:solidFill>
                    <w14:schemeClr w14:val="tx1"/>
                  </w14:solidFill>
                </w14:textFill>
              </w:rPr>
              <w:t>人</w:t>
            </w:r>
            <w:r>
              <w:rPr>
                <w:rFonts w:hint="eastAsia" w:ascii="Times New Roman" w:hAnsi="Times New Roman" w:eastAsia="仿宋_GB2312" w:cs="宋体"/>
                <w:color w:val="000000" w:themeColor="text1"/>
                <w:kern w:val="0"/>
                <w:sz w:val="20"/>
                <w:szCs w:val="20"/>
                <w14:textFill>
                  <w14:solidFill>
                    <w14:schemeClr w14:val="tx1"/>
                  </w14:solidFill>
                </w14:textFill>
              </w:rPr>
              <w:t>事务部令第3号修订）第三</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国务院退役军人事务部门负责指导全国光荣院的管理工作。县级以上地方人民政府退役军人事务部门是光荣院的主管部门（以下简称光荣院主管部门），对光荣院集中供养等工作进行管理、</w:t>
            </w:r>
            <w:r>
              <w:rPr>
                <w:rFonts w:hint="eastAsia" w:ascii="Times New Roman" w:hAnsi="Times New Roman" w:eastAsia="仿宋_GB2312"/>
                <w:color w:val="000000" w:themeColor="text1"/>
                <w:kern w:val="0"/>
                <w:sz w:val="20"/>
                <w:szCs w:val="20"/>
                <w14:textFill>
                  <w14:solidFill>
                    <w14:schemeClr w14:val="tx1"/>
                  </w14:solidFill>
                </w14:textFill>
              </w:rPr>
              <w:t>监</w:t>
            </w:r>
            <w:r>
              <w:rPr>
                <w:rFonts w:hint="eastAsia" w:ascii="Times New Roman" w:hAnsi="Times New Roman" w:eastAsia="仿宋_GB2312" w:cs="宋体"/>
                <w:color w:val="000000" w:themeColor="text1"/>
                <w:kern w:val="0"/>
                <w:sz w:val="20"/>
                <w:szCs w:val="20"/>
                <w14:textFill>
                  <w14:solidFill>
                    <w14:schemeClr w14:val="tx1"/>
                  </w14:solidFill>
                </w14:textFill>
              </w:rPr>
              <w:t>督和检查。</w:t>
            </w:r>
          </w:p>
          <w:p w14:paraId="640C5DC6">
            <w:pPr>
              <w:widowControl/>
              <w:adjustRightInd w:val="0"/>
              <w:snapToGrid w:val="0"/>
              <w:spacing w:line="284"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第三十二</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服务对象应当珍惜荣誉，遵守光荣院的各项规定，自觉配合工作人员的管理。对违反相关规定的，由光荣院和光荣院主管部门进行批评教育，情节严重的，依法追</w:t>
            </w:r>
            <w:r>
              <w:rPr>
                <w:rFonts w:hint="eastAsia" w:ascii="Times New Roman" w:hAnsi="Times New Roman" w:eastAsia="仿宋_GB2312"/>
                <w:color w:val="000000" w:themeColor="text1"/>
                <w:kern w:val="0"/>
                <w:sz w:val="20"/>
                <w:szCs w:val="20"/>
                <w14:textFill>
                  <w14:solidFill>
                    <w14:schemeClr w14:val="tx1"/>
                  </w14:solidFill>
                </w14:textFill>
              </w:rPr>
              <w:t>究</w:t>
            </w:r>
            <w:r>
              <w:rPr>
                <w:rFonts w:hint="eastAsia" w:ascii="Times New Roman" w:hAnsi="Times New Roman" w:eastAsia="仿宋_GB2312" w:cs="宋体"/>
                <w:color w:val="000000" w:themeColor="text1"/>
                <w:kern w:val="0"/>
                <w:sz w:val="20"/>
                <w:szCs w:val="20"/>
                <w14:textFill>
                  <w14:solidFill>
                    <w14:schemeClr w14:val="tx1"/>
                  </w14:solidFill>
                </w14:textFill>
              </w:rPr>
              <w:t>相应责任。</w:t>
            </w:r>
          </w:p>
          <w:p w14:paraId="56793BC0">
            <w:pPr>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服务对象因违法犯罪被判处有期徒刑、剥夺政治权利的，中止其集中供养和优惠、优待服务资格；被判处死刑、无期徒刑的，取消其集中供养和优惠、优待服务资格。</w:t>
            </w:r>
          </w:p>
        </w:tc>
        <w:tc>
          <w:tcPr>
            <w:tcW w:w="1618" w:type="dxa"/>
            <w:vAlign w:val="center"/>
          </w:tcPr>
          <w:p w14:paraId="29EA1CA2">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1.立案责任：受理，并决定是否立案。</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6C5F0350">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2.调查取证责任：进行调查，收集、调取证据并记录保存。</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6177437">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360559A8">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4.告知责任：事先告知处罚的事实、理由、依据及享有的陈述、申辩等权利。</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297659F3">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5.决定责任：作出行政处罚决定。</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32955A2">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6.送达责任：行政处罚决定书应当在宣告后当场交付当事人；当事人不在场的，行政机关应当在七日内依照民事诉讼法的有关规定，将行政处罚决定书送达当事人。</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3E3C239">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7.执行责任：依照生效的行政处罚决定，自觉履行或强制执行。</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54E8AF83">
            <w:pPr>
              <w:widowControl/>
              <w:adjustRightInd w:val="0"/>
              <w:snapToGrid w:val="0"/>
              <w:spacing w:line="284"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8.监督责任：对处罚决定执行情况进行监督检查。</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7C0A5845">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9.法律法规规定的其他责任。</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lang w:val="en-US" w:eastAsia="zh-CN"/>
                <w14:textFill>
                  <w14:solidFill>
                    <w14:schemeClr w14:val="tx1"/>
                  </w14:solidFill>
                </w14:textFill>
              </w:rPr>
              <w:t>责任主体：</w:t>
            </w:r>
            <w:r>
              <w:rPr>
                <w:rFonts w:hint="eastAsia" w:eastAsia="仿宋_GB2312"/>
                <w:color w:val="000000" w:themeColor="text1"/>
                <w:kern w:val="0"/>
                <w:sz w:val="20"/>
                <w:szCs w:val="20"/>
                <w:lang w:val="en-US" w:eastAsia="zh-CN"/>
                <w14:textFill>
                  <w14:solidFill>
                    <w14:schemeClr w14:val="tx1"/>
                  </w14:solidFill>
                </w14:textFill>
              </w:rPr>
              <w:t>综合股</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tc>
        <w:tc>
          <w:tcPr>
            <w:tcW w:w="7652" w:type="dxa"/>
            <w:vAlign w:val="center"/>
          </w:tcPr>
          <w:p w14:paraId="4F234E1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《广西壮族自治区行政执法程序规定》（1997年广西壮族自治区人民政府令第13号）第二十八条</w:t>
            </w:r>
            <w:r>
              <w:rPr>
                <w:rFonts w:hint="eastAsia" w:ascii="Times New Roman" w:hAnsi="Times New Roman" w:eastAsia="仿宋_GB2312"/>
                <w:color w:val="000000" w:themeColor="text1"/>
                <w:kern w:val="0"/>
                <w:sz w:val="20"/>
                <w:szCs w:val="20"/>
                <w14:textFill>
                  <w14:solidFill>
                    <w14:schemeClr w14:val="tx1"/>
                  </w14:solidFill>
                </w14:textFill>
              </w:rPr>
              <w:t>第一、二款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行政执法机关对违法事项经过审查，认为有违法事实，依法需要给予行政处罚的，应当登记立案。两个以上行政执法机关联合办理的违法案件，由主办机关立案，立案报告应经联合办理机关会签。</w:t>
            </w:r>
          </w:p>
          <w:p w14:paraId="501E884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《广西壮族自治区行政执法程序规定》（1997年广西壮族自治区人民政府令第13号）第二十九条：</w:t>
            </w:r>
            <w:r>
              <w:rPr>
                <w:rFonts w:hint="eastAsia" w:ascii="Times New Roman" w:hAnsi="Times New Roman" w:eastAsia="仿宋_GB2312"/>
                <w:color w:val="000000" w:themeColor="text1"/>
                <w:kern w:val="0"/>
                <w:sz w:val="20"/>
                <w:szCs w:val="20"/>
                <w14:textFill>
                  <w14:solidFill>
                    <w14:schemeClr w14:val="tx1"/>
                  </w14:solidFill>
                </w14:textFill>
              </w:rPr>
              <w:t>行政执法机关对已经立案的案件应及时组织调查取证。行政执法机关调查、收集证据，应遵循合法、客观、全面、及时的原则，证据必须经过查证核实。</w:t>
            </w:r>
          </w:p>
          <w:p w14:paraId="12919E3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四）涉及专门性问题的，应由法定部门鉴定。</w:t>
            </w:r>
          </w:p>
          <w:p w14:paraId="7720E55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第三十一条第三款</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在证据可能灭失或者以后难以取得的情况下，行政执法机关经负责人批准，可以将证据先行登记，由相对人就地保存。先行登记保存的证据，行政执法机关应当在七日内作出处理决定，在此期间，相对人或者有关人员不得销毁或者转移证据。行政执法人员采取证据登记保存措施，应出具本机关负责人签发的证据登记保存通知书，并制作登记保存笔录。登记保存笔录要经行政执法人员、相对人或见证人签名或盖章。</w:t>
            </w:r>
          </w:p>
          <w:p w14:paraId="10B67ECC">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第三十二</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办理违法案件的行政执法人员有下列情形之一的，必须申请回避，相对人也有权向行政执法机关申请，要求其回避：（一）是本案的相对人或者相对人的近亲属；（二）本人或者本人近亲属与本案有利害关系；（三）与本案相对人有其他关系，可能影响案件的公正处理。一般行政执法人员的回避，由所在机关分管领导决定；分管或者主管领导的回避，由所在机关领导集体决定。回避决定作出前，办案人员不得擅自停止对案件的调查处理。对驳回申请回避的决定，相对人可以再申请一次。</w:t>
            </w:r>
          </w:p>
          <w:p w14:paraId="5402F6F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第三十六</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行政执法机关对相对人的陈述和申辩应当制作笔录，对相对人提出的事实、理由或者证据应当进行审核。相对人所提出的事实、理由或者提供的证据成立的，行政执法机关应当采纳。</w:t>
            </w:r>
          </w:p>
          <w:p w14:paraId="196F9C7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《广西壮族自治区行政执法程序规定》（1997年广西壮族自治区人民政府令第13号）第三十三条：</w:t>
            </w:r>
            <w:r>
              <w:rPr>
                <w:rFonts w:hint="eastAsia" w:ascii="Times New Roman" w:hAnsi="Times New Roman" w:eastAsia="仿宋_GB2312"/>
                <w:color w:val="000000" w:themeColor="text1"/>
                <w:kern w:val="0"/>
                <w:sz w:val="20"/>
                <w:szCs w:val="20"/>
                <w14:textFill>
                  <w14:solidFill>
                    <w14:schemeClr w14:val="tx1"/>
                  </w14:solidFill>
                </w14:textFill>
              </w:rPr>
              <w:t>调查终结，办案人员应向所在行政执法机关提出调查报告和处理意见，并送本机关法制工作机构或本机关指定的其他机构进行审核；审核机构应在七日内审核完毕，连同审核意见一并报送本机关负责人进行审查，按下列规定分别处理：（一）违法事实清楚，证据确凿，依法应受处罚的，根据情节轻重及具体情况，作出行政处罚决定；（二）没有违法事实或者违法行为轻微，依法不应追究法律责任的，作出撤销案件的决定；（三）证据不足的，应责令补充调查，补充调查应在退回之日起十日内结束，经补充调查，证据仍然不足的，作出撤销案件的决定。撤销案件依法应报上级行政机关批准的，经批准后予以撤销。接受委托办理的违法案件需要撤销的，应报告委托机关批准；（四）相对人的行为属于民事侵权行为的，告知被侵权人依法向人民法院起诉；（五）相对人的行为已触犯治安管理处罚条例或者已构成犯罪的，提请公安机关或移送司法机关依法处理。对情节复杂或者重大违法行为给予行政处罚的，行政执法机关负责人应当集体讨论决定。</w:t>
            </w:r>
          </w:p>
          <w:p w14:paraId="576530D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一个行为同时违反两个或者两个以上不同种类法律、法规、规章的，有管辖权的行政执法机关可以依据有关法律、法规、规章分别作出或者共同作出处罚决定，但不得对相对人的同一个违法行为给予两次以上罚款的行政处罚。</w:t>
            </w:r>
          </w:p>
          <w:p w14:paraId="230A542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《广西壮族自治区行政执法程序规定》（1997年广西壮族自治区人民政府令第13号）第三十五条：</w:t>
            </w:r>
            <w:r>
              <w:rPr>
                <w:rFonts w:hint="eastAsia" w:ascii="Times New Roman" w:hAnsi="Times New Roman" w:eastAsia="仿宋_GB2312"/>
                <w:color w:val="000000" w:themeColor="text1"/>
                <w:kern w:val="0"/>
                <w:sz w:val="20"/>
                <w:szCs w:val="20"/>
                <w14:textFill>
                  <w14:solidFill>
                    <w14:schemeClr w14:val="tx1"/>
                  </w14:solidFill>
                </w14:textFill>
              </w:rPr>
              <w:t>行政执法机关及其行政执法人员在作出处罚决定之前，应当告知相对人作出处罚决定的事实、理由及依据，并告知其依法享有的权利。</w:t>
            </w:r>
          </w:p>
          <w:p w14:paraId="31993DDA">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第四十一</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行政执法机关应按本节规定的程序组织听证。但是国务院有关工作部门另有规定的，从其规定。</w:t>
            </w:r>
          </w:p>
          <w:p w14:paraId="5DF5174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《广西壮族自治区行政执法程序规定》（1997年广西壮族自治区人民政府令第13号）第三十七条：</w:t>
            </w:r>
            <w:r>
              <w:rPr>
                <w:rFonts w:hint="eastAsia" w:ascii="Times New Roman" w:hAnsi="Times New Roman" w:eastAsia="仿宋_GB2312"/>
                <w:color w:val="000000" w:themeColor="text1"/>
                <w:kern w:val="0"/>
                <w:sz w:val="20"/>
                <w:szCs w:val="20"/>
                <w14:textFill>
                  <w14:solidFill>
                    <w14:schemeClr w14:val="tx1"/>
                  </w14:solidFill>
                </w14:textFill>
              </w:rPr>
              <w:t>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w:t>
            </w:r>
          </w:p>
          <w:p w14:paraId="7576A69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第三十八</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14:paraId="549D87E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《广西壮族自治区行政执法程序规定》（1997年广西壮族自治区人民政府令第13号）第五十六条：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w:t>
            </w:r>
          </w:p>
          <w:p w14:paraId="4AF46F03">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第五十七</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14:paraId="5CF7AC10">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lang w:eastAsia="zh-CN"/>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7.【地方政府规章】</w:t>
            </w:r>
            <w:r>
              <w:rPr>
                <w:rFonts w:hint="eastAsia" w:ascii="Times New Roman" w:hAnsi="Times New Roman" w:eastAsia="仿宋_GB2312"/>
                <w:color w:val="000000" w:themeColor="text1"/>
                <w:kern w:val="0"/>
                <w:sz w:val="20"/>
                <w:szCs w:val="20"/>
                <w:lang w:eastAsia="zh-CN"/>
                <w14:textFill>
                  <w14:solidFill>
                    <w14:schemeClr w14:val="tx1"/>
                  </w14:solidFill>
                </w14:textFill>
              </w:rPr>
              <w:t>《广西壮族自治区行政执法程序规定》（1997年广西壮族自治区人民政府令第13号）第五十九条：</w:t>
            </w:r>
            <w:r>
              <w:rPr>
                <w:rFonts w:hint="eastAsia" w:ascii="Times New Roman" w:hAnsi="Times New Roman" w:eastAsia="仿宋_GB2312"/>
                <w:color w:val="000000" w:themeColor="text1"/>
                <w:kern w:val="0"/>
                <w:sz w:val="20"/>
                <w:szCs w:val="20"/>
                <w14:textFill>
                  <w14:solidFill>
                    <w14:schemeClr w14:val="tx1"/>
                  </w14:solidFill>
                </w14:textFill>
              </w:rPr>
              <w:t>行政处理决定书送达时生效。生效的行政处理决定书必须执行。相对人对行政处理决定不服申请行政复议或者提起行政诉讼的，行政处理决定不停止执行，但法律、法规另有规定的除外</w:t>
            </w:r>
            <w:r>
              <w:rPr>
                <w:rFonts w:hint="eastAsia" w:ascii="Times New Roman" w:hAnsi="Times New Roman" w:eastAsia="仿宋_GB2312"/>
                <w:color w:val="000000" w:themeColor="text1"/>
                <w:kern w:val="0"/>
                <w:sz w:val="20"/>
                <w:szCs w:val="20"/>
                <w:lang w:eastAsia="zh-CN"/>
                <w14:textFill>
                  <w14:solidFill>
                    <w14:schemeClr w14:val="tx1"/>
                  </w14:solidFill>
                </w14:textFill>
              </w:rPr>
              <w:t>。</w:t>
            </w:r>
          </w:p>
          <w:p w14:paraId="42EBF56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行政处理决定涉及罚款的，除本规定第六十一条规定的由行政执法人员当场收缴外，相对人应当自收到行政处理决定书之日起十五日内，到指定的金融机构缴纳罚款。</w:t>
            </w:r>
          </w:p>
          <w:p w14:paraId="6509B3A3">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第六十四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相对人逾期不缴纳罚款的，由作出罚款决定的行政执法机关每日按罚款数额的百分之三加处罚款，并依法强制执行或申请人民法院强制执行。执行费用由相对人承担。第六十五</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相对人确有经济困难，需要延期或者分期缴纳罚款的，经相对人申请和行政执法机关批准，可以暂缓或者分期缴纳。相对人必须以书面方式提出延期或分期缴纳罚款的申请；行政执法机关应当自收到申请之日起二日内作出是否批准的决定。</w:t>
            </w:r>
          </w:p>
          <w:p w14:paraId="08667B86">
            <w:pPr>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8.【法律】《中华人民共和国行政处罚法》第五十四</w:t>
            </w:r>
            <w:r>
              <w:rPr>
                <w:rFonts w:hint="eastAsia" w:ascii="Times New Roman" w:hAnsi="Times New Roman" w:eastAsia="仿宋_GB2312"/>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olor w:val="000000" w:themeColor="text1"/>
                <w:kern w:val="0"/>
                <w:sz w:val="20"/>
                <w:szCs w:val="20"/>
                <w14:textFill>
                  <w14:solidFill>
                    <w14:schemeClr w14:val="tx1"/>
                  </w14:solidFill>
                </w14:textFill>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800" w:type="dxa"/>
            <w:vAlign w:val="center"/>
          </w:tcPr>
          <w:p w14:paraId="0573FE5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因不履行或不正确履行行政职责，出现以下情形的，行政机关及相关工作人员应承担相应责任：</w:t>
            </w:r>
          </w:p>
          <w:p w14:paraId="3F692644">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1.对符合法定条件的申请不予受理的、不予行政许可或者不在法定期限内作出准予行政许可决定的；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047CDBF2">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2.未说明不受理申请或者不予行政许可的理由的；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F44A836">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3.对不符合法定条件的准予行政许可或者超越法定职权作出准予行政许可决定的；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2D899D43">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4.工作人员滥用职权、徇私舞弊、玩忽职守的。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789C73D7">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5.不依法履行监督职责或者监督不力，造成严重后果的；</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p w14:paraId="4416FF51">
            <w:pPr>
              <w:widowControl/>
              <w:adjustRightInd w:val="0"/>
              <w:snapToGrid w:val="0"/>
              <w:spacing w:line="300" w:lineRule="exact"/>
              <w:ind w:firstLine="400" w:firstLineChars="200"/>
              <w:rPr>
                <w:rFonts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6.其他违反法律法规规章文件规定的行为。</w:t>
            </w:r>
            <w:r>
              <w:rPr>
                <w:rFonts w:hint="eastAsia" w:eastAsia="仿宋_GB2312"/>
                <w:color w:val="000000" w:themeColor="text1"/>
                <w:spacing w:val="-4"/>
                <w:kern w:val="0"/>
                <w:sz w:val="20"/>
                <w:szCs w:val="20"/>
                <w:lang w:eastAsia="zh-CN"/>
                <w14:textFill>
                  <w14:solidFill>
                    <w14:schemeClr w14:val="tx1"/>
                  </w14:solidFill>
                </w14:textFill>
              </w:rPr>
              <w:t>（</w:t>
            </w:r>
            <w:r>
              <w:rPr>
                <w:rFonts w:hint="eastAsia" w:eastAsia="仿宋_GB2312"/>
                <w:color w:val="000000" w:themeColor="text1"/>
                <w:spacing w:val="-4"/>
                <w:kern w:val="0"/>
                <w:sz w:val="20"/>
                <w:szCs w:val="20"/>
                <w:lang w:val="en-US" w:eastAsia="zh-CN"/>
                <w14:textFill>
                  <w14:solidFill>
                    <w14:schemeClr w14:val="tx1"/>
                  </w14:solidFill>
                </w14:textFill>
              </w:rPr>
              <w:t>追责主体：县纪委监委机关派驻县民政局纪监组</w:t>
            </w:r>
            <w:r>
              <w:rPr>
                <w:rFonts w:hint="eastAsia" w:eastAsia="仿宋_GB2312"/>
                <w:color w:val="000000" w:themeColor="text1"/>
                <w:spacing w:val="-4"/>
                <w:kern w:val="0"/>
                <w:sz w:val="20"/>
                <w:szCs w:val="20"/>
                <w:lang w:eastAsia="zh-CN"/>
                <w14:textFill>
                  <w14:solidFill>
                    <w14:schemeClr w14:val="tx1"/>
                  </w14:solidFill>
                </w14:textFill>
              </w:rPr>
              <w:t>）</w:t>
            </w:r>
          </w:p>
        </w:tc>
        <w:tc>
          <w:tcPr>
            <w:tcW w:w="2067" w:type="dxa"/>
            <w:vAlign w:val="center"/>
          </w:tcPr>
          <w:p w14:paraId="64A406AE">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60AB05A5">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p>
          <w:p w14:paraId="1F714BC2">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法律】《中华人民共和国行政许可法》（2019年4月23日第十三届全国人民代表大会常务委员会第十次会议修正）第七十二条：“行政机关及其工作人员违反本法的规定，有下列情形之一的，由其上级行政机关或者监察机关责令改正；情节严重的，对直接负责的主管人员和其他直接责任人员依法给予行政处分：</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w:t>
            </w:r>
            <w:r>
              <w:rPr>
                <w:rFonts w:hint="eastAsia" w:eastAsia="仿宋_GB2312"/>
                <w:color w:val="000000" w:themeColor="text1"/>
                <w:kern w:val="0"/>
                <w:sz w:val="20"/>
                <w:szCs w:val="20"/>
                <w:lang w:val="en-US" w:eastAsia="zh-CN"/>
                <w14:textFill>
                  <w14:solidFill>
                    <w14:schemeClr w14:val="tx1"/>
                  </w14:solidFill>
                </w14:textFill>
              </w:rPr>
              <w:t>”</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648381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2.同1.                                                                      </w:t>
            </w:r>
          </w:p>
          <w:p w14:paraId="2B33919D">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exact"/>
              <w:ind w:left="0" w:firstLine="400" w:firstLineChars="200"/>
              <w:jc w:val="left"/>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 xml:space="preserve">3.【法律】《中华人民共和国行政许可法》（2019年4月23日第十三届全国人民代表大会常务委员会第十次会议修正）第七十四条 </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default" w:ascii="Times New Roman" w:hAnsi="Times New Roman" w:eastAsia="仿宋_GB2312"/>
                <w:color w:val="000000" w:themeColor="text1"/>
                <w:kern w:val="0"/>
                <w:sz w:val="20"/>
                <w:szCs w:val="20"/>
                <w:lang w:val="en-US" w:eastAsia="zh-CN"/>
                <w14:textFill>
                  <w14:solidFill>
                    <w14:schemeClr w14:val="tx1"/>
                  </w14:solidFill>
                </w14:textFill>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r>
              <w:rPr>
                <w:rFonts w:hint="eastAsia" w:ascii="Times New Roman" w:hAnsi="Times New Roman" w:eastAsia="仿宋_GB2312"/>
                <w:color w:val="000000" w:themeColor="text1"/>
                <w:kern w:val="0"/>
                <w:sz w:val="20"/>
                <w:szCs w:val="20"/>
                <w14:textFill>
                  <w14:solidFill>
                    <w14:schemeClr w14:val="tx1"/>
                  </w14:solidFill>
                </w14:textFill>
              </w:rPr>
              <w:t xml:space="preserve">                                                             </w:t>
            </w:r>
          </w:p>
          <w:p w14:paraId="2D6F9C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32125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eastAsia" w:ascii="方正书宋_GBK" w:hAnsi="宋体" w:eastAsia="方正书宋_GBK" w:cs="宋体"/>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5.【法律】《中华人民共和国行政许可法》（2019年4月23日第十三届全国人民代表大会常务委员会第十次会议修正）第</w:t>
            </w:r>
            <w:r>
              <w:rPr>
                <w:rFonts w:hint="eastAsia" w:eastAsia="仿宋_GB2312"/>
                <w:color w:val="000000" w:themeColor="text1"/>
                <w:kern w:val="0"/>
                <w:sz w:val="20"/>
                <w:szCs w:val="20"/>
                <w:lang w:val="en-US" w:eastAsia="zh-CN"/>
                <w14:textFill>
                  <w14:solidFill>
                    <w14:schemeClr w14:val="tx1"/>
                  </w14:solidFill>
                </w14:textFill>
              </w:rPr>
              <w:t>七十七</w:t>
            </w:r>
            <w:r>
              <w:rPr>
                <w:rFonts w:hint="eastAsia" w:ascii="Times New Roman" w:hAnsi="Times New Roman" w:eastAsia="仿宋_GB2312"/>
                <w:color w:val="000000" w:themeColor="text1"/>
                <w:kern w:val="0"/>
                <w:sz w:val="20"/>
                <w:szCs w:val="20"/>
                <w14:textFill>
                  <w14:solidFill>
                    <w14:schemeClr w14:val="tx1"/>
                  </w14:solidFill>
                </w14:textFill>
              </w:rPr>
              <w:t>条</w:t>
            </w:r>
            <w:r>
              <w:rPr>
                <w:rFonts w:hint="eastAsia" w:eastAsia="仿宋_GB2312"/>
                <w:color w:val="000000" w:themeColor="text1"/>
                <w:kern w:val="0"/>
                <w:sz w:val="20"/>
                <w:szCs w:val="20"/>
                <w:lang w:val="en-US" w:eastAsia="zh-CN"/>
                <w14:textFill>
                  <w14:solidFill>
                    <w14:schemeClr w14:val="tx1"/>
                  </w14:solidFill>
                </w14:textFill>
              </w:rPr>
              <w:t xml:space="preserve">  </w:t>
            </w:r>
            <w:r>
              <w:rPr>
                <w:rFonts w:hint="eastAsia" w:ascii="Times New Roman" w:hAnsi="Times New Roman" w:eastAsia="仿宋_GB2312"/>
                <w:color w:val="000000" w:themeColor="text1"/>
                <w:kern w:val="0"/>
                <w:sz w:val="20"/>
                <w:szCs w:val="20"/>
                <w14:textFill>
                  <w14:solidFill>
                    <w14:schemeClr w14:val="tx1"/>
                  </w14:solidFill>
                </w14:textFill>
              </w:rPr>
              <w:t>行政机关不依法履行监督职责或者监督不力，造成严重后果的，由其上级行政机关或者监察机关责令改正，对直接负责的主管人员和其他直接责任人员依法给予行政处分；构成犯罪的，依法追究刑事责任。</w:t>
            </w:r>
          </w:p>
          <w:p w14:paraId="6B31DFC2">
            <w:pPr>
              <w:keepNext w:val="0"/>
              <w:keepLines w:val="0"/>
              <w:pageBreakBefore w:val="0"/>
              <w:widowControl/>
              <w:kinsoku/>
              <w:wordWrap/>
              <w:overflowPunct/>
              <w:topLinePunct w:val="0"/>
              <w:autoSpaceDE/>
              <w:autoSpaceDN/>
              <w:bidi w:val="0"/>
              <w:adjustRightInd w:val="0"/>
              <w:snapToGrid w:val="0"/>
              <w:spacing w:line="290" w:lineRule="exact"/>
              <w:ind w:firstLine="400" w:firstLineChars="200"/>
              <w:textAlignment w:val="auto"/>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14:textFill>
                  <w14:solidFill>
                    <w14:schemeClr w14:val="tx1"/>
                  </w14:solidFill>
                </w14:textFill>
              </w:rPr>
              <w:t xml:space="preserve"> </w:t>
            </w:r>
          </w:p>
        </w:tc>
        <w:tc>
          <w:tcPr>
            <w:tcW w:w="532" w:type="dxa"/>
            <w:vAlign w:val="center"/>
          </w:tcPr>
          <w:p w14:paraId="3EEC6FB1">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r>
              <w:rPr>
                <w:rFonts w:hint="eastAsia" w:ascii="方正书宋_GBK" w:hAnsi="宋体" w:eastAsia="方正书宋_GBK" w:cs="宋体"/>
                <w:color w:val="000000" w:themeColor="text1"/>
                <w:kern w:val="0"/>
                <w:sz w:val="20"/>
                <w:szCs w:val="20"/>
                <w:lang w:val="en-US" w:eastAsia="zh-CN"/>
                <w14:textFill>
                  <w14:solidFill>
                    <w14:schemeClr w14:val="tx1"/>
                  </w14:solidFill>
                </w14:textFill>
              </w:rPr>
              <w:t>法律法规允许范围内，给予免责</w:t>
            </w:r>
          </w:p>
        </w:tc>
        <w:tc>
          <w:tcPr>
            <w:tcW w:w="381" w:type="dxa"/>
            <w:vAlign w:val="center"/>
          </w:tcPr>
          <w:p w14:paraId="6532FEB5">
            <w:pPr>
              <w:adjustRightInd w:val="0"/>
              <w:snapToGrid w:val="0"/>
              <w:spacing w:line="300" w:lineRule="exact"/>
              <w:jc w:val="center"/>
              <w:rPr>
                <w:rFonts w:ascii="方正书宋_GBK" w:hAnsi="宋体" w:eastAsia="方正书宋_GBK" w:cs="宋体"/>
                <w:color w:val="000000" w:themeColor="text1"/>
                <w:kern w:val="0"/>
                <w:sz w:val="20"/>
                <w:szCs w:val="20"/>
                <w14:textFill>
                  <w14:solidFill>
                    <w14:schemeClr w14:val="tx1"/>
                  </w14:solidFill>
                </w14:textFill>
              </w:rPr>
            </w:pPr>
          </w:p>
        </w:tc>
      </w:tr>
    </w:tbl>
    <w:p w14:paraId="585BDEA4">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E2459">
    <w:pPr>
      <w:pStyle w:val="2"/>
      <w:framePr w:wrap="around" w:vAnchor="text" w:hAnchor="margin" w:xAlign="center" w:y="1"/>
      <w:rPr>
        <w:rStyle w:val="6"/>
      </w:rPr>
    </w:pPr>
    <w:r>
      <w:fldChar w:fldCharType="begin"/>
    </w:r>
    <w:r>
      <w:rPr>
        <w:rStyle w:val="6"/>
      </w:rPr>
      <w:instrText xml:space="preserve">PAGE  </w:instrText>
    </w:r>
    <w:r>
      <w:fldChar w:fldCharType="end"/>
    </w:r>
  </w:p>
  <w:p w14:paraId="6C5F7E6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ODdmNWY3YTc4N2ExOTEzMDZmZWM5NzE5YThiYzE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A3AA1"/>
    <w:rsid w:val="00BD476C"/>
    <w:rsid w:val="00C41BB5"/>
    <w:rsid w:val="00C45D84"/>
    <w:rsid w:val="00CF4516"/>
    <w:rsid w:val="00DC7525"/>
    <w:rsid w:val="00E0131C"/>
    <w:rsid w:val="00E1008C"/>
    <w:rsid w:val="00E26299"/>
    <w:rsid w:val="00E95819"/>
    <w:rsid w:val="00E96821"/>
    <w:rsid w:val="00F37938"/>
    <w:rsid w:val="00F76416"/>
    <w:rsid w:val="00FF2AB4"/>
    <w:rsid w:val="04600F8E"/>
    <w:rsid w:val="04656A45"/>
    <w:rsid w:val="046D5BE8"/>
    <w:rsid w:val="04867143"/>
    <w:rsid w:val="06A765D7"/>
    <w:rsid w:val="071522E7"/>
    <w:rsid w:val="08825214"/>
    <w:rsid w:val="08A56F15"/>
    <w:rsid w:val="09654497"/>
    <w:rsid w:val="097D1D46"/>
    <w:rsid w:val="0A883B4D"/>
    <w:rsid w:val="0B36201C"/>
    <w:rsid w:val="0BE00FAB"/>
    <w:rsid w:val="0E98026B"/>
    <w:rsid w:val="105B1BF8"/>
    <w:rsid w:val="10945F9E"/>
    <w:rsid w:val="10991687"/>
    <w:rsid w:val="10B60B86"/>
    <w:rsid w:val="11905DED"/>
    <w:rsid w:val="11AC2B71"/>
    <w:rsid w:val="11B949D2"/>
    <w:rsid w:val="11C92BA2"/>
    <w:rsid w:val="11E71C7F"/>
    <w:rsid w:val="11FC55B2"/>
    <w:rsid w:val="12170B5B"/>
    <w:rsid w:val="122F1739"/>
    <w:rsid w:val="15304B2F"/>
    <w:rsid w:val="1541295A"/>
    <w:rsid w:val="162735CA"/>
    <w:rsid w:val="17724E30"/>
    <w:rsid w:val="189F30DA"/>
    <w:rsid w:val="18C6108C"/>
    <w:rsid w:val="1A19691B"/>
    <w:rsid w:val="1A1F3FEF"/>
    <w:rsid w:val="1B1E4B60"/>
    <w:rsid w:val="1BC17CE4"/>
    <w:rsid w:val="1C002607"/>
    <w:rsid w:val="1C2F54F8"/>
    <w:rsid w:val="1C387A73"/>
    <w:rsid w:val="1DAC5E21"/>
    <w:rsid w:val="1DCC2F78"/>
    <w:rsid w:val="1DE65F2F"/>
    <w:rsid w:val="1E0D2A91"/>
    <w:rsid w:val="1EB14D91"/>
    <w:rsid w:val="1FA025B1"/>
    <w:rsid w:val="1FCB4974"/>
    <w:rsid w:val="209B3EFE"/>
    <w:rsid w:val="20C92CE4"/>
    <w:rsid w:val="219F36A8"/>
    <w:rsid w:val="21F40AF0"/>
    <w:rsid w:val="21FD7D98"/>
    <w:rsid w:val="22925145"/>
    <w:rsid w:val="22C15924"/>
    <w:rsid w:val="2346744C"/>
    <w:rsid w:val="24804088"/>
    <w:rsid w:val="263C0693"/>
    <w:rsid w:val="26764558"/>
    <w:rsid w:val="271A7A2E"/>
    <w:rsid w:val="27BC580C"/>
    <w:rsid w:val="289C05D9"/>
    <w:rsid w:val="299D69A8"/>
    <w:rsid w:val="29E40341"/>
    <w:rsid w:val="2ABB66F1"/>
    <w:rsid w:val="2AD0654F"/>
    <w:rsid w:val="2ADE184B"/>
    <w:rsid w:val="2CB72433"/>
    <w:rsid w:val="2CE74E16"/>
    <w:rsid w:val="2E675C92"/>
    <w:rsid w:val="2EB259E9"/>
    <w:rsid w:val="2ED911B8"/>
    <w:rsid w:val="2EEF63D7"/>
    <w:rsid w:val="2F5C380D"/>
    <w:rsid w:val="2FF23D02"/>
    <w:rsid w:val="2FF3452F"/>
    <w:rsid w:val="302F14C5"/>
    <w:rsid w:val="30843362"/>
    <w:rsid w:val="30B76285"/>
    <w:rsid w:val="31EB6362"/>
    <w:rsid w:val="31F36020"/>
    <w:rsid w:val="323E489F"/>
    <w:rsid w:val="32D76B4A"/>
    <w:rsid w:val="331419C7"/>
    <w:rsid w:val="336B36E8"/>
    <w:rsid w:val="337149FD"/>
    <w:rsid w:val="33D42F84"/>
    <w:rsid w:val="35325928"/>
    <w:rsid w:val="36605D09"/>
    <w:rsid w:val="367F279C"/>
    <w:rsid w:val="380864D5"/>
    <w:rsid w:val="381E145A"/>
    <w:rsid w:val="38462533"/>
    <w:rsid w:val="384A2C9C"/>
    <w:rsid w:val="387515B4"/>
    <w:rsid w:val="3897206C"/>
    <w:rsid w:val="38D33B52"/>
    <w:rsid w:val="3A712BA9"/>
    <w:rsid w:val="3ACF78BA"/>
    <w:rsid w:val="3BEC1BFF"/>
    <w:rsid w:val="3C3955C9"/>
    <w:rsid w:val="3C7759D9"/>
    <w:rsid w:val="3CE671C1"/>
    <w:rsid w:val="3DCB7B9F"/>
    <w:rsid w:val="3DF500C7"/>
    <w:rsid w:val="3E0E38C3"/>
    <w:rsid w:val="3E1A7283"/>
    <w:rsid w:val="3E402A5F"/>
    <w:rsid w:val="3EA33702"/>
    <w:rsid w:val="3F0F36C7"/>
    <w:rsid w:val="3F19695F"/>
    <w:rsid w:val="3F2F3ADC"/>
    <w:rsid w:val="3F3603B6"/>
    <w:rsid w:val="40D67C3D"/>
    <w:rsid w:val="419F4AD1"/>
    <w:rsid w:val="41C23CEA"/>
    <w:rsid w:val="41E6273F"/>
    <w:rsid w:val="4271358C"/>
    <w:rsid w:val="430345BA"/>
    <w:rsid w:val="43252179"/>
    <w:rsid w:val="43ED64F0"/>
    <w:rsid w:val="44230847"/>
    <w:rsid w:val="44557349"/>
    <w:rsid w:val="44B14184"/>
    <w:rsid w:val="45E34DAF"/>
    <w:rsid w:val="46A870E2"/>
    <w:rsid w:val="47170946"/>
    <w:rsid w:val="472644DE"/>
    <w:rsid w:val="472E3BD0"/>
    <w:rsid w:val="47780AC3"/>
    <w:rsid w:val="47837F8A"/>
    <w:rsid w:val="47E250E6"/>
    <w:rsid w:val="4825344F"/>
    <w:rsid w:val="48936BE1"/>
    <w:rsid w:val="48C86ACF"/>
    <w:rsid w:val="49CC0725"/>
    <w:rsid w:val="49F04099"/>
    <w:rsid w:val="4A9F25DA"/>
    <w:rsid w:val="4B247FD7"/>
    <w:rsid w:val="4B640150"/>
    <w:rsid w:val="4B786124"/>
    <w:rsid w:val="4B791BFE"/>
    <w:rsid w:val="4B862ED3"/>
    <w:rsid w:val="4CE1714D"/>
    <w:rsid w:val="4CFD7583"/>
    <w:rsid w:val="4DC967FE"/>
    <w:rsid w:val="4E573CB7"/>
    <w:rsid w:val="4F20411A"/>
    <w:rsid w:val="4F2A2ECF"/>
    <w:rsid w:val="515F5245"/>
    <w:rsid w:val="51916A23"/>
    <w:rsid w:val="51A263D9"/>
    <w:rsid w:val="52615C9B"/>
    <w:rsid w:val="53A63EB0"/>
    <w:rsid w:val="53E044B8"/>
    <w:rsid w:val="54290643"/>
    <w:rsid w:val="548F3ED8"/>
    <w:rsid w:val="549217D3"/>
    <w:rsid w:val="54985813"/>
    <w:rsid w:val="54D91052"/>
    <w:rsid w:val="55174D28"/>
    <w:rsid w:val="551802C6"/>
    <w:rsid w:val="567B1855"/>
    <w:rsid w:val="568D4799"/>
    <w:rsid w:val="56BB4176"/>
    <w:rsid w:val="573E3964"/>
    <w:rsid w:val="579D3568"/>
    <w:rsid w:val="57EC78BB"/>
    <w:rsid w:val="58791E28"/>
    <w:rsid w:val="58AF42B9"/>
    <w:rsid w:val="58E63645"/>
    <w:rsid w:val="5989507D"/>
    <w:rsid w:val="5993263B"/>
    <w:rsid w:val="59C339B2"/>
    <w:rsid w:val="59EA1005"/>
    <w:rsid w:val="5A5F310D"/>
    <w:rsid w:val="5BBA79E8"/>
    <w:rsid w:val="5BC522F7"/>
    <w:rsid w:val="5C0049E1"/>
    <w:rsid w:val="5C7F2254"/>
    <w:rsid w:val="5CB54FB0"/>
    <w:rsid w:val="5D033151"/>
    <w:rsid w:val="5D36602B"/>
    <w:rsid w:val="5D5945C2"/>
    <w:rsid w:val="5DC02D27"/>
    <w:rsid w:val="5F033E46"/>
    <w:rsid w:val="5F5C560E"/>
    <w:rsid w:val="5F6A42C1"/>
    <w:rsid w:val="61EA2AE9"/>
    <w:rsid w:val="62913539"/>
    <w:rsid w:val="62F557C2"/>
    <w:rsid w:val="63E36016"/>
    <w:rsid w:val="647034BE"/>
    <w:rsid w:val="64AA68F2"/>
    <w:rsid w:val="65172D3B"/>
    <w:rsid w:val="653853EE"/>
    <w:rsid w:val="655B4EF2"/>
    <w:rsid w:val="66056C42"/>
    <w:rsid w:val="660D17D5"/>
    <w:rsid w:val="66772A2A"/>
    <w:rsid w:val="66C04989"/>
    <w:rsid w:val="671F22FE"/>
    <w:rsid w:val="68330544"/>
    <w:rsid w:val="699C655E"/>
    <w:rsid w:val="6A3362F7"/>
    <w:rsid w:val="6AD20E4B"/>
    <w:rsid w:val="6BA06E96"/>
    <w:rsid w:val="6C1E4E18"/>
    <w:rsid w:val="6CD47959"/>
    <w:rsid w:val="6CED23B7"/>
    <w:rsid w:val="6D3F6141"/>
    <w:rsid w:val="6D524099"/>
    <w:rsid w:val="6E0B7829"/>
    <w:rsid w:val="6E554CAC"/>
    <w:rsid w:val="6ED018EB"/>
    <w:rsid w:val="6F1E2E65"/>
    <w:rsid w:val="6F5F4CAD"/>
    <w:rsid w:val="6FCB446F"/>
    <w:rsid w:val="71440EBA"/>
    <w:rsid w:val="729967E5"/>
    <w:rsid w:val="729F2C0C"/>
    <w:rsid w:val="72D25A7A"/>
    <w:rsid w:val="72E07C4B"/>
    <w:rsid w:val="734C6415"/>
    <w:rsid w:val="735E1215"/>
    <w:rsid w:val="739F04B9"/>
    <w:rsid w:val="73B329CD"/>
    <w:rsid w:val="73EE4A67"/>
    <w:rsid w:val="74070338"/>
    <w:rsid w:val="74501802"/>
    <w:rsid w:val="74660864"/>
    <w:rsid w:val="74844CAB"/>
    <w:rsid w:val="74C37184"/>
    <w:rsid w:val="74FD3142"/>
    <w:rsid w:val="75562EB0"/>
    <w:rsid w:val="755B1A5F"/>
    <w:rsid w:val="77433E16"/>
    <w:rsid w:val="775C55AC"/>
    <w:rsid w:val="77795671"/>
    <w:rsid w:val="77945619"/>
    <w:rsid w:val="77EA5827"/>
    <w:rsid w:val="78D9389F"/>
    <w:rsid w:val="792A3F8E"/>
    <w:rsid w:val="79344625"/>
    <w:rsid w:val="7CFF66C0"/>
    <w:rsid w:val="7D3B3CF7"/>
    <w:rsid w:val="7E625296"/>
    <w:rsid w:val="7E7B3E16"/>
    <w:rsid w:val="7EEB081A"/>
    <w:rsid w:val="7FF3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60</Pages>
  <Words>48418</Words>
  <Characters>49548</Characters>
  <Lines>1</Lines>
  <Paragraphs>1</Paragraphs>
  <TotalTime>12</TotalTime>
  <ScaleCrop>false</ScaleCrop>
  <LinksUpToDate>false</LinksUpToDate>
  <CharactersWithSpaces>50218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2024-12-23T08:49:31Z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4871031F5AED4452BBD0CDC8530A4787</vt:lpwstr>
  </property>
</Properties>
</file>