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黑体" w:hAnsi="黑体" w:eastAsia="黑体"/>
          <w:sz w:val="32"/>
          <w:szCs w:val="32"/>
          <w:lang w:val="en-US" w:eastAsia="zh-CN"/>
        </w:rPr>
      </w:pPr>
      <w:bookmarkStart w:id="0" w:name="_GoBack"/>
      <w:bookmarkEnd w:id="0"/>
    </w:p>
    <w:p>
      <w:pPr>
        <w:adjustRightInd w:val="0"/>
        <w:snapToGrid w:val="0"/>
        <w:spacing w:line="570" w:lineRule="exact"/>
        <w:jc w:val="center"/>
        <w:rPr>
          <w:rFonts w:ascii="方正小标宋_GBK" w:eastAsia="方正小标宋_GBK"/>
          <w:sz w:val="44"/>
          <w:szCs w:val="44"/>
        </w:rPr>
      </w:pPr>
      <w:r>
        <w:rPr>
          <w:rFonts w:hint="eastAsia" w:ascii="方正小标宋_GBK" w:eastAsia="方正小标宋_GBK"/>
          <w:sz w:val="44"/>
          <w:szCs w:val="44"/>
          <w:lang w:eastAsia="zh-CN"/>
        </w:rPr>
        <w:t>全州县科学技术局</w:t>
      </w:r>
      <w:r>
        <w:rPr>
          <w:rFonts w:hint="eastAsia" w:ascii="方正小标宋_GBK" w:eastAsia="方正小标宋_GBK"/>
          <w:sz w:val="44"/>
          <w:szCs w:val="44"/>
        </w:rPr>
        <w:t>权责清单</w:t>
      </w:r>
    </w:p>
    <w:p>
      <w:pPr>
        <w:adjustRightInd w:val="0"/>
        <w:snapToGrid w:val="0"/>
        <w:spacing w:line="570" w:lineRule="exact"/>
        <w:jc w:val="center"/>
        <w:rPr>
          <w:rFonts w:ascii="方正小标宋_GBK" w:eastAsia="方正小标宋_GBK"/>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275"/>
        <w:gridCol w:w="2910"/>
        <w:gridCol w:w="4033"/>
        <w:gridCol w:w="3197"/>
        <w:gridCol w:w="3480"/>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9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15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4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1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2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910" w:type="dxa"/>
            <w:vAlign w:val="center"/>
          </w:tcPr>
          <w:p>
            <w:pPr>
              <w:adjustRightInd w:val="0"/>
              <w:snapToGrid w:val="0"/>
              <w:spacing w:line="300" w:lineRule="exact"/>
              <w:jc w:val="center"/>
              <w:rPr>
                <w:rFonts w:ascii="方正黑体_GBK" w:hAnsi="黑体" w:eastAsia="方正黑体_GBK" w:cs="宋体"/>
                <w:color w:val="auto"/>
                <w:kern w:val="0"/>
                <w:sz w:val="20"/>
                <w:szCs w:val="20"/>
              </w:rPr>
            </w:pPr>
            <w:r>
              <w:rPr>
                <w:rFonts w:hint="eastAsia" w:ascii="方正黑体_GBK" w:hAnsi="黑体" w:eastAsia="方正黑体_GBK" w:cs="宋体"/>
                <w:color w:val="auto"/>
                <w:kern w:val="0"/>
                <w:sz w:val="20"/>
                <w:szCs w:val="20"/>
              </w:rPr>
              <w:t>责任事项</w:t>
            </w:r>
          </w:p>
          <w:p>
            <w:pPr>
              <w:adjustRightInd w:val="0"/>
              <w:snapToGrid w:val="0"/>
              <w:spacing w:line="300" w:lineRule="exact"/>
              <w:jc w:val="center"/>
              <w:rPr>
                <w:rFonts w:ascii="方正黑体_GBK" w:hAnsi="黑体" w:eastAsia="方正黑体_GBK" w:cs="宋体"/>
                <w:color w:val="auto"/>
                <w:kern w:val="0"/>
                <w:sz w:val="20"/>
                <w:szCs w:val="20"/>
              </w:rPr>
            </w:pPr>
            <w:r>
              <w:rPr>
                <w:rFonts w:hint="eastAsia" w:ascii="方正黑体_GBK" w:hAnsi="黑体" w:eastAsia="方正黑体_GBK" w:cs="宋体"/>
                <w:color w:val="auto"/>
                <w:kern w:val="0"/>
                <w:sz w:val="20"/>
                <w:szCs w:val="20"/>
              </w:rPr>
              <w:t>(明确责任主体)</w:t>
            </w:r>
          </w:p>
        </w:tc>
        <w:tc>
          <w:tcPr>
            <w:tcW w:w="4033" w:type="dxa"/>
            <w:vAlign w:val="center"/>
          </w:tcPr>
          <w:p>
            <w:pPr>
              <w:adjustRightInd w:val="0"/>
              <w:snapToGrid w:val="0"/>
              <w:spacing w:line="300" w:lineRule="exact"/>
              <w:jc w:val="center"/>
              <w:rPr>
                <w:rFonts w:ascii="方正黑体_GBK" w:hAnsi="黑体" w:eastAsia="方正黑体_GBK" w:cs="宋体"/>
                <w:color w:val="auto"/>
                <w:kern w:val="0"/>
                <w:sz w:val="20"/>
                <w:szCs w:val="20"/>
              </w:rPr>
            </w:pPr>
            <w:r>
              <w:rPr>
                <w:rFonts w:hint="eastAsia" w:ascii="方正黑体_GBK" w:hAnsi="黑体" w:eastAsia="方正黑体_GBK" w:cs="宋体"/>
                <w:color w:val="auto"/>
                <w:kern w:val="0"/>
                <w:sz w:val="20"/>
                <w:szCs w:val="20"/>
              </w:rPr>
              <w:t>责任事项依据</w:t>
            </w:r>
          </w:p>
        </w:tc>
        <w:tc>
          <w:tcPr>
            <w:tcW w:w="3197" w:type="dxa"/>
            <w:vAlign w:val="center"/>
          </w:tcPr>
          <w:p>
            <w:pPr>
              <w:adjustRightInd w:val="0"/>
              <w:snapToGrid w:val="0"/>
              <w:spacing w:line="300" w:lineRule="exact"/>
              <w:jc w:val="center"/>
              <w:rPr>
                <w:rFonts w:ascii="方正黑体_GBK" w:hAnsi="黑体" w:eastAsia="方正黑体_GBK" w:cs="宋体"/>
                <w:color w:val="auto"/>
                <w:kern w:val="0"/>
                <w:sz w:val="20"/>
                <w:szCs w:val="20"/>
              </w:rPr>
            </w:pPr>
            <w:r>
              <w:rPr>
                <w:rFonts w:hint="eastAsia" w:ascii="方正黑体_GBK" w:hAnsi="黑体" w:eastAsia="方正黑体_GBK" w:cs="宋体"/>
                <w:color w:val="auto"/>
                <w:kern w:val="0"/>
                <w:sz w:val="20"/>
                <w:szCs w:val="20"/>
              </w:rPr>
              <w:t>追责情形（明确内部追责主体）</w:t>
            </w:r>
          </w:p>
        </w:tc>
        <w:tc>
          <w:tcPr>
            <w:tcW w:w="348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9" w:hRule="atLeast"/>
          <w:jc w:val="center"/>
        </w:trPr>
        <w:tc>
          <w:tcPr>
            <w:tcW w:w="406"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08"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其他行政权力</w:t>
            </w:r>
          </w:p>
        </w:tc>
        <w:tc>
          <w:tcPr>
            <w:tcW w:w="504"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科技计划项目审批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全州县科学技术局</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科技管理股</w:t>
            </w:r>
          </w:p>
        </w:tc>
        <w:tc>
          <w:tcPr>
            <w:tcW w:w="3275"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法律】《中华人民共和国科学技术进步法》第十二条：国家建立科学技术进步工作协调机制，协调国家科学技术基金和国家科学技术计划项目的设立及相互衔接，协调军用与民用科学技术资源配置、科学技术研究开发机构的整合以及科学技术研究开发与高等教育、产业发展相结合等重大事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2.【地方性法规】《广西壮族自治区科学技术进步条例》（2013年7月19日广西壮族自治区第十二届人民代表大会常务委员会第五次会议通过）第十一条：县级以上人民政府科学技术行政部门应当确定并组织实施科学研究与技术开发计划，支持科学技术研究开发机构、高等学校、企业事业单位和科学技术人员开展科学研究和技术开发活动。</w:t>
            </w:r>
          </w:p>
        </w:tc>
        <w:tc>
          <w:tcPr>
            <w:tcW w:w="2910"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1.受理责任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：通知依法依规应当提交的材料；一次性告知补正材料；依法受理或不予受理（不予受理应当告知理由）。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2.评估评审责任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：对申报项目的材料进行汇总、整理、分类；组织专家评审；提出评审意见。</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3.决定责任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：会议审议立项方案，作出同意或不同意立项的决定。</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4.送达责任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：经公示无异议后制发相关文件，按时办结告知。</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5.监管责任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：设区市科技局对项目评审活动进行监督检查。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6. 其他法律法规规定的应该履行的责任</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eastAsia="zh-CN"/>
              </w:rPr>
              <w:t>科技管理股</w:t>
            </w:r>
            <w:r>
              <w:rPr>
                <w:rFonts w:hint="eastAsia" w:ascii="仿宋_GB2312" w:hAnsi="仿宋_GB2312" w:eastAsia="仿宋_GB2312" w:cs="仿宋_GB2312"/>
                <w:snapToGrid w:val="0"/>
                <w:color w:val="000000"/>
                <w:sz w:val="20"/>
                <w:szCs w:val="20"/>
                <w:lang w:eastAsia="zh-CN"/>
              </w:rPr>
              <w:t>）</w:t>
            </w:r>
            <w:r>
              <w:rPr>
                <w:rFonts w:hint="eastAsia" w:ascii="仿宋_GB2312" w:hAnsi="仿宋_GB2312" w:eastAsia="仿宋_GB2312" w:cs="仿宋_GB2312"/>
                <w:snapToGrid w:val="0"/>
                <w:color w:val="000000"/>
                <w:sz w:val="20"/>
                <w:szCs w:val="20"/>
              </w:rPr>
              <w:t>。</w:t>
            </w:r>
          </w:p>
        </w:tc>
        <w:tc>
          <w:tcPr>
            <w:tcW w:w="4033"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1.【规范性文件】《广西科技计划项目立项评审管理办法（试行）》（桂科政字〔2018〕174号） 第三十六条： 各市、县（市）科技行政主管部门可参考本办法组织开展科技计划项目评审工作。</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3.同1</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4.同1</w:t>
            </w:r>
          </w:p>
          <w:p>
            <w:pPr>
              <w:widowControl/>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3197" w:type="dxa"/>
            <w:vAlign w:val="center"/>
          </w:tcPr>
          <w:p>
            <w:pPr>
              <w:adjustRightInd w:val="0"/>
              <w:snapToGrid w:val="0"/>
              <w:spacing w:line="280" w:lineRule="exact"/>
              <w:ind w:firstLine="200" w:firstLineChars="1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有下列情况之一的，县（区）科技局视情况责令改正、给予警告、通报批评；对其非法收受财物的按国家有关规定没收所收受的财物；构成违纪违法的由有关部门依照相关纪律规定及法律法规处理。</w:t>
            </w:r>
          </w:p>
          <w:p>
            <w:pPr>
              <w:adjustRightInd w:val="0"/>
              <w:snapToGrid w:val="0"/>
              <w:spacing w:line="280" w:lineRule="exact"/>
              <w:ind w:firstLine="200" w:firstLineChars="1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1.违反《广西科技计划项目立项评审管理办法（试行）》（桂科政字〔2018〕174号）第二十一条；</w:t>
            </w:r>
            <w:r>
              <w:rPr>
                <w:rFonts w:hint="eastAsia" w:ascii="仿宋_GB2312" w:hAnsi="仿宋_GB2312" w:eastAsia="仿宋_GB2312" w:cs="仿宋_GB2312"/>
                <w:kern w:val="0"/>
                <w:sz w:val="20"/>
                <w:szCs w:val="20"/>
                <w:lang w:eastAsia="zh-CN"/>
              </w:rPr>
              <w:t>（中共全州县科学技术局党组）</w:t>
            </w:r>
          </w:p>
          <w:p>
            <w:pPr>
              <w:adjustRightInd w:val="0"/>
              <w:snapToGrid w:val="0"/>
              <w:spacing w:line="280" w:lineRule="exact"/>
              <w:ind w:firstLine="200" w:firstLineChars="1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2.弄虚作假，与项目申报单位串通编造虚假报告，或者对重大问题隐匿不报、徇私舞弊、滥用职权或玩忽职守。</w:t>
            </w:r>
            <w:r>
              <w:rPr>
                <w:rFonts w:hint="eastAsia" w:ascii="仿宋_GB2312" w:hAnsi="仿宋_GB2312" w:eastAsia="仿宋_GB2312" w:cs="仿宋_GB2312"/>
                <w:kern w:val="0"/>
                <w:sz w:val="20"/>
                <w:szCs w:val="20"/>
                <w:lang w:eastAsia="zh-CN"/>
              </w:rPr>
              <w:t>（全州县纪委监委驻县市场监督管理局纪检监察组）</w:t>
            </w:r>
          </w:p>
        </w:tc>
        <w:tc>
          <w:tcPr>
            <w:tcW w:w="348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1.</w:t>
            </w:r>
            <w:r>
              <w:rPr>
                <w:rFonts w:hint="eastAsia" w:ascii="仿宋_GB2312" w:hAnsi="仿宋_GB2312" w:eastAsia="仿宋_GB2312" w:cs="仿宋_GB2312"/>
                <w:kern w:val="0"/>
                <w:sz w:val="20"/>
                <w:szCs w:val="20"/>
              </w:rPr>
              <w:t>【规范性文件】《广西科技计划项目立项评审管理办法（试行）》（桂科政字〔2018〕174号）第三十六条各市、县（市）科技行政主管部门可参考本办法组织开展科技计划项目评审工作。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w:t>
            </w:r>
          </w:p>
        </w:tc>
        <w:tc>
          <w:tcPr>
            <w:tcW w:w="53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46D5BE8"/>
    <w:rsid w:val="19FD3E97"/>
    <w:rsid w:val="3897206C"/>
    <w:rsid w:val="3FFD41BA"/>
    <w:rsid w:val="43252179"/>
    <w:rsid w:val="57D64A0F"/>
    <w:rsid w:val="66C04989"/>
    <w:rsid w:val="755B1A5F"/>
    <w:rsid w:val="7E9D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128</Characters>
  <Lines>1</Lines>
  <Paragraphs>1</Paragraphs>
  <TotalTime>3</TotalTime>
  <ScaleCrop>false</ScaleCrop>
  <LinksUpToDate>false</LinksUpToDate>
  <CharactersWithSpaces>149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Administrator</cp:lastModifiedBy>
  <cp:lastPrinted>2022-06-29T03:55:23Z</cp:lastPrinted>
  <dcterms:modified xsi:type="dcterms:W3CDTF">2022-06-29T07:48:44Z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CFFCD646453B459B8EFFC0757CC9A9A9</vt:lpwstr>
  </property>
</Properties>
</file>