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20" w:lineRule="exact"/>
        <w:jc w:val="center"/>
        <w:rPr>
          <w:rFonts w:hint="eastAsia" w:ascii="方正小标宋简体" w:hAnsi="方正大标宋_GBK" w:eastAsia="方正小标宋简体" w:cs="方正大标宋简体"/>
          <w:color w:val="FF0000"/>
          <w:sz w:val="84"/>
          <w:szCs w:val="74"/>
          <w:lang w:eastAsia="zh-CN"/>
        </w:rPr>
      </w:pPr>
      <w:r>
        <w:rPr>
          <w:rFonts w:hint="eastAsia" w:ascii="方正小标宋简体" w:hAnsi="方正大标宋_GBK" w:eastAsia="方正小标宋简体" w:cs="方正大标宋简体"/>
          <w:color w:val="FF0000"/>
          <w:sz w:val="84"/>
          <w:szCs w:val="74"/>
          <w:lang w:eastAsia="zh-CN"/>
        </w:rPr>
        <w:t>全</w:t>
      </w:r>
      <w:r>
        <w:rPr>
          <w:rFonts w:hint="eastAsia" w:ascii="方正小标宋简体" w:hAnsi="方正大标宋_GBK" w:eastAsia="方正小标宋简体" w:cs="方正大标宋简体"/>
          <w:color w:val="FF0000"/>
          <w:sz w:val="84"/>
          <w:szCs w:val="74"/>
          <w:lang w:val="en-US" w:eastAsia="zh-CN"/>
        </w:rPr>
        <w:t xml:space="preserve">  </w:t>
      </w:r>
      <w:r>
        <w:rPr>
          <w:rFonts w:hint="eastAsia" w:ascii="方正小标宋简体" w:hAnsi="方正大标宋_GBK" w:eastAsia="方正小标宋简体" w:cs="方正大标宋简体"/>
          <w:color w:val="FF0000"/>
          <w:sz w:val="84"/>
          <w:szCs w:val="74"/>
          <w:lang w:eastAsia="zh-CN"/>
        </w:rPr>
        <w:t>州</w:t>
      </w:r>
      <w:r>
        <w:rPr>
          <w:rFonts w:hint="eastAsia" w:ascii="方正小标宋简体" w:hAnsi="方正大标宋_GBK" w:eastAsia="方正小标宋简体" w:cs="方正大标宋简体"/>
          <w:color w:val="FF0000"/>
          <w:sz w:val="84"/>
          <w:szCs w:val="74"/>
          <w:lang w:val="en-US" w:eastAsia="zh-CN"/>
        </w:rPr>
        <w:t xml:space="preserve">  </w:t>
      </w:r>
      <w:r>
        <w:rPr>
          <w:rFonts w:hint="eastAsia" w:ascii="方正小标宋简体" w:hAnsi="方正大标宋_GBK" w:eastAsia="方正小标宋简体" w:cs="方正大标宋简体"/>
          <w:color w:val="FF0000"/>
          <w:sz w:val="84"/>
          <w:szCs w:val="74"/>
          <w:lang w:eastAsia="zh-CN"/>
        </w:rPr>
        <w:t>县</w:t>
      </w:r>
    </w:p>
    <w:p>
      <w:pPr>
        <w:spacing w:line="1120" w:lineRule="exact"/>
        <w:rPr>
          <w:rFonts w:ascii="方正小标宋简体" w:hAnsi="方正大标宋_GBK" w:eastAsia="方正小标宋简体" w:cs="方正大标宋简体"/>
          <w:color w:val="FF0000"/>
          <w:spacing w:val="-56"/>
          <w:sz w:val="84"/>
          <w:szCs w:val="74"/>
        </w:rPr>
      </w:pPr>
      <w:r>
        <w:rPr>
          <w:rFonts w:hint="eastAsia" w:ascii="方正小标宋简体" w:hAnsi="方正大标宋_GBK" w:eastAsia="方正小标宋简体" w:cs="方正大标宋简体"/>
          <w:color w:val="FF0000"/>
          <w:spacing w:val="-56"/>
          <w:sz w:val="84"/>
          <w:szCs w:val="74"/>
        </w:rPr>
        <w:t>安全生产委员会办公室文件</w:t>
      </w:r>
    </w:p>
    <w:p>
      <w:pPr>
        <w:widowControl/>
        <w:jc w:val="center"/>
        <w:rPr>
          <w:rFonts w:ascii="仿宋" w:hAnsi="仿宋" w:eastAsia="仿宋"/>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400685</wp:posOffset>
                </wp:positionV>
                <wp:extent cx="5615940" cy="635"/>
                <wp:effectExtent l="0" t="15875" r="3810" b="21590"/>
                <wp:wrapNone/>
                <wp:docPr id="1" name="直线 2"/>
                <wp:cNvGraphicFramePr/>
                <a:graphic xmlns:a="http://schemas.openxmlformats.org/drawingml/2006/main">
                  <a:graphicData uri="http://schemas.microsoft.com/office/word/2010/wordprocessingShape">
                    <wps:wsp>
                      <wps:cNvCnPr/>
                      <wps:spPr>
                        <a:xfrm>
                          <a:off x="0" y="0"/>
                          <a:ext cx="5615940" cy="63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31.55pt;height:0.05pt;width:442.2pt;z-index:251659264;mso-width-relative:page;mso-height-relative:page;" filled="f" stroked="t" coordsize="21600,21600" o:gfxdata="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0H&#10;cEDXAAAABgEAAA8AAAAAAAAAAQAgAAAAIgAAAGRycy9kb3ducmV2LnhtbFBLAQIUABQAAAAIAIdO&#10;4kA4UwmA6wEAAN4DAAAOAAAAAAAAAAEAIAAAACYBAABkcnMvZTJvRG9jLnhtbFBLBQYAAAAABgAG&#10;AFkBAACDBQAAAAA=&#10;">
                <v:fill on="f" focussize="0,0"/>
                <v:stroke weight="2.5pt" color="#FF0000" joinstyle="round"/>
                <v:imagedata o:title=""/>
                <o:lock v:ext="edit" aspectratio="f"/>
              </v:line>
            </w:pict>
          </mc:Fallback>
        </mc:AlternateContent>
      </w:r>
      <w:r>
        <w:rPr>
          <w:rFonts w:hint="eastAsia" w:ascii="仿宋_GB2312" w:hAnsi="仿宋_GB2312" w:eastAsia="仿宋_GB2312" w:cs="仿宋_GB2312"/>
          <w:sz w:val="32"/>
          <w:szCs w:val="32"/>
          <w:lang w:eastAsia="zh-CN"/>
        </w:rPr>
        <w:t>全</w:t>
      </w:r>
      <w:r>
        <w:rPr>
          <w:rFonts w:hint="eastAsia" w:ascii="仿宋_GB2312" w:hAnsi="仿宋_GB2312" w:eastAsia="仿宋_GB2312" w:cs="仿宋_GB2312"/>
          <w:sz w:val="32"/>
          <w:szCs w:val="32"/>
        </w:rPr>
        <w:t>安委办〔2023〕</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号　</w:t>
      </w:r>
      <w:r>
        <w:rPr>
          <w:rFonts w:hint="eastAsia" w:ascii="仿宋" w:hAnsi="仿宋" w:eastAsia="仿宋"/>
          <w:sz w:val="32"/>
          <w:szCs w:val="32"/>
        </w:rPr>
        <w:t>　　　　　　　</w:t>
      </w:r>
      <w:r>
        <w:rPr>
          <w:rFonts w:hint="eastAsia" w:ascii="方正仿宋_GBK" w:hAnsi="方正仿宋_GBK" w:eastAsia="方正仿宋_GBK" w:cs="方正仿宋_GBK"/>
          <w:sz w:val="32"/>
          <w:szCs w:val="32"/>
        </w:rPr>
        <w:t>　</w:t>
      </w:r>
    </w:p>
    <w:p>
      <w:pPr>
        <w:spacing w:line="560" w:lineRule="exact"/>
        <w:rPr>
          <w:rFonts w:ascii="方正小标宋简体" w:hAnsi="方正小标宋简体" w:eastAsia="方正小标宋简体" w:cs="方正小标宋简体"/>
          <w:bCs/>
          <w:sz w:val="44"/>
        </w:rPr>
      </w:pP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全州县</w:t>
      </w:r>
      <w:r>
        <w:rPr>
          <w:rFonts w:hint="eastAsia" w:ascii="方正小标宋简体" w:hAnsi="方正小标宋简体" w:eastAsia="方正小标宋简体" w:cs="方正小标宋简体"/>
          <w:bCs/>
          <w:sz w:val="44"/>
          <w:szCs w:val="44"/>
        </w:rPr>
        <w:t>安全生产委员会办公室关于印发</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《2023年全</w:t>
      </w:r>
      <w:r>
        <w:rPr>
          <w:rFonts w:hint="eastAsia" w:ascii="方正小标宋简体" w:hAnsi="方正小标宋简体" w:eastAsia="方正小标宋简体" w:cs="方正小标宋简体"/>
          <w:bCs/>
          <w:sz w:val="44"/>
          <w:szCs w:val="44"/>
          <w:lang w:eastAsia="zh-CN"/>
        </w:rPr>
        <w:t>县</w:t>
      </w:r>
      <w:r>
        <w:rPr>
          <w:rFonts w:hint="eastAsia" w:ascii="方正小标宋简体" w:hAnsi="方正小标宋简体" w:eastAsia="方正小标宋简体" w:cs="方正小标宋简体"/>
          <w:bCs/>
          <w:sz w:val="44"/>
          <w:szCs w:val="44"/>
        </w:rPr>
        <w:t>“安全生产月”活动实施方案》</w:t>
      </w:r>
    </w:p>
    <w:p>
      <w:pPr>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的通知</w:t>
      </w:r>
    </w:p>
    <w:p>
      <w:pPr>
        <w:spacing w:line="590" w:lineRule="exact"/>
        <w:rPr>
          <w:rFonts w:ascii="仿宋_GB2312" w:eastAsia="仿宋_GB2312"/>
        </w:rPr>
      </w:pPr>
      <w:r>
        <w:rPr>
          <w:rFonts w:hint="eastAsia" w:ascii="仿宋_GB2312" w:eastAsia="仿宋_GB2312"/>
        </w:rPr>
        <w:t xml:space="preserve"> </w:t>
      </w:r>
    </w:p>
    <w:p>
      <w:pPr>
        <w:pStyle w:val="7"/>
        <w:widowControl/>
        <w:spacing w:line="560" w:lineRule="exac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乡（镇）人民政府</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安委会各成员单位，有关企业：</w:t>
      </w:r>
    </w:p>
    <w:p>
      <w:pPr>
        <w:widowControl/>
        <w:spacing w:line="560" w:lineRule="exact"/>
        <w:ind w:firstLine="6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现将《2023年全</w:t>
      </w:r>
      <w:r>
        <w:rPr>
          <w:rFonts w:hint="eastAsia" w:ascii="仿宋_GB2312" w:hAnsi="仿宋_GB2312" w:eastAsia="仿宋_GB2312" w:cs="仿宋_GB2312"/>
          <w:color w:val="000000"/>
          <w:kern w:val="0"/>
          <w:sz w:val="32"/>
          <w:szCs w:val="32"/>
          <w:lang w:eastAsia="zh-CN"/>
        </w:rPr>
        <w:t>县</w:t>
      </w:r>
      <w:r>
        <w:rPr>
          <w:rFonts w:hint="eastAsia" w:ascii="仿宋_GB2312" w:hAnsi="仿宋_GB2312" w:eastAsia="仿宋_GB2312" w:cs="仿宋_GB2312"/>
          <w:color w:val="000000"/>
          <w:kern w:val="0"/>
          <w:sz w:val="32"/>
          <w:szCs w:val="32"/>
        </w:rPr>
        <w:t>“安全生产月”活动实施方案》印发给你们，</w:t>
      </w:r>
      <w:r>
        <w:rPr>
          <w:rFonts w:hint="eastAsia" w:ascii="仿宋_GB2312" w:hAnsi="仿宋_GB2312" w:eastAsia="仿宋_GB2312" w:cs="仿宋_GB2312"/>
          <w:color w:val="000000"/>
          <w:sz w:val="32"/>
          <w:szCs w:val="32"/>
        </w:rPr>
        <w:t>请结合实际认真贯彻落实。</w:t>
      </w:r>
    </w:p>
    <w:p>
      <w:pPr>
        <w:pStyle w:val="2"/>
        <w:spacing w:line="560" w:lineRule="exact"/>
        <w:ind w:firstLine="620"/>
      </w:pPr>
    </w:p>
    <w:p>
      <w:pPr>
        <w:pStyle w:val="7"/>
        <w:widowControl/>
        <w:spacing w:line="560" w:lineRule="exact"/>
        <w:ind w:firstLine="640"/>
        <w:jc w:val="center"/>
        <w:rPr>
          <w:rFonts w:ascii="仿宋_GB2312" w:eastAsia="仿宋_GB2312" w:cs="仿宋_GB2312"/>
          <w:color w:val="000000"/>
          <w:sz w:val="31"/>
          <w:szCs w:val="31"/>
        </w:rPr>
      </w:pPr>
      <w:r>
        <w:rPr>
          <w:rFonts w:ascii="仿宋_GB2312" w:eastAsia="仿宋_GB2312" w:cs="仿宋_GB2312"/>
          <w:color w:val="000000"/>
          <w:sz w:val="31"/>
          <w:szCs w:val="31"/>
        </w:rPr>
        <w:t xml:space="preserve">    </w:t>
      </w:r>
    </w:p>
    <w:p>
      <w:pPr>
        <w:pStyle w:val="7"/>
        <w:widowControl/>
        <w:spacing w:line="560" w:lineRule="exact"/>
        <w:ind w:firstLine="640"/>
        <w:jc w:val="center"/>
        <w:rPr>
          <w:rFonts w:hint="default" w:ascii="仿宋_GB2312" w:eastAsia="仿宋_GB2312" w:cs="仿宋_GB2312"/>
          <w:color w:val="000000"/>
          <w:sz w:val="31"/>
          <w:szCs w:val="31"/>
        </w:rPr>
      </w:pPr>
      <w:r>
        <w:rPr>
          <w:rFonts w:ascii="仿宋_GB2312" w:eastAsia="仿宋_GB2312" w:cs="仿宋_GB2312"/>
          <w:color w:val="000000"/>
          <w:sz w:val="31"/>
          <w:szCs w:val="31"/>
        </w:rPr>
        <w:t xml:space="preserve"> </w:t>
      </w:r>
    </w:p>
    <w:p>
      <w:pPr>
        <w:pStyle w:val="7"/>
        <w:widowControl/>
        <w:spacing w:line="560" w:lineRule="exact"/>
        <w:ind w:firstLine="640"/>
        <w:jc w:val="center"/>
        <w:rPr>
          <w:rFonts w:hint="default" w:ascii="仿宋_GB2312" w:eastAsia="仿宋_GB2312" w:cs="仿宋_GB2312"/>
          <w:color w:val="000000"/>
          <w:sz w:val="31"/>
          <w:szCs w:val="31"/>
        </w:rPr>
      </w:pPr>
      <w:r>
        <w:rPr>
          <w:rFonts w:ascii="仿宋_GB2312" w:eastAsia="仿宋_GB2312" w:cs="仿宋_GB2312"/>
          <w:color w:val="000000"/>
          <w:sz w:val="31"/>
          <w:szCs w:val="31"/>
        </w:rPr>
        <w:t xml:space="preserve">                    </w:t>
      </w:r>
      <w:r>
        <w:rPr>
          <w:rFonts w:hint="eastAsia" w:ascii="仿宋_GB2312" w:eastAsia="仿宋_GB2312" w:cs="仿宋_GB2312"/>
          <w:color w:val="000000"/>
          <w:sz w:val="31"/>
          <w:szCs w:val="31"/>
          <w:lang w:eastAsia="zh-CN"/>
        </w:rPr>
        <w:t>全州县</w:t>
      </w:r>
      <w:r>
        <w:rPr>
          <w:rFonts w:ascii="仿宋_GB2312" w:eastAsia="仿宋_GB2312" w:cs="仿宋_GB2312"/>
          <w:color w:val="000000"/>
          <w:sz w:val="31"/>
          <w:szCs w:val="31"/>
        </w:rPr>
        <w:t>安全生产委员会办公室</w:t>
      </w:r>
    </w:p>
    <w:p>
      <w:pPr>
        <w:pStyle w:val="7"/>
        <w:widowControl/>
        <w:spacing w:line="560" w:lineRule="exact"/>
        <w:ind w:firstLine="5280" w:firstLineChars="165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2023年5月2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日</w:t>
      </w:r>
    </w:p>
    <w:p>
      <w:pPr>
        <w:spacing w:line="590" w:lineRule="exact"/>
        <w:jc w:val="center"/>
        <w:rPr>
          <w:rFonts w:hint="eastAsia" w:ascii="方正小标宋简体" w:hAnsi="方正小标宋简体" w:eastAsia="方正小标宋简体" w:cs="方正小标宋简体"/>
          <w:color w:val="000000"/>
          <w:sz w:val="44"/>
          <w:szCs w:val="44"/>
        </w:rPr>
      </w:pPr>
    </w:p>
    <w:p>
      <w:pPr>
        <w:spacing w:line="590" w:lineRule="exact"/>
        <w:jc w:val="center"/>
        <w:rPr>
          <w:rFonts w:hint="eastAsia" w:ascii="方正小标宋简体" w:hAnsi="方正小标宋简体" w:eastAsia="方正小标宋简体" w:cs="方正小标宋简体"/>
          <w:color w:val="000000"/>
          <w:sz w:val="44"/>
          <w:szCs w:val="44"/>
        </w:rPr>
      </w:pPr>
    </w:p>
    <w:p>
      <w:pPr>
        <w:spacing w:line="540" w:lineRule="exact"/>
        <w:jc w:val="center"/>
        <w:rPr>
          <w:rFonts w:hint="eastAsia" w:ascii="方正小标宋简体" w:hAnsi="方正小标宋简体" w:eastAsia="方正小标宋简体" w:cs="方正小标宋简体"/>
          <w:color w:val="000000"/>
          <w:sz w:val="44"/>
          <w:szCs w:val="44"/>
        </w:rPr>
      </w:pPr>
    </w:p>
    <w:p>
      <w:pPr>
        <w:spacing w:line="540" w:lineRule="exact"/>
        <w:jc w:val="both"/>
        <w:rPr>
          <w:rFonts w:hint="eastAsia" w:ascii="方正小标宋简体" w:hAnsi="方正小标宋简体" w:eastAsia="方正小标宋简体" w:cs="方正小标宋简体"/>
          <w:color w:val="000000"/>
          <w:sz w:val="44"/>
          <w:szCs w:val="44"/>
        </w:rPr>
      </w:pPr>
    </w:p>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rPr>
        <w:t>2023年全</w:t>
      </w:r>
      <w:r>
        <w:rPr>
          <w:rFonts w:hint="eastAsia" w:ascii="方正小标宋简体" w:hAnsi="方正小标宋简体" w:eastAsia="方正小标宋简体" w:cs="方正小标宋简体"/>
          <w:color w:val="000000"/>
          <w:sz w:val="44"/>
          <w:szCs w:val="44"/>
          <w:lang w:eastAsia="zh-CN"/>
        </w:rPr>
        <w:t>县</w:t>
      </w:r>
      <w:r>
        <w:rPr>
          <w:rFonts w:hint="eastAsia" w:ascii="方正小标宋简体" w:hAnsi="方正小标宋简体" w:eastAsia="方正小标宋简体" w:cs="方正小标宋简体"/>
          <w:color w:val="000000"/>
          <w:sz w:val="44"/>
          <w:szCs w:val="44"/>
        </w:rPr>
        <w:t>“安全生产月”活动实施方案</w:t>
      </w:r>
    </w:p>
    <w:p>
      <w:pPr>
        <w:spacing w:line="540" w:lineRule="exact"/>
        <w:rPr>
          <w:rFonts w:ascii="仿宋_GB2312" w:eastAsia="仿宋_GB2312"/>
        </w:rPr>
      </w:pPr>
      <w:r>
        <w:rPr>
          <w:rFonts w:hint="eastAsia" w:ascii="仿宋_GB2312" w:eastAsia="仿宋_GB2312"/>
        </w:rPr>
        <w:t xml:space="preserve"> </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一、总体思路</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宣传贯彻党的二十大精神和习近平总书记关于安全生产重要论述，坚持人民至上、生命至上，坚持统筹发展和安全，坚持安全第一、预防为主，以主题教育为总抓手，持续树牢安全红线意识，推动安全生产责任落实，切实提高风险隐患排查整改质量，切实提升发现问题和解决问题的强烈意愿和能力水平，以人人讲安全、个个会应急为重点策划活动内容，以线上线下活动相结合的形式开展第22个“安全生产月”活动，进一步提升全社会安全意识和避险逃生能力。</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二、活动主题</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人人讲安全、个个会应急。</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三、活动时间</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“安全生产月”活动时间为</w:t>
      </w:r>
      <w:r>
        <w:rPr>
          <w:rFonts w:ascii="Times New Roman" w:hAnsi="Times New Roman" w:eastAsia="仿宋_GB2312"/>
          <w:sz w:val="32"/>
          <w:szCs w:val="32"/>
        </w:rPr>
        <w:t>6</w:t>
      </w:r>
      <w:r>
        <w:rPr>
          <w:rFonts w:hint="eastAsia" w:ascii="仿宋_GB2312" w:hAnsi="仿宋_GB2312" w:eastAsia="仿宋_GB2312" w:cs="仿宋_GB2312"/>
          <w:sz w:val="32"/>
          <w:szCs w:val="32"/>
        </w:rPr>
        <w:t>月。</w:t>
      </w:r>
    </w:p>
    <w:p>
      <w:pPr>
        <w:pStyle w:val="7"/>
        <w:widowControl/>
        <w:numPr>
          <w:ilvl w:val="0"/>
          <w:numId w:val="1"/>
        </w:numPr>
        <w:spacing w:line="540" w:lineRule="exact"/>
        <w:ind w:firstLine="640" w:firstLineChars="200"/>
        <w:rPr>
          <w:rFonts w:hint="default" w:ascii="黑体" w:hAnsi="黑体" w:eastAsia="黑体" w:cs="黑体"/>
          <w:color w:val="000000"/>
          <w:sz w:val="32"/>
          <w:szCs w:val="32"/>
        </w:rPr>
      </w:pPr>
      <w:r>
        <w:rPr>
          <w:rFonts w:ascii="黑体" w:hAnsi="黑体" w:eastAsia="黑体" w:cs="黑体"/>
          <w:color w:val="000000"/>
          <w:sz w:val="32"/>
          <w:szCs w:val="32"/>
        </w:rPr>
        <w:t>启动仪式</w:t>
      </w:r>
    </w:p>
    <w:p>
      <w:pPr>
        <w:pStyle w:val="7"/>
        <w:widowControl/>
        <w:spacing w:line="540" w:lineRule="exact"/>
        <w:ind w:firstLine="640" w:firstLineChars="200"/>
      </w:pPr>
      <w:r>
        <w:rPr>
          <w:rFonts w:ascii="仿宋_GB2312" w:hAnsi="仿宋_GB2312" w:eastAsia="仿宋_GB2312" w:cs="仿宋_GB2312"/>
          <w:color w:val="000000"/>
          <w:sz w:val="32"/>
          <w:szCs w:val="32"/>
        </w:rPr>
        <w:t>应急管理部、自治区应急厅将于</w:t>
      </w:r>
      <w:r>
        <w:rPr>
          <w:rFonts w:hint="default" w:ascii="Times New Roman" w:hAnsi="Times New Roman" w:eastAsia="仿宋_GB2312"/>
          <w:color w:val="000000"/>
          <w:sz w:val="32"/>
          <w:szCs w:val="32"/>
        </w:rPr>
        <w:t>5</w:t>
      </w:r>
      <w:r>
        <w:rPr>
          <w:rFonts w:hint="default" w:ascii="Times New Roman" w:hAnsi="仿宋_GB2312" w:eastAsia="仿宋_GB2312"/>
          <w:color w:val="000000"/>
          <w:sz w:val="32"/>
          <w:szCs w:val="32"/>
        </w:rPr>
        <w:t>月</w:t>
      </w:r>
      <w:r>
        <w:rPr>
          <w:rFonts w:hint="default" w:ascii="Times New Roman" w:hAnsi="Times New Roman" w:eastAsia="仿宋_GB2312"/>
          <w:color w:val="000000"/>
          <w:sz w:val="32"/>
          <w:szCs w:val="32"/>
        </w:rPr>
        <w:t>31</w:t>
      </w:r>
      <w:r>
        <w:rPr>
          <w:rFonts w:ascii="仿宋_GB2312" w:hAnsi="仿宋_GB2312" w:eastAsia="仿宋_GB2312" w:cs="仿宋_GB2312"/>
          <w:color w:val="000000"/>
          <w:sz w:val="32"/>
          <w:szCs w:val="32"/>
        </w:rPr>
        <w:t>日举办“安全生产月”启动仪式，市、县应急局设分会场，市、县安委会及有关成员单位负责同志参会。活动采取视频会议和在线网络视频直播的方式进行，</w:t>
      </w:r>
      <w:r>
        <w:rPr>
          <w:rFonts w:hint="eastAsia" w:ascii="仿宋_GB2312" w:hAnsi="仿宋_GB2312" w:eastAsia="仿宋_GB2312" w:cs="仿宋_GB2312"/>
          <w:color w:val="000000"/>
          <w:sz w:val="32"/>
          <w:szCs w:val="32"/>
          <w:lang w:eastAsia="zh-CN"/>
        </w:rPr>
        <w:t>我县</w:t>
      </w:r>
      <w:r>
        <w:rPr>
          <w:rFonts w:ascii="仿宋_GB2312" w:hAnsi="仿宋_GB2312" w:eastAsia="仿宋_GB2312" w:cs="仿宋_GB2312"/>
          <w:color w:val="000000"/>
          <w:sz w:val="32"/>
          <w:szCs w:val="32"/>
        </w:rPr>
        <w:t>分会场设在</w:t>
      </w:r>
      <w:r>
        <w:rPr>
          <w:rFonts w:hint="eastAsia" w:ascii="仿宋_GB2312" w:hAnsi="仿宋_GB2312" w:eastAsia="仿宋_GB2312" w:cs="仿宋_GB2312"/>
          <w:color w:val="000000"/>
          <w:sz w:val="32"/>
          <w:szCs w:val="32"/>
          <w:lang w:eastAsia="zh-CN"/>
        </w:rPr>
        <w:t>县</w:t>
      </w:r>
      <w:r>
        <w:rPr>
          <w:rFonts w:ascii="仿宋_GB2312" w:hAnsi="仿宋_GB2312" w:eastAsia="仿宋_GB2312" w:cs="仿宋_GB2312"/>
          <w:color w:val="000000"/>
          <w:sz w:val="32"/>
          <w:szCs w:val="32"/>
        </w:rPr>
        <w:t>应急局（具体时间、会场另行通知）。</w:t>
      </w:r>
    </w:p>
    <w:p>
      <w:pPr>
        <w:pStyle w:val="7"/>
        <w:widowControl/>
        <w:spacing w:line="540" w:lineRule="exact"/>
        <w:ind w:firstLine="640" w:firstLineChars="200"/>
        <w:rPr>
          <w:rFonts w:hint="default" w:ascii="黑体" w:hAnsi="黑体" w:eastAsia="黑体" w:cs="黑体"/>
          <w:sz w:val="32"/>
          <w:szCs w:val="32"/>
        </w:rPr>
      </w:pPr>
      <w:r>
        <w:rPr>
          <w:rFonts w:ascii="黑体" w:hAnsi="黑体" w:eastAsia="黑体" w:cs="黑体"/>
          <w:color w:val="000000"/>
          <w:sz w:val="32"/>
          <w:szCs w:val="32"/>
        </w:rPr>
        <w:t>五、主要活动</w:t>
      </w:r>
    </w:p>
    <w:p>
      <w:pPr>
        <w:widowControl/>
        <w:spacing w:line="540" w:lineRule="exact"/>
        <w:ind w:firstLine="640" w:firstLineChars="200"/>
        <w:jc w:val="left"/>
        <w:rPr>
          <w:rFonts w:ascii="仿宋_GB2312" w:hAnsi="仿宋_GB2312" w:eastAsia="仿宋_GB2312" w:cs="仿宋_GB2312"/>
          <w:sz w:val="32"/>
          <w:szCs w:val="32"/>
        </w:rPr>
      </w:pPr>
      <w:r>
        <w:rPr>
          <w:rFonts w:hint="eastAsia" w:ascii="楷体_GB2312" w:hAnsi="楷体" w:eastAsia="楷体_GB2312" w:cs="楷体"/>
          <w:color w:val="000000"/>
          <w:kern w:val="0"/>
          <w:sz w:val="32"/>
          <w:szCs w:val="32"/>
        </w:rPr>
        <w:t>（一）持续开展习近平总书记关于安全生产重要论述宣贯活</w:t>
      </w:r>
      <w:r>
        <w:rPr>
          <w:rFonts w:hint="eastAsia" w:ascii="楷体_GB2312" w:hAnsi="楷体" w:eastAsia="楷体_GB2312" w:cs="楷体"/>
          <w:color w:val="000000"/>
          <w:sz w:val="32"/>
          <w:szCs w:val="32"/>
        </w:rPr>
        <w:t>动。</w:t>
      </w:r>
      <w:r>
        <w:rPr>
          <w:rFonts w:hint="eastAsia" w:ascii="仿宋_GB2312" w:hAnsi="仿宋_GB2312" w:eastAsia="仿宋_GB2312" w:cs="仿宋_GB2312"/>
          <w:color w:val="000000"/>
          <w:kern w:val="0"/>
          <w:sz w:val="32"/>
          <w:szCs w:val="32"/>
        </w:rPr>
        <w:t>紧紧围绕宣传贯彻习近平总书记关于安全生产特别是安全</w:t>
      </w:r>
      <w:r>
        <w:rPr>
          <w:rFonts w:hint="eastAsia" w:ascii="仿宋_GB2312" w:hAnsi="仿宋_GB2312" w:eastAsia="仿宋_GB2312" w:cs="仿宋_GB2312"/>
          <w:color w:val="000000"/>
          <w:sz w:val="32"/>
          <w:szCs w:val="32"/>
        </w:rPr>
        <w:t>红线重要论述，各</w:t>
      </w:r>
      <w:r>
        <w:rPr>
          <w:rFonts w:hint="eastAsia" w:ascii="仿宋_GB2312" w:hAnsi="仿宋_GB2312" w:eastAsia="仿宋_GB2312" w:cs="仿宋_GB2312"/>
          <w:color w:val="000000"/>
          <w:sz w:val="32"/>
          <w:szCs w:val="32"/>
          <w:lang w:eastAsia="zh-CN"/>
        </w:rPr>
        <w:t>部门</w:t>
      </w: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乡（镇）</w:t>
      </w:r>
      <w:r>
        <w:rPr>
          <w:rFonts w:hint="eastAsia" w:ascii="仿宋_GB2312" w:hAnsi="仿宋_GB2312" w:eastAsia="仿宋_GB2312" w:cs="仿宋_GB2312"/>
          <w:color w:val="000000"/>
          <w:sz w:val="32"/>
          <w:szCs w:val="32"/>
        </w:rPr>
        <w:t>和企业主要负责人要开</w:t>
      </w:r>
      <w:r>
        <w:rPr>
          <w:rFonts w:hint="eastAsia" w:ascii="仿宋_GB2312" w:hAnsi="仿宋_GB2312" w:eastAsia="仿宋_GB2312" w:cs="仿宋_GB2312"/>
          <w:sz w:val="32"/>
          <w:szCs w:val="32"/>
        </w:rPr>
        <w:t>展“再组织”活动（再组</w:t>
      </w:r>
      <w:r>
        <w:rPr>
          <w:rFonts w:hint="eastAsia" w:ascii="仿宋_GB2312" w:hAnsi="仿宋_GB2312" w:eastAsia="仿宋_GB2312" w:cs="仿宋_GB2312"/>
          <w:color w:val="000000"/>
          <w:sz w:val="32"/>
          <w:szCs w:val="32"/>
        </w:rPr>
        <w:t>织观看《生命重于泰山》—习近平总书记关于安全生产重要论述专题片，再组织学习国务院安委会严格落实安全生产十五条硬措施、自治区二十条细化措施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桂林市二十五条工作措施）</w:t>
      </w:r>
      <w:r>
        <w:rPr>
          <w:rFonts w:hint="eastAsia" w:ascii="仿宋_GB2312" w:hAnsi="仿宋_GB2312" w:eastAsia="仿宋_GB2312" w:cs="仿宋_GB2312"/>
          <w:color w:val="000000"/>
          <w:sz w:val="32"/>
          <w:szCs w:val="32"/>
          <w:lang w:eastAsia="zh-CN"/>
        </w:rPr>
        <w:t>和我县三十五条工作措施</w:t>
      </w:r>
      <w:r>
        <w:rPr>
          <w:rFonts w:hint="eastAsia" w:ascii="仿宋_GB2312" w:hAnsi="仿宋_GB2312" w:eastAsia="仿宋_GB2312" w:cs="仿宋_GB2312"/>
          <w:color w:val="000000"/>
          <w:sz w:val="32"/>
          <w:szCs w:val="32"/>
        </w:rPr>
        <w:t>，要组织开展宣讲活动、发表评论文章或心得体会。各企业组织开展“安全生产大家谈”“班前会”“以案说法”等活动交流学习体会，进行警示教育。通过活动，以非常明确、非常强烈、非常坚定的态度牢固树立安全红线意识。</w:t>
      </w:r>
    </w:p>
    <w:p>
      <w:pPr>
        <w:pStyle w:val="7"/>
        <w:widowControl/>
        <w:spacing w:line="540" w:lineRule="exact"/>
        <w:ind w:firstLine="640" w:firstLineChars="200"/>
        <w:jc w:val="both"/>
      </w:pPr>
      <w:r>
        <w:rPr>
          <w:rFonts w:ascii="楷体_GB2312" w:hAnsi="楷体" w:eastAsia="楷体_GB2312" w:cs="楷体"/>
          <w:color w:val="000000"/>
          <w:sz w:val="32"/>
          <w:szCs w:val="32"/>
        </w:rPr>
        <w:t>（二）广泛开展安全宣传“五进”活动。</w:t>
      </w:r>
      <w:r>
        <w:rPr>
          <w:rFonts w:ascii="仿宋_GB2312" w:hAnsi="仿宋_GB2312" w:eastAsia="仿宋_GB2312" w:cs="仿宋_GB2312"/>
          <w:color w:val="000000"/>
          <w:sz w:val="32"/>
          <w:szCs w:val="32"/>
        </w:rPr>
        <w:t>在组织参加“十大逃生演练科普视频”展播、“人人讲安全 个个会应急”网络知识竞赛、线上“逃生演练训练营”“自救福利大派送”等全国性活动基础上，</w:t>
      </w: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乡（镇）</w:t>
      </w:r>
      <w:r>
        <w:rPr>
          <w:rFonts w:ascii="仿宋_GB2312" w:hAnsi="仿宋_GB2312" w:eastAsia="仿宋_GB2312" w:cs="仿宋_GB2312"/>
          <w:color w:val="000000"/>
          <w:sz w:val="32"/>
          <w:szCs w:val="32"/>
        </w:rPr>
        <w:t>、各有关部门和单位要广泛深入开展应急科普“五个一”宣传活动（“进学校”：鼓励学校师生阅读一本安全应急科普读本，“进家庭”：号召家庭开展一次安全隐患排查，“进乡村”：动员乡村开展一次农机安全技能培训，“进社区”：推动社区开展一次电动车充电安全自查，“进企业”：组织企业职工绘制一张逃生路线图），扩大应急科普人群覆盖面。要广泛深入开展社会化宣传，在楼宇电梯广告屏，公交车等交通工具电子显示屏持续滚动播放安全公益广告，在交通枢纽、商业街区、城市社区、文博场馆、广场、公园等公共场所和高速路口、过街天桥等醒目位置，广泛张贴或悬挂安全标语、横幅、挂图等，形成强大宣传声势；组织各主流媒体及其新媒体针对重点行业重点领域，及时发布各类安全风险提示信息，加强自然灾害引发生产安全事故的风险预警和宣传提示。</w:t>
      </w:r>
      <w:r>
        <w:rPr>
          <w:rFonts w:ascii="仿宋_GB2312" w:hAnsi="仿宋_GB2312" w:eastAsia="仿宋_GB2312" w:cs="仿宋_GB2312"/>
          <w:sz w:val="32"/>
          <w:szCs w:val="32"/>
        </w:rPr>
        <w:t>要结合打造世界级旅游城市的契机，</w:t>
      </w:r>
      <w:r>
        <w:rPr>
          <w:rFonts w:ascii="仿宋_GB2312" w:eastAsia="仿宋_GB2312" w:cs="宋体"/>
          <w:sz w:val="32"/>
          <w:szCs w:val="32"/>
        </w:rPr>
        <w:t>加强公共场所旅游安全生产宣传教育，提升社会公众旅游安全防范意识、应急避险和自救互救能力。在各旅游景区、饭店等人员较密集场所，悬挂旅游安全宣传横幅、标语，在电子显示屏播放旅游安全宣传片、旅游安全警示提示、公益广告等，普及出行安全、遇险救援等安全知识，提高游客和从业人员旅游应急避险和自救互救能力。要</w:t>
      </w:r>
      <w:r>
        <w:rPr>
          <w:rFonts w:ascii="仿宋_GB2312" w:hAnsi="仿宋_GB2312" w:eastAsia="仿宋_GB2312" w:cs="仿宋_GB2312"/>
          <w:sz w:val="32"/>
          <w:szCs w:val="32"/>
        </w:rPr>
        <w:t>加大水上安全宣传教育力度，结合汛期安全宣传，加强水上从业人员的安全知识教育和操作技能培训，开展防溺水知识宣传教育，提高人民群众防灾避险意识和应急救护能力。</w:t>
      </w:r>
    </w:p>
    <w:p>
      <w:pPr>
        <w:widowControl/>
        <w:spacing w:line="540" w:lineRule="exact"/>
        <w:ind w:firstLine="640" w:firstLineChars="200"/>
        <w:rPr>
          <w:rFonts w:ascii="仿宋_GB2312" w:hAnsi="仿宋_GB2312" w:eastAsia="仿宋_GB2312" w:cs="仿宋_GB2312"/>
          <w:sz w:val="32"/>
          <w:szCs w:val="32"/>
        </w:rPr>
      </w:pPr>
      <w:r>
        <w:rPr>
          <w:rFonts w:hint="eastAsia" w:ascii="楷体_GB2312" w:hAnsi="楷体" w:eastAsia="楷体_GB2312" w:cs="楷体"/>
          <w:color w:val="000000"/>
          <w:kern w:val="0"/>
          <w:sz w:val="32"/>
          <w:szCs w:val="32"/>
        </w:rPr>
        <w:t>（三）积极开展企业主要负责人“六带头”宣传活动。</w:t>
      </w: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乡（镇）</w:t>
      </w:r>
      <w:r>
        <w:rPr>
          <w:rFonts w:hint="eastAsia" w:ascii="仿宋_GB2312" w:hAnsi="仿宋_GB2312" w:eastAsia="仿宋_GB2312" w:cs="仿宋_GB2312"/>
          <w:color w:val="000000"/>
          <w:sz w:val="32"/>
          <w:szCs w:val="32"/>
        </w:rPr>
        <w:t>、各有关部门和单位要持续宣贯安全生产法，督促企业落实安全生产“第一责任人”法定职责，开展企业主要负责人“三承诺三监督”活动（企业主要负责人向职工代表大会作安全承诺接受监督；企业主要负责人安全承诺书在单位政务公开栏、网站、新媒体进行公示接受监督；企业主要负责人践诺履职情况纳入工作报告接受监督）。围绕全</w:t>
      </w:r>
      <w:r>
        <w:rPr>
          <w:rFonts w:hint="eastAsia" w:ascii="仿宋_GB2312" w:hAnsi="仿宋_GB2312" w:eastAsia="仿宋_GB2312" w:cs="仿宋_GB2312"/>
          <w:color w:val="000000"/>
          <w:sz w:val="32"/>
          <w:szCs w:val="32"/>
          <w:lang w:eastAsia="zh-CN"/>
        </w:rPr>
        <w:t>县</w:t>
      </w:r>
      <w:r>
        <w:rPr>
          <w:rFonts w:hint="eastAsia" w:ascii="仿宋_GB2312" w:hAnsi="仿宋_GB2312" w:eastAsia="仿宋_GB2312" w:cs="仿宋_GB2312"/>
          <w:color w:val="000000"/>
          <w:sz w:val="32"/>
          <w:szCs w:val="32"/>
        </w:rPr>
        <w:t>重大事故隐患</w:t>
      </w:r>
      <w:r>
        <w:rPr>
          <w:rFonts w:ascii="Times New Roman" w:hAnsi="仿宋_GB2312" w:eastAsia="仿宋_GB2312"/>
          <w:color w:val="000000"/>
          <w:sz w:val="32"/>
          <w:szCs w:val="32"/>
        </w:rPr>
        <w:t>专项排查整治</w:t>
      </w:r>
      <w:r>
        <w:rPr>
          <w:rFonts w:hint="eastAsia" w:ascii="仿宋_GB2312" w:hAnsi="仿宋_GB2312" w:eastAsia="仿宋_GB2312" w:cs="仿宋_GB2312"/>
          <w:color w:val="000000"/>
          <w:sz w:val="32"/>
          <w:szCs w:val="32"/>
        </w:rPr>
        <w:t>2023</w:t>
      </w:r>
      <w:r>
        <w:rPr>
          <w:rFonts w:ascii="Times New Roman" w:hAnsi="仿宋_GB2312" w:eastAsia="仿宋_GB2312"/>
          <w:color w:val="000000"/>
          <w:sz w:val="32"/>
          <w:szCs w:val="32"/>
        </w:rPr>
        <w:t>行</w:t>
      </w:r>
      <w:r>
        <w:rPr>
          <w:rFonts w:hint="eastAsia" w:ascii="仿宋_GB2312" w:hAnsi="仿宋_GB2312" w:eastAsia="仿宋_GB2312" w:cs="仿宋_GB2312"/>
          <w:color w:val="000000"/>
          <w:sz w:val="32"/>
          <w:szCs w:val="32"/>
        </w:rPr>
        <w:t>动要求，要积极组织广播、电视、报纸、网络等媒体宣传报道企业主要负责人“六带头”（带头研究组织本企业重大事故隐患排查整治、带头落实全员安全生产岗位责任发挥管理团队和专家作用、带头对动火等危险作业开展排查整治、带头对外包外租等生产经营活动开展排查整治、带头抓好科技设备赋能建设、带头开展事故应急救援演练活动）进展情况。要广泛开展“动火</w:t>
      </w:r>
      <w:r>
        <w:rPr>
          <w:rFonts w:hint="eastAsia" w:ascii="仿宋_GB2312" w:hAnsi="仿宋_GB2312" w:eastAsia="仿宋_GB2312" w:cs="仿宋_GB2312"/>
          <w:color w:val="000000"/>
          <w:kern w:val="0"/>
          <w:sz w:val="32"/>
          <w:szCs w:val="32"/>
        </w:rPr>
        <w:t>作业风险我知道”宣传活动，落实从业人员安全生产岗位责任，督促企业对电焊工等危险作业人员开展安全培训，向从业人员发放</w:t>
      </w:r>
      <w:r>
        <w:rPr>
          <w:rFonts w:hint="eastAsia" w:ascii="仿宋_GB2312" w:hAnsi="仿宋_GB2312" w:eastAsia="仿宋_GB2312" w:cs="仿宋_GB2312"/>
          <w:color w:val="000000"/>
          <w:sz w:val="32"/>
          <w:szCs w:val="32"/>
        </w:rPr>
        <w:t>岗位风险告知卡和安全操作卡；开展“外包外租大排查”活动，督促企业在宣传栏张贴安全法律法规制度和安全知识，开展外包外租典型违法案例专题警示教育，对外包外租项目开展一次大排查，坚决纠正或取缔违法违规外包外租项目。</w:t>
      </w:r>
    </w:p>
    <w:p>
      <w:pPr>
        <w:pStyle w:val="7"/>
        <w:widowControl/>
        <w:spacing w:line="540" w:lineRule="exact"/>
        <w:ind w:firstLine="640" w:firstLineChars="200"/>
        <w:jc w:val="both"/>
        <w:rPr>
          <w:rFonts w:hint="default" w:ascii="仿宋_GB2312" w:hAnsi="仿宋_GB2312" w:eastAsia="仿宋_GB2312" w:cs="仿宋_GB2312"/>
          <w:sz w:val="32"/>
          <w:szCs w:val="32"/>
        </w:rPr>
      </w:pPr>
      <w:r>
        <w:rPr>
          <w:rFonts w:ascii="楷体_GB2312" w:hAnsi="楷体" w:eastAsia="楷体_GB2312" w:cs="楷体"/>
          <w:color w:val="000000"/>
          <w:sz w:val="32"/>
          <w:szCs w:val="32"/>
        </w:rPr>
        <w:t>（四）大力开展全员查找身边隐患宣传活动。</w:t>
      </w:r>
      <w:r>
        <w:rPr>
          <w:rFonts w:ascii="仿宋_GB2312" w:hAnsi="仿宋_GB2312" w:eastAsia="仿宋_GB2312" w:cs="仿宋_GB2312"/>
          <w:sz w:val="32"/>
          <w:szCs w:val="32"/>
        </w:rPr>
        <w:t>根据《全</w:t>
      </w:r>
      <w:r>
        <w:rPr>
          <w:rFonts w:hint="eastAsia" w:ascii="仿宋_GB2312" w:hAnsi="仿宋_GB2312" w:eastAsia="仿宋_GB2312" w:cs="仿宋_GB2312"/>
          <w:sz w:val="32"/>
          <w:szCs w:val="32"/>
          <w:lang w:eastAsia="zh-CN"/>
        </w:rPr>
        <w:t>县</w:t>
      </w:r>
      <w:r>
        <w:rPr>
          <w:rFonts w:ascii="仿宋_GB2312" w:hAnsi="仿宋_GB2312" w:eastAsia="仿宋_GB2312" w:cs="仿宋_GB2312"/>
          <w:sz w:val="32"/>
          <w:szCs w:val="32"/>
        </w:rPr>
        <w:t>重大事故隐患专项排查整</w:t>
      </w:r>
      <w:r>
        <w:rPr>
          <w:rFonts w:hint="default" w:ascii="Times New Roman" w:hAnsi="仿宋_GB2312" w:eastAsia="仿宋_GB2312"/>
          <w:sz w:val="32"/>
          <w:szCs w:val="32"/>
        </w:rPr>
        <w:t>治</w:t>
      </w:r>
      <w:r>
        <w:rPr>
          <w:rFonts w:hint="eastAsia" w:ascii="仿宋_GB2312" w:hAnsi="仿宋_GB2312" w:eastAsia="仿宋_GB2312" w:cs="仿宋_GB2312"/>
          <w:sz w:val="32"/>
          <w:szCs w:val="32"/>
        </w:rPr>
        <w:t>2023</w:t>
      </w:r>
      <w:r>
        <w:rPr>
          <w:rFonts w:hint="default" w:ascii="Times New Roman" w:hAnsi="仿宋_GB2312" w:eastAsia="仿宋_GB2312"/>
          <w:sz w:val="32"/>
          <w:szCs w:val="32"/>
        </w:rPr>
        <w:t>行</w:t>
      </w:r>
      <w:r>
        <w:rPr>
          <w:rFonts w:ascii="仿宋_GB2312" w:hAnsi="仿宋_GB2312" w:eastAsia="仿宋_GB2312" w:cs="仿宋_GB2312"/>
          <w:sz w:val="32"/>
          <w:szCs w:val="32"/>
        </w:rPr>
        <w:t>动实施方案》，组织安全生产专家和媒体记者，深入相关地区和重点行业领域采访，结合“打非治违”“安全生产大检查”“</w:t>
      </w:r>
      <w:r>
        <w:rPr>
          <w:rFonts w:hint="eastAsia" w:ascii="仿宋_GB2312" w:hAnsi="仿宋_GB2312" w:eastAsia="仿宋_GB2312" w:cs="仿宋_GB2312"/>
          <w:sz w:val="32"/>
          <w:szCs w:val="32"/>
          <w:lang w:eastAsia="zh-CN"/>
        </w:rPr>
        <w:t>明察暗访</w:t>
      </w:r>
      <w:r>
        <w:rPr>
          <w:rFonts w:ascii="仿宋_GB2312" w:hAnsi="仿宋_GB2312" w:eastAsia="仿宋_GB2312" w:cs="仿宋_GB2312"/>
          <w:sz w:val="32"/>
          <w:szCs w:val="32"/>
        </w:rPr>
        <w:t>”等工作，曝光重大事故隐患和突出问题。每月至少在县主流媒体公</w:t>
      </w:r>
      <w:r>
        <w:rPr>
          <w:rFonts w:hint="eastAsia" w:ascii="仿宋_GB2312" w:hAnsi="仿宋_GB2312" w:eastAsia="仿宋_GB2312" w:cs="仿宋_GB2312"/>
          <w:sz w:val="32"/>
          <w:szCs w:val="32"/>
        </w:rPr>
        <w:t>布1至2个“</w:t>
      </w:r>
      <w:r>
        <w:rPr>
          <w:rFonts w:ascii="仿宋_GB2312" w:hAnsi="仿宋_GB2312" w:eastAsia="仿宋_GB2312" w:cs="仿宋_GB2312"/>
          <w:sz w:val="32"/>
          <w:szCs w:val="32"/>
        </w:rPr>
        <w:t>一案双罚”，以及安全生</w:t>
      </w:r>
      <w:r>
        <w:rPr>
          <w:rFonts w:ascii="仿宋_GB2312" w:hAnsi="仿宋_GB2312" w:eastAsia="仿宋_GB2312" w:cs="仿宋_GB2312"/>
          <w:color w:val="000000"/>
          <w:sz w:val="32"/>
          <w:szCs w:val="32"/>
        </w:rPr>
        <w:t>产行刑衔接（含危险作业罪）等各类典型案例，</w:t>
      </w:r>
      <w:r>
        <w:rPr>
          <w:rFonts w:ascii="Times New Roman" w:hAnsi="仿宋_GB2312" w:eastAsia="仿宋_GB2312"/>
          <w:spacing w:val="8"/>
          <w:sz w:val="32"/>
          <w:szCs w:val="32"/>
          <w:shd w:val="clear" w:color="auto" w:fill="FFFFFF"/>
        </w:rPr>
        <w:t>并向</w:t>
      </w:r>
      <w:r>
        <w:rPr>
          <w:rFonts w:hint="eastAsia" w:ascii="Times New Roman" w:hAnsi="仿宋_GB2312" w:eastAsia="仿宋_GB2312"/>
          <w:spacing w:val="8"/>
          <w:sz w:val="32"/>
          <w:szCs w:val="32"/>
          <w:shd w:val="clear" w:color="auto" w:fill="FFFFFF"/>
          <w:lang w:eastAsia="zh-CN"/>
        </w:rPr>
        <w:t>县</w:t>
      </w:r>
      <w:r>
        <w:rPr>
          <w:rFonts w:ascii="Times New Roman" w:hAnsi="仿宋_GB2312" w:eastAsia="仿宋_GB2312"/>
          <w:spacing w:val="8"/>
          <w:sz w:val="32"/>
          <w:szCs w:val="32"/>
          <w:shd w:val="clear" w:color="auto" w:fill="FFFFFF"/>
        </w:rPr>
        <w:t>安委会办公室报送有关情况</w:t>
      </w:r>
      <w:r>
        <w:rPr>
          <w:rFonts w:ascii="仿宋_GB2312" w:hAnsi="仿宋_GB2312" w:eastAsia="仿宋_GB2312" w:cs="仿宋_GB2312"/>
          <w:color w:val="000000"/>
          <w:sz w:val="32"/>
          <w:szCs w:val="32"/>
        </w:rPr>
        <w:t>。设立举报奖励机制，在本单位本部门网站、新媒体平台公布“安全生产举报微信小程序”“安全生产曝光台”“</w:t>
      </w:r>
      <w:r>
        <w:rPr>
          <w:rFonts w:hint="eastAsia" w:ascii="仿宋_GB2312" w:hAnsi="仿宋_GB2312" w:eastAsia="仿宋_GB2312" w:cs="仿宋_GB2312"/>
          <w:color w:val="000000"/>
          <w:sz w:val="32"/>
          <w:szCs w:val="32"/>
        </w:rPr>
        <w:t>12350</w:t>
      </w:r>
      <w:r>
        <w:rPr>
          <w:rFonts w:ascii="仿宋_GB2312" w:hAnsi="仿宋_GB2312" w:eastAsia="仿宋_GB2312" w:cs="仿宋_GB2312"/>
          <w:color w:val="000000"/>
          <w:sz w:val="32"/>
          <w:szCs w:val="32"/>
        </w:rPr>
        <w:t>举报电话”等举报渠道，鼓励企业全员查找身边的安全隐患。</w:t>
      </w:r>
    </w:p>
    <w:p>
      <w:pPr>
        <w:pStyle w:val="7"/>
        <w:widowControl/>
        <w:spacing w:line="540" w:lineRule="exact"/>
        <w:ind w:firstLine="640" w:firstLineChars="200"/>
        <w:jc w:val="both"/>
        <w:rPr>
          <w:rFonts w:ascii="仿宋_GB2312" w:hAnsi="仿宋_GB2312" w:eastAsia="仿宋_GB2312" w:cs="仿宋_GB2312"/>
          <w:sz w:val="32"/>
          <w:szCs w:val="32"/>
        </w:rPr>
      </w:pPr>
      <w:r>
        <w:rPr>
          <w:rFonts w:ascii="楷体_GB2312" w:hAnsi="楷体" w:eastAsia="楷体_GB2312" w:cs="楷体"/>
          <w:color w:val="000000"/>
          <w:sz w:val="32"/>
          <w:szCs w:val="32"/>
        </w:rPr>
        <w:t>（五）深入开展常态化应急演练活动。</w:t>
      </w: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乡（镇）、各部门和单位</w:t>
      </w:r>
      <w:r>
        <w:rPr>
          <w:rFonts w:ascii="仿宋_GB2312" w:hAnsi="仿宋_GB2312" w:eastAsia="仿宋_GB2312" w:cs="仿宋_GB2312"/>
          <w:sz w:val="32"/>
          <w:szCs w:val="32"/>
        </w:rPr>
        <w:t>要结合安全宣传“五进”工作，组织开展有效管用的全员应急演练。要针对旅游市场持续升温、进入汛期的现实，围绕重点时段、重点地区、重点领域以及关键环节，加强旅游景区、景点等文化娱乐场所隐患排查和应急疏散演练，强化防汛、防溺水、地质灾害等应急救援实战演练工作。企</w:t>
      </w:r>
      <w:r>
        <w:rPr>
          <w:rFonts w:ascii="仿宋_GB2312" w:hAnsi="仿宋_GB2312" w:eastAsia="仿宋_GB2312" w:cs="仿宋_GB2312"/>
          <w:color w:val="000000"/>
          <w:sz w:val="32"/>
          <w:szCs w:val="32"/>
        </w:rPr>
        <w:t>业要根据本行业领域事故特点，组织一次事故应急演练，开展一次从业人员自救互救技能培训，让全体从业人员时刻牢记安全生产岗位责任，熟知安全逃生出口（或避灾路线）；农村村庄要针对气象灾害、地质灾害、洪涝灾害、火灾等事故灾害逃生救援，城市社区要针对高层建筑、大型商业综合体等场所场景风险防控和逃生救援，学校要针对学生交通安全、消防安全以及地震逃生、防溺水，家庭要针对燃气安全、电动车充电安全以及高楼火灾逃生等，开展科普知识宣传和情景模拟、实战推演、逃生演练、自救互救等活动。</w:t>
      </w:r>
    </w:p>
    <w:p>
      <w:pPr>
        <w:pStyle w:val="7"/>
        <w:widowControl/>
        <w:spacing w:line="540" w:lineRule="exact"/>
        <w:ind w:firstLine="640" w:firstLineChars="200"/>
        <w:jc w:val="both"/>
        <w:rPr>
          <w:rFonts w:ascii="仿宋_GB2312" w:hAnsi="仿宋_GB2312" w:eastAsia="仿宋_GB2312" w:cs="仿宋_GB2312"/>
          <w:sz w:val="32"/>
          <w:szCs w:val="32"/>
        </w:rPr>
      </w:pPr>
      <w:r>
        <w:rPr>
          <w:rFonts w:ascii="楷体_GB2312" w:hAnsi="楷体" w:eastAsia="楷体_GB2312" w:cs="楷体"/>
          <w:color w:val="000000"/>
          <w:sz w:val="32"/>
          <w:szCs w:val="32"/>
        </w:rPr>
        <w:t>（六）扎实开展“安全宣传咨询日”活动。</w:t>
      </w:r>
      <w:r>
        <w:rPr>
          <w:rFonts w:hint="eastAsia" w:ascii="仿宋_GB2312" w:hAnsi="仿宋_GB2312" w:eastAsia="仿宋_GB2312" w:cs="仿宋_GB2312"/>
          <w:color w:val="000000"/>
          <w:sz w:val="32"/>
          <w:szCs w:val="32"/>
        </w:rPr>
        <w:t>6月16日前后，组织开展“安全宣传咨询日”活动。各</w:t>
      </w:r>
      <w:r>
        <w:rPr>
          <w:rFonts w:hint="eastAsia" w:ascii="仿宋_GB2312" w:hAnsi="仿宋_GB2312" w:eastAsia="仿宋_GB2312" w:cs="仿宋_GB2312"/>
          <w:color w:val="000000"/>
          <w:sz w:val="32"/>
          <w:szCs w:val="32"/>
          <w:lang w:eastAsia="zh-CN"/>
        </w:rPr>
        <w:t>乡（镇）、各部门</w:t>
      </w:r>
      <w:r>
        <w:rPr>
          <w:rFonts w:hint="eastAsia" w:ascii="仿宋_GB2312" w:hAnsi="仿宋_GB2312" w:eastAsia="仿宋_GB2312" w:cs="仿宋_GB2312"/>
          <w:color w:val="000000"/>
          <w:sz w:val="32"/>
          <w:szCs w:val="32"/>
        </w:rPr>
        <w:t>和企业要结合实际，组织开展“安全宣传咨询日”现场活动和网络直播，重点面向社会公众和从业人员，集中宣传安全生产</w:t>
      </w:r>
      <w:r>
        <w:rPr>
          <w:rFonts w:ascii="仿宋_GB2312" w:hAnsi="仿宋_GB2312" w:eastAsia="仿宋_GB2312" w:cs="仿宋_GB2312"/>
          <w:color w:val="000000"/>
          <w:sz w:val="32"/>
          <w:szCs w:val="32"/>
        </w:rPr>
        <w:t>方针政策、法律法规、全</w:t>
      </w:r>
      <w:r>
        <w:rPr>
          <w:rFonts w:hint="eastAsia" w:ascii="仿宋_GB2312" w:hAnsi="仿宋_GB2312" w:eastAsia="仿宋_GB2312" w:cs="仿宋_GB2312"/>
          <w:color w:val="000000"/>
          <w:sz w:val="32"/>
          <w:szCs w:val="32"/>
          <w:lang w:eastAsia="zh-CN"/>
        </w:rPr>
        <w:t>县</w:t>
      </w:r>
      <w:r>
        <w:rPr>
          <w:rFonts w:ascii="仿宋_GB2312" w:hAnsi="仿宋_GB2312" w:eastAsia="仿宋_GB2312" w:cs="仿宋_GB2312"/>
          <w:color w:val="000000"/>
          <w:sz w:val="32"/>
          <w:szCs w:val="32"/>
        </w:rPr>
        <w:t>重大事故隐患专项排查整</w:t>
      </w:r>
      <w:r>
        <w:rPr>
          <w:rFonts w:hint="eastAsia" w:ascii="仿宋_GB2312" w:hAnsi="仿宋_GB2312" w:eastAsia="仿宋_GB2312" w:cs="仿宋_GB2312"/>
          <w:color w:val="000000"/>
          <w:sz w:val="32"/>
          <w:szCs w:val="32"/>
        </w:rPr>
        <w:t>治2023行动</w:t>
      </w:r>
      <w:r>
        <w:rPr>
          <w:rFonts w:ascii="仿宋_GB2312" w:hAnsi="仿宋_GB2312" w:eastAsia="仿宋_GB2312" w:cs="仿宋_GB2312"/>
          <w:color w:val="000000"/>
          <w:sz w:val="32"/>
          <w:szCs w:val="32"/>
        </w:rPr>
        <w:t>，以及安全生产岗位责任、安全知识和避险逃生技能等科普知识。现场播放公益宣传片，张贴公益海报，发放安全应急科普资料，回答群众关心的安全生产问题，展示应急管理前沿技术和科技装备。</w:t>
      </w:r>
    </w:p>
    <w:p>
      <w:pPr>
        <w:pStyle w:val="7"/>
        <w:widowControl/>
        <w:spacing w:line="540" w:lineRule="exact"/>
        <w:ind w:firstLine="640" w:firstLineChars="200"/>
        <w:jc w:val="both"/>
        <w:rPr>
          <w:rFonts w:hint="default" w:ascii="仿宋_GB2312" w:hAnsi="仿宋_GB2312" w:eastAsia="仿宋_GB2312" w:cs="仿宋_GB2312"/>
          <w:sz w:val="32"/>
          <w:szCs w:val="32"/>
        </w:rPr>
      </w:pPr>
      <w:r>
        <w:rPr>
          <w:rFonts w:ascii="楷体_GB2312" w:hAnsi="楷体" w:eastAsia="楷体_GB2312" w:cs="楷体"/>
          <w:color w:val="000000"/>
          <w:sz w:val="32"/>
          <w:szCs w:val="32"/>
        </w:rPr>
        <w:t>（七）扎实开展安全事故警示教育“五个一”活动。</w:t>
      </w: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乡（镇）</w:t>
      </w:r>
      <w:r>
        <w:rPr>
          <w:rFonts w:ascii="仿宋_GB2312" w:hAnsi="仿宋_GB2312" w:eastAsia="仿宋_GB2312" w:cs="仿宋_GB2312"/>
          <w:color w:val="000000"/>
          <w:sz w:val="32"/>
          <w:szCs w:val="32"/>
        </w:rPr>
        <w:t>、各有关部门和单位要按照属地管理、分级负责原则和“管行业必须管安全，管业务必须管安全，管生产经营必须管安全”要求，组织开展生产安全事故警示教育“五个一”活动，以案为鉴、以案警示、以案促改。召开一次安全生产工作警示教育专题会议，开展一次行业岗位安全生产大讨论，上一堂安全警示教育课，播放收看一次生产安全事故警示片，观看一场安全生产主题教育电影，提高事故警示教育效果，切实做到“一厂出事故、万厂受教育、一地有隐患、全国受警示”。</w:t>
      </w:r>
    </w:p>
    <w:p>
      <w:pPr>
        <w:pStyle w:val="7"/>
        <w:widowControl/>
        <w:spacing w:line="540" w:lineRule="exact"/>
        <w:ind w:firstLine="640" w:firstLineChars="200"/>
        <w:jc w:val="both"/>
        <w:rPr>
          <w:rFonts w:hint="default" w:ascii="黑体" w:hAnsi="黑体" w:eastAsia="黑体" w:cs="黑体"/>
          <w:sz w:val="32"/>
          <w:szCs w:val="32"/>
        </w:rPr>
      </w:pPr>
      <w:r>
        <w:rPr>
          <w:rFonts w:ascii="黑体" w:hAnsi="黑体" w:eastAsia="黑体" w:cs="黑体"/>
          <w:color w:val="000000"/>
          <w:sz w:val="32"/>
          <w:szCs w:val="32"/>
        </w:rPr>
        <w:t>六、活动要求</w:t>
      </w:r>
    </w:p>
    <w:p>
      <w:pPr>
        <w:widowControl/>
        <w:spacing w:line="54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color w:val="000000"/>
          <w:kern w:val="0"/>
          <w:sz w:val="32"/>
          <w:szCs w:val="32"/>
        </w:rPr>
        <w:t>（一）加强组织领导。</w:t>
      </w:r>
      <w:r>
        <w:rPr>
          <w:rFonts w:hint="eastAsia" w:ascii="仿宋_GB2312" w:hAnsi="仿宋_GB2312" w:eastAsia="仿宋_GB2312" w:cs="仿宋_GB2312"/>
          <w:color w:val="000000"/>
          <w:kern w:val="0"/>
          <w:sz w:val="32"/>
          <w:szCs w:val="32"/>
        </w:rPr>
        <w:t>要将“安全</w:t>
      </w:r>
      <w:r>
        <w:rPr>
          <w:rFonts w:hint="eastAsia" w:ascii="仿宋_GB2312" w:hAnsi="仿宋_GB2312" w:eastAsia="仿宋_GB2312" w:cs="仿宋_GB2312"/>
          <w:color w:val="000000"/>
          <w:sz w:val="32"/>
          <w:szCs w:val="32"/>
        </w:rPr>
        <w:t>生产月”活动纳入全年安全生产重点工作计划，建立多部门合作、有关方面协同联动工作机制，加强密切配合，搞好通力协作。要切实加强对“安全生产月”活动的组织领导，主要领导要亲自抓、分管领导具体抓落实，明确责任单位、责任人和重点活动分工，确保层层有人抓、事事有人管。</w:t>
      </w:r>
      <w:r>
        <w:rPr>
          <w:rFonts w:hint="eastAsia" w:ascii="仿宋_GB2312" w:hAnsi="仿宋_GB2312" w:eastAsia="仿宋_GB2312" w:cs="仿宋_GB2312"/>
          <w:color w:val="000000"/>
          <w:sz w:val="32"/>
          <w:szCs w:val="32"/>
          <w:lang w:eastAsia="zh-CN"/>
        </w:rPr>
        <w:t>县安委会有关成员单位要督促各自主管行业领域的企业采取电子显示屏、横幅、标语等方式，做好安全生产月宣传工作，并将相关图片资料上报至县各行业主管部门，由行业主管部门会同其余材料统一上报县安委办。</w:t>
      </w:r>
    </w:p>
    <w:p>
      <w:pPr>
        <w:widowControl/>
        <w:spacing w:line="54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color w:val="000000"/>
          <w:kern w:val="0"/>
          <w:sz w:val="32"/>
          <w:szCs w:val="32"/>
        </w:rPr>
        <w:t>（二）加大宣传报道。</w:t>
      </w:r>
      <w:r>
        <w:rPr>
          <w:rFonts w:hint="eastAsia" w:ascii="仿宋_GB2312" w:hAnsi="仿宋_GB2312" w:eastAsia="仿宋_GB2312" w:cs="仿宋_GB2312"/>
          <w:color w:val="000000"/>
          <w:kern w:val="0"/>
          <w:sz w:val="32"/>
          <w:szCs w:val="32"/>
        </w:rPr>
        <w:t>要充分发挥宣传、网信等部门</w:t>
      </w:r>
      <w:r>
        <w:rPr>
          <w:rFonts w:hint="eastAsia" w:ascii="仿宋_GB2312" w:hAnsi="仿宋_GB2312" w:eastAsia="仿宋_GB2312" w:cs="仿宋_GB2312"/>
          <w:color w:val="000000"/>
          <w:sz w:val="32"/>
          <w:szCs w:val="32"/>
        </w:rPr>
        <w:t>的作用，组织协调各主流媒体、行业媒体及其新媒体加大宣传力度，开设“安全生产月”活动专栏和专题，增加活动宣传版面、时段和频次，特别是要在“安全宣传咨询日”活动等重要时间节点开展主题宣传活动，形成阶段性宣传热潮，不断增强活动影响力、感染力。</w:t>
      </w:r>
    </w:p>
    <w:p>
      <w:pPr>
        <w:widowControl/>
        <w:spacing w:line="540" w:lineRule="exact"/>
        <w:ind w:firstLine="640" w:firstLineChars="200"/>
        <w:rPr>
          <w:rFonts w:hint="eastAsia" w:ascii="仿宋_GB2312" w:hAnsi="仿宋_GB2312" w:eastAsia="仿宋_GB2312" w:cs="仿宋_GB2312"/>
          <w:sz w:val="32"/>
          <w:szCs w:val="32"/>
          <w:lang w:eastAsia="zh-CN"/>
        </w:rPr>
      </w:pPr>
      <w:r>
        <w:rPr>
          <w:rFonts w:hint="eastAsia" w:ascii="楷体_GB2312" w:hAnsi="仿宋_GB2312" w:eastAsia="楷体_GB2312" w:cs="仿宋_GB2312"/>
          <w:color w:val="000000"/>
          <w:kern w:val="0"/>
          <w:sz w:val="32"/>
          <w:szCs w:val="32"/>
        </w:rPr>
        <w:t>（三）加深活动实效。</w:t>
      </w: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乡（镇）</w:t>
      </w:r>
      <w:r>
        <w:rPr>
          <w:rFonts w:hint="eastAsia" w:ascii="仿宋_GB2312" w:hAnsi="仿宋_GB2312" w:eastAsia="仿宋_GB2312" w:cs="仿宋_GB2312"/>
          <w:color w:val="000000"/>
          <w:kern w:val="0"/>
          <w:sz w:val="32"/>
          <w:szCs w:val="32"/>
        </w:rPr>
        <w:t>、各有关部门、单位和企业要</w:t>
      </w:r>
      <w:r>
        <w:rPr>
          <w:rFonts w:hint="eastAsia" w:ascii="仿宋_GB2312" w:hAnsi="仿宋_GB2312" w:eastAsia="仿宋_GB2312" w:cs="仿宋_GB2312"/>
          <w:color w:val="000000"/>
          <w:sz w:val="32"/>
          <w:szCs w:val="32"/>
        </w:rPr>
        <w:t>结合地区、部门、行业和企业实际，制定精准管用有效的安全月活动方案，做到“四结合”</w:t>
      </w:r>
      <w:r>
        <w:rPr>
          <w:rFonts w:hint="eastAsia" w:ascii="仿宋_GB2312" w:hAnsi="仿宋_GB2312" w:eastAsia="仿宋_GB2312" w:cs="仿宋_GB2312"/>
          <w:bCs/>
          <w:color w:val="000000"/>
          <w:sz w:val="32"/>
          <w:szCs w:val="32"/>
        </w:rPr>
        <w:t>（与当前深入开展学习贯彻习近平新时代中国特色社会主义思想主题教育相结合，解决当</w:t>
      </w:r>
      <w:bookmarkStart w:id="1" w:name="_GoBack"/>
      <w:bookmarkEnd w:id="1"/>
      <w:r>
        <w:rPr>
          <w:rFonts w:hint="eastAsia" w:ascii="仿宋_GB2312" w:hAnsi="仿宋_GB2312" w:eastAsia="仿宋_GB2312" w:cs="仿宋_GB2312"/>
          <w:bCs/>
          <w:color w:val="000000"/>
          <w:sz w:val="32"/>
          <w:szCs w:val="32"/>
        </w:rPr>
        <w:t>前安全发展中的热点难点问题相结合，与当前开展的安全生产重大事故隐患排查专项整治等重点工作相结合，与推动落实各方面安全生产责任相结合）；</w:t>
      </w:r>
      <w:r>
        <w:rPr>
          <w:rFonts w:hint="eastAsia" w:ascii="仿宋_GB2312" w:hAnsi="仿宋_GB2312" w:eastAsia="仿宋_GB2312" w:cs="仿宋_GB2312"/>
          <w:color w:val="000000"/>
          <w:sz w:val="32"/>
          <w:szCs w:val="32"/>
        </w:rPr>
        <w:t>创新工作举措，因地制宜开展好宣传活动，推动防范化解重大风险，促进安全生产水平提升，切实增强人民群众的获得感、幸福感、安全感。</w:t>
      </w:r>
    </w:p>
    <w:p>
      <w:pPr>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lang w:eastAsia="zh-CN"/>
        </w:rPr>
        <w:t>乡（镇）</w:t>
      </w:r>
      <w:r>
        <w:rPr>
          <w:rFonts w:hint="eastAsia" w:ascii="仿宋_GB2312" w:hAnsi="仿宋_GB2312" w:eastAsia="仿宋_GB2312" w:cs="仿宋_GB2312"/>
          <w:spacing w:val="8"/>
          <w:sz w:val="32"/>
          <w:szCs w:val="32"/>
          <w:shd w:val="clear" w:color="auto" w:fill="FFFFFF"/>
        </w:rPr>
        <w:t>、各有关部门和各单位请</w:t>
      </w:r>
      <w:r>
        <w:rPr>
          <w:rFonts w:hint="eastAsia" w:ascii="仿宋_GB2312" w:hAnsi="仿宋_GB2312" w:eastAsia="仿宋_GB2312" w:cs="仿宋_GB2312"/>
          <w:kern w:val="0"/>
          <w:sz w:val="32"/>
          <w:szCs w:val="32"/>
        </w:rPr>
        <w:t>于5月2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日前报送活动联络员信息（附件1），5月</w:t>
      </w:r>
      <w:r>
        <w:rPr>
          <w:rFonts w:hint="eastAsia" w:ascii="仿宋_GB2312" w:hAnsi="仿宋_GB2312" w:eastAsia="仿宋_GB2312" w:cs="仿宋_GB2312"/>
          <w:kern w:val="0"/>
          <w:sz w:val="32"/>
          <w:szCs w:val="32"/>
          <w:lang w:val="en-US" w:eastAsia="zh-CN"/>
        </w:rPr>
        <w:t>28</w:t>
      </w:r>
      <w:r>
        <w:rPr>
          <w:rFonts w:hint="eastAsia" w:ascii="仿宋_GB2312" w:hAnsi="仿宋_GB2312" w:eastAsia="仿宋_GB2312" w:cs="仿宋_GB2312"/>
          <w:kern w:val="0"/>
          <w:sz w:val="32"/>
          <w:szCs w:val="32"/>
        </w:rPr>
        <w:t>日前报送“安全生产月”活动方案，7月</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日前报送安全生产月活动总结（电子版+盖公章扫描版）</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活动进展情况统计表（附件2）</w:t>
      </w:r>
      <w:r>
        <w:rPr>
          <w:rFonts w:hint="eastAsia" w:ascii="仿宋_GB2312" w:hAnsi="仿宋_GB2312" w:eastAsia="仿宋_GB2312" w:cs="仿宋_GB2312"/>
          <w:kern w:val="0"/>
          <w:sz w:val="32"/>
          <w:szCs w:val="32"/>
          <w:lang w:eastAsia="zh-CN"/>
        </w:rPr>
        <w:t>和企业上报县行业主管部门的电子显示屏、横幅标语等宣传照片</w:t>
      </w:r>
      <w:r>
        <w:rPr>
          <w:rFonts w:hint="eastAsia" w:ascii="仿宋_GB2312" w:hAnsi="仿宋_GB2312" w:eastAsia="仿宋_GB2312" w:cs="仿宋_GB2312"/>
          <w:kern w:val="0"/>
          <w:sz w:val="32"/>
          <w:szCs w:val="32"/>
        </w:rPr>
        <w:t>、活动期间的视频（分辨率大于1280像素×720像素，格式为MP4、MPG2、AVI、MTS）、照片资料（分辨率不低于1920像素×1080像素,格式为JPG、PNG、PSD）。活动期间，请联络员于每周五前报送本周“安全生产月”活动及其他相关工作开展情况（电子版），重大活动可随时报送(上述材料请报送至电子邮箱）。</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联系人及电话：</w:t>
      </w:r>
      <w:r>
        <w:rPr>
          <w:rFonts w:hint="eastAsia" w:ascii="仿宋_GB2312" w:hAnsi="仿宋_GB2312" w:eastAsia="仿宋_GB2312" w:cs="仿宋_GB2312"/>
          <w:sz w:val="32"/>
          <w:szCs w:val="32"/>
          <w:lang w:eastAsia="zh-CN"/>
        </w:rPr>
        <w:t>蒋敏</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lang w:val="en-US" w:eastAsia="zh-CN"/>
        </w:rPr>
        <w:t>4836791</w:t>
      </w: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"mailto:glyjjfgk@guilin.gov.cn"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qzawb2021</w:t>
      </w:r>
      <w:r>
        <w:rPr>
          <w:rFonts w:hint="eastAsia" w:ascii="仿宋_GB2312" w:hAnsi="仿宋_GB2312" w:eastAsia="仿宋_GB2312" w:cs="仿宋_GB2312"/>
          <w:sz w:val="32"/>
          <w:szCs w:val="32"/>
        </w:rPr>
        <w:t>@guilin.gov.cn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pStyle w:val="7"/>
        <w:widowControl/>
        <w:spacing w:line="540" w:lineRule="exact"/>
        <w:ind w:firstLine="640" w:firstLineChars="200"/>
        <w:jc w:val="both"/>
        <w:rPr>
          <w:rFonts w:hint="eastAsia" w:ascii="仿宋_GB2312" w:hAnsi="仿宋_GB2312" w:eastAsia="仿宋_GB2312" w:cs="仿宋_GB2312"/>
          <w:color w:val="000000"/>
          <w:sz w:val="32"/>
          <w:szCs w:val="32"/>
        </w:rPr>
      </w:pPr>
    </w:p>
    <w:p>
      <w:pPr>
        <w:pStyle w:val="7"/>
        <w:widowControl/>
        <w:spacing w:line="54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附件：1.“安全生产月”活动联络员反馈表</w:t>
      </w:r>
    </w:p>
    <w:p>
      <w:pPr>
        <w:widowControl/>
        <w:spacing w:line="54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2.“安全生产月”活动进展情况统计表</w:t>
      </w:r>
    </w:p>
    <w:p>
      <w:pPr>
        <w:pStyle w:val="2"/>
      </w:pPr>
    </w:p>
    <w:p>
      <w:pPr>
        <w:pStyle w:val="2"/>
      </w:pPr>
    </w:p>
    <w:p>
      <w:pPr>
        <w:pStyle w:val="2"/>
      </w:pPr>
    </w:p>
    <w:p>
      <w:pPr>
        <w:pStyle w:val="2"/>
      </w:pPr>
    </w:p>
    <w:p>
      <w:pPr>
        <w:pStyle w:val="2"/>
        <w:sectPr>
          <w:headerReference r:id="rId3" w:type="default"/>
          <w:footerReference r:id="rId4" w:type="default"/>
          <w:footerReference r:id="rId5" w:type="even"/>
          <w:pgSz w:w="11906" w:h="16838"/>
          <w:pgMar w:top="2098" w:right="1474" w:bottom="1984" w:left="1587" w:header="851" w:footer="1587" w:gutter="0"/>
          <w:cols w:space="0" w:num="1"/>
          <w:docGrid w:type="lines" w:linePitch="340" w:charSpace="0"/>
        </w:sectPr>
      </w:pPr>
    </w:p>
    <w:p>
      <w:pPr>
        <w:pStyle w:val="2"/>
      </w:pPr>
    </w:p>
    <w:p>
      <w:pPr>
        <w:spacing w:line="540" w:lineRule="exact"/>
      </w:pPr>
      <w:r>
        <w:rPr>
          <w:rFonts w:hint="eastAsia" w:ascii="黑体" w:hAnsi="黑体" w:eastAsia="黑体" w:cs="宋体"/>
          <w:color w:val="000000"/>
          <w:sz w:val="32"/>
          <w:szCs w:val="32"/>
        </w:rPr>
        <w:t>附件1</w:t>
      </w:r>
    </w:p>
    <w:p>
      <w:pPr>
        <w:spacing w:line="540" w:lineRule="exact"/>
        <w:jc w:val="center"/>
        <w:rPr>
          <w:rFonts w:ascii="宋体" w:hAnsi="宋体" w:eastAsia="方正小标宋简体" w:cs="宋体"/>
          <w:color w:val="000000"/>
          <w:sz w:val="44"/>
          <w:szCs w:val="44"/>
        </w:rPr>
      </w:pPr>
    </w:p>
    <w:p>
      <w:pPr>
        <w:spacing w:line="540" w:lineRule="exact"/>
        <w:jc w:val="center"/>
        <w:rPr>
          <w:rFonts w:ascii="宋体" w:hAnsi="宋体" w:eastAsia="方正小标宋简体" w:cs="宋体"/>
          <w:color w:val="000000"/>
          <w:sz w:val="44"/>
          <w:szCs w:val="44"/>
        </w:rPr>
      </w:pPr>
      <w:r>
        <w:rPr>
          <w:rFonts w:hint="eastAsia" w:ascii="宋体" w:hAnsi="宋体" w:eastAsia="方正小标宋简体" w:cs="宋体"/>
          <w:color w:val="000000"/>
          <w:sz w:val="44"/>
          <w:szCs w:val="44"/>
        </w:rPr>
        <w:t>“安全生产月”活动联络员反馈表</w:t>
      </w:r>
    </w:p>
    <w:p>
      <w:pPr>
        <w:pStyle w:val="2"/>
      </w:pPr>
    </w:p>
    <w:tbl>
      <w:tblPr>
        <w:tblStyle w:val="10"/>
        <w:tblpPr w:leftFromText="180" w:rightFromText="180" w:vertAnchor="text" w:horzAnchor="page" w:tblpX="2503" w:tblpY="463"/>
        <w:tblOverlap w:val="never"/>
        <w:tblW w:w="14105" w:type="dxa"/>
        <w:tblInd w:w="0" w:type="dxa"/>
        <w:tblLayout w:type="fixed"/>
        <w:tblCellMar>
          <w:top w:w="0" w:type="dxa"/>
          <w:left w:w="108" w:type="dxa"/>
          <w:bottom w:w="0" w:type="dxa"/>
          <w:right w:w="108" w:type="dxa"/>
        </w:tblCellMar>
      </w:tblPr>
      <w:tblGrid>
        <w:gridCol w:w="2088"/>
        <w:gridCol w:w="2261"/>
        <w:gridCol w:w="1741"/>
        <w:gridCol w:w="2434"/>
        <w:gridCol w:w="1915"/>
        <w:gridCol w:w="2484"/>
        <w:gridCol w:w="240"/>
        <w:gridCol w:w="240"/>
        <w:gridCol w:w="702"/>
      </w:tblGrid>
      <w:tr>
        <w:tblPrEx>
          <w:tblCellMar>
            <w:top w:w="0" w:type="dxa"/>
            <w:left w:w="108" w:type="dxa"/>
            <w:bottom w:w="0" w:type="dxa"/>
            <w:right w:w="108" w:type="dxa"/>
          </w:tblCellMar>
        </w:tblPrEx>
        <w:trPr>
          <w:trHeight w:val="869" w:hRule="atLeast"/>
        </w:trPr>
        <w:tc>
          <w:tcPr>
            <w:tcW w:w="2088" w:type="dxa"/>
            <w:tcBorders>
              <w:top w:val="single" w:color="auto" w:sz="4" w:space="0"/>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宋体" w:eastAsia="仿宋_GB2312"/>
                <w:color w:val="000000"/>
                <w:sz w:val="32"/>
                <w:szCs w:val="32"/>
              </w:rPr>
              <w:t xml:space="preserve">姓 </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名</w:t>
            </w:r>
          </w:p>
        </w:tc>
        <w:tc>
          <w:tcPr>
            <w:tcW w:w="2261" w:type="dxa"/>
            <w:tcBorders>
              <w:top w:val="single" w:color="auto" w:sz="4" w:space="0"/>
              <w:left w:val="nil"/>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p>
        </w:tc>
        <w:tc>
          <w:tcPr>
            <w:tcW w:w="1741" w:type="dxa"/>
            <w:tcBorders>
              <w:top w:val="single" w:color="auto" w:sz="4" w:space="0"/>
              <w:left w:val="nil"/>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宋体" w:eastAsia="仿宋_GB2312"/>
                <w:color w:val="000000"/>
                <w:sz w:val="32"/>
                <w:szCs w:val="32"/>
              </w:rPr>
              <w:t>性别</w:t>
            </w:r>
          </w:p>
        </w:tc>
        <w:tc>
          <w:tcPr>
            <w:tcW w:w="2434" w:type="dxa"/>
            <w:tcBorders>
              <w:top w:val="single" w:color="auto" w:sz="4" w:space="0"/>
              <w:left w:val="nil"/>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p>
        </w:tc>
        <w:tc>
          <w:tcPr>
            <w:tcW w:w="1915" w:type="dxa"/>
            <w:tcBorders>
              <w:top w:val="single" w:color="auto" w:sz="4" w:space="0"/>
              <w:left w:val="nil"/>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宋体" w:eastAsia="仿宋_GB2312"/>
                <w:color w:val="000000"/>
                <w:sz w:val="32"/>
                <w:szCs w:val="32"/>
              </w:rPr>
              <w:t>职务</w:t>
            </w:r>
          </w:p>
        </w:tc>
        <w:tc>
          <w:tcPr>
            <w:tcW w:w="2484" w:type="dxa"/>
            <w:tcBorders>
              <w:top w:val="single" w:color="auto" w:sz="4" w:space="0"/>
              <w:left w:val="nil"/>
              <w:bottom w:val="single" w:color="auto" w:sz="4" w:space="0"/>
              <w:right w:val="single" w:color="auto" w:sz="4" w:space="0"/>
            </w:tcBorders>
            <w:vAlign w:val="center"/>
          </w:tcPr>
          <w:p>
            <w:pPr>
              <w:spacing w:line="540" w:lineRule="exact"/>
              <w:rPr>
                <w:rFonts w:ascii="仿宋_GB2312" w:hAnsi="宋体" w:eastAsia="仿宋_GB2312" w:cs="宋体"/>
                <w:color w:val="000000"/>
                <w:sz w:val="32"/>
                <w:szCs w:val="32"/>
              </w:rPr>
            </w:pPr>
          </w:p>
        </w:tc>
        <w:tc>
          <w:tcPr>
            <w:tcW w:w="240" w:type="dxa"/>
            <w:tcBorders>
              <w:top w:val="nil"/>
              <w:left w:val="nil"/>
              <w:bottom w:val="nil"/>
              <w:right w:val="nil"/>
            </w:tcBorders>
            <w:tcMar>
              <w:top w:w="0" w:type="dxa"/>
              <w:left w:w="0" w:type="dxa"/>
              <w:bottom w:w="0" w:type="dxa"/>
              <w:right w:w="0" w:type="dxa"/>
            </w:tcMar>
            <w:vAlign w:val="center"/>
          </w:tcPr>
          <w:p>
            <w:r>
              <w:rPr>
                <w:rFonts w:hint="eastAsia"/>
              </w:rPr>
              <w:t> </w:t>
            </w:r>
          </w:p>
        </w:tc>
        <w:tc>
          <w:tcPr>
            <w:tcW w:w="240" w:type="dxa"/>
            <w:vAlign w:val="center"/>
          </w:tcPr>
          <w:p>
            <w:pPr>
              <w:widowControl/>
              <w:jc w:val="left"/>
              <w:rPr>
                <w:rFonts w:ascii="等线" w:hAnsi="等线" w:eastAsia="等线"/>
                <w:kern w:val="0"/>
                <w:sz w:val="20"/>
                <w:szCs w:val="20"/>
              </w:rPr>
            </w:pPr>
          </w:p>
        </w:tc>
        <w:tc>
          <w:tcPr>
            <w:tcW w:w="702" w:type="dxa"/>
            <w:vAlign w:val="center"/>
          </w:tcPr>
          <w:p>
            <w:pPr>
              <w:widowControl/>
              <w:jc w:val="left"/>
              <w:rPr>
                <w:rFonts w:ascii="等线" w:hAnsi="等线" w:eastAsia="等线"/>
                <w:kern w:val="0"/>
                <w:sz w:val="20"/>
                <w:szCs w:val="20"/>
              </w:rPr>
            </w:pPr>
          </w:p>
        </w:tc>
      </w:tr>
      <w:tr>
        <w:tblPrEx>
          <w:tblCellMar>
            <w:top w:w="0" w:type="dxa"/>
            <w:left w:w="108" w:type="dxa"/>
            <w:bottom w:w="0" w:type="dxa"/>
            <w:right w:w="108" w:type="dxa"/>
          </w:tblCellMar>
        </w:tblPrEx>
        <w:trPr>
          <w:trHeight w:val="908" w:hRule="atLeast"/>
        </w:trPr>
        <w:tc>
          <w:tcPr>
            <w:tcW w:w="2088" w:type="dxa"/>
            <w:tcBorders>
              <w:top w:val="nil"/>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宋体" w:eastAsia="仿宋_GB2312"/>
                <w:color w:val="000000"/>
                <w:sz w:val="32"/>
                <w:szCs w:val="32"/>
              </w:rPr>
              <w:t>办公电话</w:t>
            </w:r>
          </w:p>
        </w:tc>
        <w:tc>
          <w:tcPr>
            <w:tcW w:w="2261" w:type="dxa"/>
            <w:tcBorders>
              <w:top w:val="nil"/>
              <w:left w:val="nil"/>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p>
        </w:tc>
        <w:tc>
          <w:tcPr>
            <w:tcW w:w="1741" w:type="dxa"/>
            <w:tcBorders>
              <w:top w:val="nil"/>
              <w:left w:val="nil"/>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宋体" w:eastAsia="仿宋_GB2312"/>
                <w:color w:val="000000"/>
                <w:sz w:val="32"/>
                <w:szCs w:val="32"/>
              </w:rPr>
              <w:t>手机</w:t>
            </w:r>
          </w:p>
        </w:tc>
        <w:tc>
          <w:tcPr>
            <w:tcW w:w="2434" w:type="dxa"/>
            <w:tcBorders>
              <w:top w:val="nil"/>
              <w:left w:val="nil"/>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p>
        </w:tc>
        <w:tc>
          <w:tcPr>
            <w:tcW w:w="1915" w:type="dxa"/>
            <w:tcBorders>
              <w:top w:val="nil"/>
              <w:left w:val="nil"/>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宋体" w:eastAsia="仿宋_GB2312"/>
                <w:color w:val="000000"/>
                <w:sz w:val="32"/>
                <w:szCs w:val="32"/>
              </w:rPr>
              <w:t>传真</w:t>
            </w:r>
          </w:p>
        </w:tc>
        <w:tc>
          <w:tcPr>
            <w:tcW w:w="2484" w:type="dxa"/>
            <w:tcBorders>
              <w:top w:val="single" w:color="auto" w:sz="4" w:space="0"/>
              <w:left w:val="nil"/>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p>
        </w:tc>
        <w:tc>
          <w:tcPr>
            <w:tcW w:w="240" w:type="dxa"/>
            <w:tcBorders>
              <w:top w:val="nil"/>
              <w:left w:val="nil"/>
              <w:bottom w:val="nil"/>
              <w:right w:val="nil"/>
            </w:tcBorders>
            <w:tcMar>
              <w:top w:w="0" w:type="dxa"/>
              <w:left w:w="0" w:type="dxa"/>
              <w:bottom w:w="0" w:type="dxa"/>
              <w:right w:w="0" w:type="dxa"/>
            </w:tcMar>
            <w:vAlign w:val="center"/>
          </w:tcPr>
          <w:p>
            <w:r>
              <w:rPr>
                <w:rFonts w:hint="eastAsia"/>
              </w:rPr>
              <w:t> </w:t>
            </w:r>
          </w:p>
        </w:tc>
        <w:tc>
          <w:tcPr>
            <w:tcW w:w="240" w:type="dxa"/>
            <w:vAlign w:val="center"/>
          </w:tcPr>
          <w:p>
            <w:pPr>
              <w:widowControl/>
              <w:jc w:val="left"/>
              <w:rPr>
                <w:rFonts w:ascii="等线" w:hAnsi="等线" w:eastAsia="等线"/>
                <w:kern w:val="0"/>
                <w:sz w:val="20"/>
                <w:szCs w:val="20"/>
              </w:rPr>
            </w:pPr>
          </w:p>
        </w:tc>
        <w:tc>
          <w:tcPr>
            <w:tcW w:w="702" w:type="dxa"/>
            <w:vAlign w:val="center"/>
          </w:tcPr>
          <w:p>
            <w:pPr>
              <w:widowControl/>
              <w:jc w:val="left"/>
              <w:rPr>
                <w:rFonts w:ascii="等线" w:hAnsi="等线" w:eastAsia="等线"/>
                <w:kern w:val="0"/>
                <w:sz w:val="20"/>
                <w:szCs w:val="20"/>
              </w:rPr>
            </w:pPr>
          </w:p>
        </w:tc>
      </w:tr>
      <w:tr>
        <w:tblPrEx>
          <w:tblCellMar>
            <w:top w:w="0" w:type="dxa"/>
            <w:left w:w="108" w:type="dxa"/>
            <w:bottom w:w="0" w:type="dxa"/>
            <w:right w:w="108" w:type="dxa"/>
          </w:tblCellMar>
        </w:tblPrEx>
        <w:trPr>
          <w:trHeight w:val="832" w:hRule="atLeast"/>
        </w:trPr>
        <w:tc>
          <w:tcPr>
            <w:tcW w:w="2088" w:type="dxa"/>
            <w:tcBorders>
              <w:top w:val="nil"/>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olor w:val="000000"/>
                <w:sz w:val="32"/>
                <w:szCs w:val="32"/>
              </w:rPr>
            </w:pPr>
            <w:r>
              <w:rPr>
                <w:rFonts w:hint="eastAsia" w:ascii="仿宋_GB2312" w:hAnsi="宋体" w:eastAsia="仿宋_GB2312"/>
                <w:color w:val="000000"/>
                <w:sz w:val="32"/>
                <w:szCs w:val="32"/>
              </w:rPr>
              <w:t>电子邮箱</w:t>
            </w:r>
          </w:p>
        </w:tc>
        <w:tc>
          <w:tcPr>
            <w:tcW w:w="10835" w:type="dxa"/>
            <w:gridSpan w:val="5"/>
            <w:tcBorders>
              <w:top w:val="single" w:color="auto" w:sz="4" w:space="0"/>
              <w:left w:val="nil"/>
              <w:bottom w:val="single" w:color="auto" w:sz="4" w:space="0"/>
              <w:right w:val="single" w:color="auto" w:sz="4" w:space="0"/>
            </w:tcBorders>
            <w:vAlign w:val="bottom"/>
          </w:tcPr>
          <w:p>
            <w:pPr>
              <w:spacing w:line="540" w:lineRule="exact"/>
              <w:jc w:val="center"/>
              <w:rPr>
                <w:rFonts w:ascii="仿宋_GB2312" w:hAnsi="宋体" w:eastAsia="仿宋_GB2312"/>
                <w:color w:val="000000"/>
                <w:sz w:val="32"/>
                <w:szCs w:val="32"/>
              </w:rPr>
            </w:pPr>
          </w:p>
        </w:tc>
        <w:tc>
          <w:tcPr>
            <w:tcW w:w="240" w:type="dxa"/>
            <w:tcBorders>
              <w:top w:val="nil"/>
              <w:left w:val="nil"/>
              <w:bottom w:val="nil"/>
              <w:right w:val="nil"/>
            </w:tcBorders>
            <w:tcMar>
              <w:top w:w="0" w:type="dxa"/>
              <w:left w:w="0" w:type="dxa"/>
              <w:bottom w:w="0" w:type="dxa"/>
              <w:right w:w="0" w:type="dxa"/>
            </w:tcMar>
            <w:vAlign w:val="center"/>
          </w:tcPr>
          <w:p/>
        </w:tc>
        <w:tc>
          <w:tcPr>
            <w:tcW w:w="240" w:type="dxa"/>
            <w:vAlign w:val="center"/>
          </w:tcPr>
          <w:p>
            <w:pPr>
              <w:widowControl/>
              <w:jc w:val="left"/>
              <w:rPr>
                <w:rFonts w:ascii="等线" w:hAnsi="等线" w:eastAsia="等线"/>
                <w:kern w:val="0"/>
                <w:sz w:val="20"/>
                <w:szCs w:val="20"/>
              </w:rPr>
            </w:pPr>
          </w:p>
        </w:tc>
        <w:tc>
          <w:tcPr>
            <w:tcW w:w="702" w:type="dxa"/>
            <w:vAlign w:val="center"/>
          </w:tcPr>
          <w:p>
            <w:pPr>
              <w:widowControl/>
              <w:jc w:val="left"/>
              <w:rPr>
                <w:rFonts w:ascii="等线" w:hAnsi="等线" w:eastAsia="等线"/>
                <w:kern w:val="0"/>
                <w:sz w:val="20"/>
                <w:szCs w:val="20"/>
              </w:rPr>
            </w:pPr>
          </w:p>
        </w:tc>
      </w:tr>
      <w:tr>
        <w:tblPrEx>
          <w:tblCellMar>
            <w:top w:w="0" w:type="dxa"/>
            <w:left w:w="108" w:type="dxa"/>
            <w:bottom w:w="0" w:type="dxa"/>
            <w:right w:w="108" w:type="dxa"/>
          </w:tblCellMar>
        </w:tblPrEx>
        <w:trPr>
          <w:trHeight w:val="877" w:hRule="atLeast"/>
        </w:trPr>
        <w:tc>
          <w:tcPr>
            <w:tcW w:w="2088" w:type="dxa"/>
            <w:tcBorders>
              <w:top w:val="nil"/>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宋体" w:eastAsia="仿宋_GB2312"/>
                <w:color w:val="000000"/>
                <w:sz w:val="32"/>
                <w:szCs w:val="32"/>
              </w:rPr>
              <w:t>单位名称</w:t>
            </w:r>
          </w:p>
        </w:tc>
        <w:tc>
          <w:tcPr>
            <w:tcW w:w="10835" w:type="dxa"/>
            <w:gridSpan w:val="5"/>
            <w:tcBorders>
              <w:top w:val="single" w:color="auto" w:sz="4" w:space="0"/>
              <w:left w:val="nil"/>
              <w:bottom w:val="single" w:color="auto" w:sz="4" w:space="0"/>
              <w:right w:val="single" w:color="auto" w:sz="4" w:space="0"/>
            </w:tcBorders>
            <w:vAlign w:val="bottom"/>
          </w:tcPr>
          <w:p>
            <w:pPr>
              <w:spacing w:line="540" w:lineRule="exact"/>
              <w:jc w:val="center"/>
              <w:rPr>
                <w:rFonts w:ascii="仿宋_GB2312" w:hAnsi="宋体" w:eastAsia="仿宋_GB2312"/>
                <w:color w:val="000000"/>
                <w:sz w:val="32"/>
                <w:szCs w:val="32"/>
              </w:rPr>
            </w:pPr>
          </w:p>
        </w:tc>
        <w:tc>
          <w:tcPr>
            <w:tcW w:w="240" w:type="dxa"/>
            <w:tcBorders>
              <w:top w:val="nil"/>
              <w:left w:val="nil"/>
              <w:bottom w:val="nil"/>
              <w:right w:val="nil"/>
            </w:tcBorders>
            <w:tcMar>
              <w:top w:w="0" w:type="dxa"/>
              <w:left w:w="0" w:type="dxa"/>
              <w:bottom w:w="0" w:type="dxa"/>
              <w:right w:w="0" w:type="dxa"/>
            </w:tcMar>
            <w:vAlign w:val="center"/>
          </w:tcPr>
          <w:p>
            <w:r>
              <w:rPr>
                <w:rFonts w:hint="eastAsia"/>
              </w:rPr>
              <w:t> </w:t>
            </w:r>
          </w:p>
        </w:tc>
        <w:tc>
          <w:tcPr>
            <w:tcW w:w="240" w:type="dxa"/>
            <w:vAlign w:val="center"/>
          </w:tcPr>
          <w:p>
            <w:pPr>
              <w:widowControl/>
              <w:jc w:val="left"/>
              <w:rPr>
                <w:rFonts w:ascii="等线" w:hAnsi="等线" w:eastAsia="等线"/>
                <w:kern w:val="0"/>
                <w:sz w:val="20"/>
                <w:szCs w:val="20"/>
              </w:rPr>
            </w:pPr>
          </w:p>
        </w:tc>
        <w:tc>
          <w:tcPr>
            <w:tcW w:w="702" w:type="dxa"/>
            <w:vAlign w:val="center"/>
          </w:tcPr>
          <w:p>
            <w:pPr>
              <w:widowControl/>
              <w:jc w:val="left"/>
              <w:rPr>
                <w:rFonts w:ascii="等线" w:hAnsi="等线" w:eastAsia="等线"/>
                <w:kern w:val="0"/>
                <w:sz w:val="20"/>
                <w:szCs w:val="20"/>
              </w:rPr>
            </w:pPr>
          </w:p>
        </w:tc>
      </w:tr>
      <w:tr>
        <w:tblPrEx>
          <w:tblCellMar>
            <w:top w:w="0" w:type="dxa"/>
            <w:left w:w="108" w:type="dxa"/>
            <w:bottom w:w="0" w:type="dxa"/>
            <w:right w:w="108" w:type="dxa"/>
          </w:tblCellMar>
        </w:tblPrEx>
        <w:trPr>
          <w:trHeight w:val="959" w:hRule="atLeast"/>
        </w:trPr>
        <w:tc>
          <w:tcPr>
            <w:tcW w:w="2088" w:type="dxa"/>
            <w:tcBorders>
              <w:top w:val="nil"/>
              <w:left w:val="single" w:color="auto" w:sz="4" w:space="0"/>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r>
              <w:rPr>
                <w:rFonts w:hint="eastAsia" w:ascii="仿宋_GB2312" w:hAnsi="宋体" w:eastAsia="仿宋_GB2312"/>
                <w:color w:val="000000"/>
                <w:sz w:val="32"/>
                <w:szCs w:val="32"/>
              </w:rPr>
              <w:t>通信地址</w:t>
            </w:r>
          </w:p>
        </w:tc>
        <w:tc>
          <w:tcPr>
            <w:tcW w:w="10835" w:type="dxa"/>
            <w:gridSpan w:val="5"/>
            <w:tcBorders>
              <w:top w:val="single" w:color="auto" w:sz="4" w:space="0"/>
              <w:left w:val="nil"/>
              <w:bottom w:val="single" w:color="auto" w:sz="4" w:space="0"/>
              <w:right w:val="single" w:color="auto" w:sz="4" w:space="0"/>
            </w:tcBorders>
            <w:vAlign w:val="center"/>
          </w:tcPr>
          <w:p>
            <w:pPr>
              <w:spacing w:line="540" w:lineRule="exact"/>
              <w:jc w:val="center"/>
              <w:rPr>
                <w:rFonts w:ascii="仿宋_GB2312" w:hAnsi="宋体" w:eastAsia="仿宋_GB2312" w:cs="宋体"/>
                <w:color w:val="000000"/>
                <w:sz w:val="32"/>
                <w:szCs w:val="32"/>
              </w:rPr>
            </w:pPr>
          </w:p>
        </w:tc>
        <w:tc>
          <w:tcPr>
            <w:tcW w:w="240" w:type="dxa"/>
            <w:tcBorders>
              <w:top w:val="nil"/>
              <w:left w:val="nil"/>
              <w:bottom w:val="nil"/>
              <w:right w:val="nil"/>
            </w:tcBorders>
            <w:tcMar>
              <w:top w:w="0" w:type="dxa"/>
              <w:left w:w="0" w:type="dxa"/>
              <w:bottom w:w="0" w:type="dxa"/>
              <w:right w:w="0" w:type="dxa"/>
            </w:tcMar>
            <w:vAlign w:val="center"/>
          </w:tcPr>
          <w:p>
            <w:r>
              <w:rPr>
                <w:rFonts w:hint="eastAsia"/>
              </w:rPr>
              <w:t> </w:t>
            </w:r>
          </w:p>
        </w:tc>
        <w:tc>
          <w:tcPr>
            <w:tcW w:w="240" w:type="dxa"/>
            <w:vAlign w:val="center"/>
          </w:tcPr>
          <w:p>
            <w:pPr>
              <w:widowControl/>
              <w:jc w:val="left"/>
              <w:rPr>
                <w:rFonts w:ascii="等线" w:hAnsi="等线" w:eastAsia="等线"/>
                <w:kern w:val="0"/>
                <w:sz w:val="20"/>
                <w:szCs w:val="20"/>
              </w:rPr>
            </w:pPr>
          </w:p>
        </w:tc>
        <w:tc>
          <w:tcPr>
            <w:tcW w:w="702" w:type="dxa"/>
            <w:vAlign w:val="center"/>
          </w:tcPr>
          <w:p>
            <w:pPr>
              <w:widowControl/>
              <w:jc w:val="left"/>
              <w:rPr>
                <w:rFonts w:ascii="等线" w:hAnsi="等线" w:eastAsia="等线"/>
                <w:kern w:val="0"/>
                <w:sz w:val="20"/>
                <w:szCs w:val="20"/>
              </w:rPr>
            </w:pPr>
          </w:p>
        </w:tc>
      </w:tr>
    </w:tbl>
    <w:p>
      <w:pPr>
        <w:pStyle w:val="2"/>
      </w:pPr>
    </w:p>
    <w:p>
      <w:pPr>
        <w:pStyle w:val="2"/>
      </w:pPr>
    </w:p>
    <w:p>
      <w:pPr>
        <w:pStyle w:val="2"/>
        <w:rPr>
          <w:rFonts w:eastAsia="仿宋_GB2312" w:cs="Times New Roman"/>
          <w:sz w:val="32"/>
          <w:szCs w:val="32"/>
        </w:rPr>
      </w:pPr>
    </w:p>
    <w:p>
      <w:pPr>
        <w:pStyle w:val="2"/>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注：请于5月2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日前将此表发到邮箱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"mailto:glyjjfgk@guilin.gov.cn"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qzawb2021</w:t>
      </w:r>
      <w:r>
        <w:rPr>
          <w:rFonts w:hint="eastAsia" w:ascii="仿宋_GB2312" w:hAnsi="仿宋_GB2312" w:eastAsia="仿宋_GB2312" w:cs="仿宋_GB2312"/>
          <w:sz w:val="32"/>
          <w:szCs w:val="32"/>
        </w:rPr>
        <w:t>@guilin.gov.cn</w:t>
      </w:r>
      <w:r>
        <w:rPr>
          <w:rFonts w:hint="eastAsia" w:ascii="仿宋_GB2312" w:hAnsi="仿宋_GB2312" w:eastAsia="仿宋_GB2312" w:cs="仿宋_GB2312"/>
          <w:sz w:val="32"/>
          <w:szCs w:val="32"/>
        </w:rPr>
        <w:fldChar w:fldCharType="end"/>
      </w:r>
    </w:p>
    <w:p>
      <w:pPr>
        <w:pStyle w:val="2"/>
      </w:pPr>
    </w:p>
    <w:p>
      <w:pPr>
        <w:pStyle w:val="2"/>
      </w:pPr>
    </w:p>
    <w:p>
      <w:pPr>
        <w:rPr>
          <w:rFonts w:ascii="黑体" w:hAnsi="黑体" w:eastAsia="黑体" w:cs="黑体"/>
          <w:sz w:val="32"/>
          <w:szCs w:val="32"/>
        </w:rPr>
      </w:pPr>
      <w:r>
        <w:rPr>
          <w:rFonts w:hint="eastAsia" w:ascii="黑体" w:hAnsi="黑体" w:eastAsia="黑体" w:cs="黑体"/>
          <w:sz w:val="32"/>
          <w:szCs w:val="32"/>
        </w:rPr>
        <w:t>附件2</w:t>
      </w:r>
    </w:p>
    <w:p>
      <w:pPr>
        <w:pStyle w:val="9"/>
        <w:ind w:left="0" w:leftChars="0" w:firstLine="0" w:firstLineChars="0"/>
        <w:jc w:val="center"/>
        <w:rPr>
          <w:rFonts w:ascii="方正小标宋简体" w:hAnsi="华文中宋" w:eastAsia="方正小标宋简体"/>
          <w:bCs/>
          <w:color w:val="000000"/>
          <w:sz w:val="44"/>
          <w:szCs w:val="44"/>
        </w:rPr>
      </w:pPr>
      <w:r>
        <w:t xml:space="preserve">  </w:t>
      </w:r>
      <w:bookmarkStart w:id="0" w:name="_Hlk100820550"/>
      <w:r>
        <w:rPr>
          <w:rFonts w:hint="eastAsia" w:ascii="方正小标宋简体" w:hAnsi="华文中宋" w:eastAsia="方正小标宋简体" w:cs="方正小标宋简体"/>
          <w:bCs/>
          <w:color w:val="000000"/>
          <w:sz w:val="44"/>
          <w:szCs w:val="44"/>
        </w:rPr>
        <w:t>“安全生产月”活动进展情况统计表</w:t>
      </w:r>
      <w:bookmarkEnd w:id="0"/>
    </w:p>
    <w:p>
      <w:pPr>
        <w:pStyle w:val="9"/>
        <w:ind w:left="0" w:leftChars="0" w:firstLine="0" w:firstLineChars="0"/>
        <w:rPr>
          <w:rFonts w:ascii="黑体" w:hAnsi="黑体" w:eastAsia="黑体" w:cs="黑体"/>
          <w:b/>
          <w:bCs/>
          <w:color w:val="000000"/>
          <w:kern w:val="0"/>
          <w:sz w:val="24"/>
        </w:rPr>
      </w:pPr>
      <w:r>
        <w:rPr>
          <w:rFonts w:hint="eastAsia" w:ascii="楷体_GB2312" w:hAnsi="宋体" w:eastAsia="楷体_GB2312" w:cs="宋体"/>
          <w:bCs/>
          <w:color w:val="000000"/>
          <w:sz w:val="28"/>
          <w:szCs w:val="28"/>
        </w:rPr>
        <w:t>填报单位（盖章）：</w:t>
      </w:r>
      <w:r>
        <w:rPr>
          <w:rFonts w:hint="eastAsia" w:ascii="楷体_GB2312" w:hAnsi="宋体" w:eastAsia="楷体_GB2312" w:cs="宋体"/>
          <w:bCs/>
          <w:color w:val="000000"/>
          <w:sz w:val="28"/>
          <w:szCs w:val="28"/>
          <w:u w:val="single"/>
        </w:rPr>
        <w:t xml:space="preserve">        　　　　　　    </w:t>
      </w:r>
      <w:r>
        <w:rPr>
          <w:rFonts w:hint="eastAsia" w:ascii="楷体_GB2312" w:hAnsi="宋体" w:eastAsia="楷体_GB2312" w:cs="宋体"/>
          <w:bCs/>
          <w:color w:val="000000"/>
          <w:sz w:val="28"/>
          <w:szCs w:val="28"/>
        </w:rPr>
        <w:t>联系人：</w:t>
      </w:r>
      <w:r>
        <w:rPr>
          <w:rFonts w:hint="eastAsia" w:ascii="楷体_GB2312" w:hAnsi="宋体" w:eastAsia="楷体_GB2312" w:cs="宋体"/>
          <w:bCs/>
          <w:color w:val="000000"/>
          <w:sz w:val="28"/>
          <w:szCs w:val="28"/>
          <w:u w:val="single"/>
        </w:rPr>
        <w:t xml:space="preserve">    　　  </w:t>
      </w:r>
      <w:r>
        <w:rPr>
          <w:rFonts w:hint="eastAsia" w:ascii="楷体_GB2312" w:hAnsi="宋体" w:eastAsia="楷体_GB2312" w:cs="宋体"/>
          <w:bCs/>
          <w:color w:val="000000"/>
          <w:sz w:val="28"/>
          <w:szCs w:val="28"/>
        </w:rPr>
        <w:t>电话：</w:t>
      </w:r>
      <w:r>
        <w:rPr>
          <w:rFonts w:hint="eastAsia" w:ascii="楷体_GB2312" w:hAnsi="宋体" w:eastAsia="楷体_GB2312" w:cs="宋体"/>
          <w:bCs/>
          <w:color w:val="000000"/>
          <w:sz w:val="28"/>
          <w:szCs w:val="28"/>
          <w:u w:val="single"/>
        </w:rPr>
        <w:t xml:space="preserve">  　　     </w:t>
      </w:r>
      <w:r>
        <w:rPr>
          <w:rFonts w:hint="eastAsia" w:ascii="楷体_GB2312" w:hAnsi="宋体" w:eastAsia="楷体_GB2312" w:cs="宋体"/>
          <w:bCs/>
          <w:color w:val="000000"/>
          <w:sz w:val="28"/>
          <w:szCs w:val="28"/>
        </w:rPr>
        <w:t xml:space="preserve">填报日期：            </w:t>
      </w:r>
      <w:r>
        <w:rPr>
          <w:rFonts w:hint="eastAsia" w:ascii="楷体_GB2312" w:hAnsi="宋体" w:eastAsia="楷体_GB2312" w:cs="宋体"/>
          <w:bCs/>
          <w:color w:val="000000"/>
          <w:sz w:val="28"/>
          <w:szCs w:val="28"/>
          <w:u w:val="single"/>
        </w:rPr>
        <w:t xml:space="preserve">              </w:t>
      </w:r>
      <w:r>
        <w:rPr>
          <w:rFonts w:hint="eastAsia" w:ascii="黑体" w:hAnsi="黑体" w:eastAsia="黑体" w:cs="黑体"/>
          <w:b/>
          <w:bCs/>
          <w:color w:val="000000"/>
          <w:kern w:val="0"/>
          <w:sz w:val="24"/>
        </w:rPr>
        <w:t xml:space="preserve"> 　　    </w:t>
      </w:r>
    </w:p>
    <w:tbl>
      <w:tblPr>
        <w:tblStyle w:val="10"/>
        <w:tblW w:w="1388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5"/>
        <w:gridCol w:w="10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3815" w:type="dxa"/>
            <w:tcBorders>
              <w:top w:val="single" w:color="auto" w:sz="4" w:space="0"/>
              <w:left w:val="single" w:color="auto" w:sz="4" w:space="0"/>
              <w:bottom w:val="single" w:color="auto" w:sz="4" w:space="0"/>
              <w:right w:val="single" w:color="auto" w:sz="4" w:space="0"/>
            </w:tcBorders>
          </w:tcPr>
          <w:p>
            <w:pPr>
              <w:pStyle w:val="9"/>
              <w:ind w:left="-65" w:leftChars="-31" w:firstLine="8" w:firstLineChars="0"/>
              <w:jc w:val="center"/>
              <w:rPr>
                <w:rFonts w:ascii="黑体" w:hAnsi="黑体" w:eastAsia="黑体" w:cs="黑体"/>
                <w:bCs/>
                <w:color w:val="000000"/>
                <w:sz w:val="24"/>
              </w:rPr>
            </w:pPr>
            <w:r>
              <w:rPr>
                <w:rFonts w:hint="eastAsia" w:ascii="黑体" w:hAnsi="黑体" w:eastAsia="黑体" w:cs="黑体"/>
                <w:bCs/>
                <w:color w:val="000000"/>
                <w:kern w:val="0"/>
                <w:sz w:val="24"/>
              </w:rPr>
              <w:t>活动项目</w:t>
            </w:r>
          </w:p>
        </w:tc>
        <w:tc>
          <w:tcPr>
            <w:tcW w:w="10065" w:type="dxa"/>
            <w:tcBorders>
              <w:top w:val="single" w:color="auto" w:sz="4" w:space="0"/>
              <w:left w:val="nil"/>
              <w:bottom w:val="single" w:color="auto" w:sz="4" w:space="0"/>
              <w:right w:val="single" w:color="auto" w:sz="4" w:space="0"/>
            </w:tcBorders>
          </w:tcPr>
          <w:p>
            <w:pPr>
              <w:pStyle w:val="9"/>
              <w:ind w:left="-65" w:leftChars="-31" w:firstLine="8" w:firstLineChars="0"/>
              <w:jc w:val="center"/>
              <w:rPr>
                <w:rFonts w:ascii="黑体" w:hAnsi="黑体" w:eastAsia="黑体" w:cs="黑体"/>
                <w:bCs/>
                <w:color w:val="000000"/>
                <w:sz w:val="24"/>
              </w:rPr>
            </w:pPr>
            <w:r>
              <w:rPr>
                <w:rFonts w:hint="eastAsia" w:ascii="黑体" w:hAnsi="黑体" w:eastAsia="黑体" w:cs="黑体"/>
                <w:bCs/>
                <w:color w:val="000000"/>
                <w:kern w:val="0"/>
                <w:sz w:val="24"/>
              </w:rPr>
              <w:t>活动进展情况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3815" w:type="dxa"/>
            <w:tcBorders>
              <w:top w:val="single" w:color="auto" w:sz="4" w:space="0"/>
              <w:left w:val="single" w:color="auto" w:sz="4" w:space="0"/>
              <w:bottom w:val="single" w:color="auto" w:sz="4" w:space="0"/>
              <w:right w:val="single" w:color="auto" w:sz="4" w:space="0"/>
            </w:tcBorders>
            <w:vAlign w:val="center"/>
          </w:tcPr>
          <w:p>
            <w:pPr>
              <w:pStyle w:val="7"/>
              <w:widowControl/>
              <w:rPr>
                <w:rFonts w:hint="default" w:ascii="仿宋" w:hAnsi="仿宋" w:eastAsia="仿宋" w:cs="仿宋"/>
                <w:b/>
              </w:rPr>
            </w:pPr>
            <w:r>
              <w:rPr>
                <w:rFonts w:ascii="仿宋" w:hAnsi="仿宋" w:eastAsia="仿宋" w:cs="仿宋"/>
                <w:b/>
                <w:color w:val="000000"/>
              </w:rPr>
              <w:t>1.持续开展习近平总书记关于安全生产重要论述宣贯活动</w:t>
            </w:r>
          </w:p>
          <w:p>
            <w:pPr>
              <w:pStyle w:val="9"/>
              <w:spacing w:line="240" w:lineRule="exact"/>
              <w:ind w:left="0" w:leftChars="0" w:firstLine="0" w:firstLineChars="0"/>
              <w:jc w:val="left"/>
              <w:rPr>
                <w:rFonts w:ascii="仿宋" w:hAnsi="仿宋" w:eastAsia="仿宋" w:cs="仿宋"/>
                <w:b/>
                <w:color w:val="000000"/>
                <w:kern w:val="0"/>
                <w:sz w:val="24"/>
              </w:rPr>
            </w:pPr>
          </w:p>
        </w:tc>
        <w:tc>
          <w:tcPr>
            <w:tcW w:w="10065" w:type="dxa"/>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cs="仿宋"/>
                <w:bCs/>
                <w:sz w:val="24"/>
              </w:rPr>
            </w:pPr>
            <w:r>
              <w:rPr>
                <w:rFonts w:hint="eastAsia" w:ascii="仿宋" w:hAnsi="仿宋" w:eastAsia="仿宋" w:cs="仿宋"/>
                <w:bCs/>
                <w:sz w:val="24"/>
              </w:rPr>
              <w:t>观看《生命重于泰山》专题片(  )场，参与(  )人次；</w:t>
            </w:r>
          </w:p>
          <w:p>
            <w:pPr>
              <w:spacing w:line="280" w:lineRule="exact"/>
              <w:jc w:val="left"/>
              <w:rPr>
                <w:rFonts w:ascii="仿宋" w:hAnsi="仿宋" w:eastAsia="仿宋" w:cs="仿宋"/>
                <w:bCs/>
                <w:sz w:val="24"/>
              </w:rPr>
            </w:pPr>
            <w:r>
              <w:rPr>
                <w:rFonts w:hint="eastAsia" w:ascii="仿宋" w:hAnsi="仿宋" w:eastAsia="仿宋" w:cs="仿宋"/>
                <w:bCs/>
                <w:sz w:val="24"/>
              </w:rPr>
              <w:t>组织学习国务院安委会严格落实安全生产十五条硬措施、自治区二十条细化措施和桂林市二十五工作措施(  )场，参与(  )人次；</w:t>
            </w:r>
          </w:p>
          <w:p>
            <w:pPr>
              <w:spacing w:line="280" w:lineRule="exact"/>
              <w:jc w:val="left"/>
              <w:rPr>
                <w:rFonts w:ascii="仿宋" w:hAnsi="仿宋" w:eastAsia="仿宋" w:cs="仿宋"/>
                <w:bCs/>
                <w:sz w:val="24"/>
              </w:rPr>
            </w:pPr>
            <w:r>
              <w:rPr>
                <w:rFonts w:hint="eastAsia" w:ascii="仿宋" w:hAnsi="仿宋" w:eastAsia="仿宋" w:cs="仿宋"/>
                <w:bCs/>
                <w:sz w:val="24"/>
              </w:rPr>
              <w:t>组织开展宣讲活动(  )场，参与(  )人次，发表评论文章或心得体会（  ）篇；</w:t>
            </w:r>
          </w:p>
          <w:p>
            <w:pPr>
              <w:spacing w:line="280" w:lineRule="exact"/>
              <w:jc w:val="left"/>
              <w:rPr>
                <w:rFonts w:ascii="仿宋" w:hAnsi="仿宋" w:eastAsia="仿宋" w:cs="仿宋"/>
                <w:bCs/>
                <w:sz w:val="24"/>
              </w:rPr>
            </w:pPr>
            <w:r>
              <w:rPr>
                <w:rFonts w:hint="eastAsia" w:ascii="仿宋" w:hAnsi="仿宋" w:eastAsia="仿宋" w:cs="仿宋"/>
                <w:bCs/>
                <w:sz w:val="24"/>
              </w:rPr>
              <w:t>组织开展“安全生产大家谈”“班前会”“以案说法”等活动(  )场,参与(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815" w:type="dxa"/>
            <w:tcBorders>
              <w:top w:val="single" w:color="auto" w:sz="4" w:space="0"/>
              <w:left w:val="single" w:color="auto" w:sz="4" w:space="0"/>
              <w:bottom w:val="single" w:color="auto" w:sz="4" w:space="0"/>
              <w:right w:val="single" w:color="auto" w:sz="4" w:space="0"/>
            </w:tcBorders>
            <w:vAlign w:val="center"/>
          </w:tcPr>
          <w:p>
            <w:pPr>
              <w:pStyle w:val="7"/>
              <w:widowControl/>
              <w:rPr>
                <w:rFonts w:hint="default" w:ascii="仿宋" w:hAnsi="仿宋" w:eastAsia="仿宋" w:cs="仿宋"/>
                <w:b/>
              </w:rPr>
            </w:pPr>
            <w:r>
              <w:rPr>
                <w:rFonts w:ascii="仿宋" w:hAnsi="仿宋" w:eastAsia="仿宋" w:cs="仿宋"/>
                <w:b/>
                <w:color w:val="000000"/>
              </w:rPr>
              <w:t>2.广泛开展安全宣传“五进”活动</w:t>
            </w:r>
          </w:p>
          <w:p>
            <w:pPr>
              <w:pStyle w:val="9"/>
              <w:spacing w:line="240" w:lineRule="exact"/>
              <w:ind w:left="6" w:leftChars="0" w:hanging="6" w:firstLineChars="0"/>
              <w:jc w:val="left"/>
              <w:rPr>
                <w:rFonts w:ascii="仿宋" w:hAnsi="仿宋" w:eastAsia="仿宋" w:cs="仿宋"/>
                <w:b/>
                <w:color w:val="000000"/>
                <w:kern w:val="0"/>
                <w:sz w:val="24"/>
              </w:rPr>
            </w:pPr>
          </w:p>
        </w:tc>
        <w:tc>
          <w:tcPr>
            <w:tcW w:w="10065" w:type="dxa"/>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cs="仿宋"/>
                <w:bCs/>
                <w:sz w:val="24"/>
              </w:rPr>
            </w:pPr>
            <w:r>
              <w:rPr>
                <w:rFonts w:hint="eastAsia" w:ascii="仿宋" w:hAnsi="仿宋" w:eastAsia="仿宋" w:cs="仿宋"/>
                <w:bCs/>
                <w:sz w:val="24"/>
              </w:rPr>
              <w:t>参与“人人讲安全个个会应急”网络知识竞赛(  )人，答题(  )人次；      </w:t>
            </w:r>
          </w:p>
          <w:p>
            <w:pPr>
              <w:spacing w:line="280" w:lineRule="exact"/>
              <w:jc w:val="left"/>
              <w:rPr>
                <w:rFonts w:ascii="仿宋" w:hAnsi="仿宋" w:eastAsia="仿宋" w:cs="仿宋"/>
                <w:bCs/>
                <w:sz w:val="24"/>
              </w:rPr>
            </w:pPr>
            <w:r>
              <w:rPr>
                <w:rFonts w:hint="eastAsia" w:ascii="仿宋" w:hAnsi="仿宋" w:eastAsia="仿宋" w:cs="仿宋"/>
                <w:bCs/>
                <w:sz w:val="24"/>
              </w:rPr>
              <w:t>参加线上“逃生演练训练营”发布视频（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3815" w:type="dxa"/>
            <w:tcBorders>
              <w:top w:val="single" w:color="auto" w:sz="4" w:space="0"/>
              <w:left w:val="single" w:color="auto" w:sz="4" w:space="0"/>
              <w:bottom w:val="single" w:color="auto" w:sz="4" w:space="0"/>
              <w:right w:val="single" w:color="auto" w:sz="4" w:space="0"/>
            </w:tcBorders>
            <w:vAlign w:val="center"/>
          </w:tcPr>
          <w:p>
            <w:pPr>
              <w:pStyle w:val="9"/>
              <w:spacing w:line="240" w:lineRule="exact"/>
              <w:ind w:left="-59" w:leftChars="-31" w:hanging="6" w:firstLineChars="0"/>
              <w:jc w:val="left"/>
              <w:rPr>
                <w:rFonts w:ascii="仿宋" w:hAnsi="仿宋" w:eastAsia="仿宋" w:cs="仿宋"/>
                <w:b/>
                <w:color w:val="000000"/>
                <w:sz w:val="24"/>
              </w:rPr>
            </w:pPr>
            <w:r>
              <w:rPr>
                <w:rFonts w:hint="eastAsia" w:ascii="仿宋" w:hAnsi="仿宋" w:eastAsia="仿宋" w:cs="仿宋"/>
                <w:b/>
                <w:color w:val="000000"/>
                <w:sz w:val="24"/>
              </w:rPr>
              <w:t>3.积极开展企业主要负责人“六带头”宣传活动</w:t>
            </w:r>
          </w:p>
        </w:tc>
        <w:tc>
          <w:tcPr>
            <w:tcW w:w="10065" w:type="dxa"/>
            <w:tcBorders>
              <w:top w:val="single" w:color="auto" w:sz="4" w:space="0"/>
              <w:left w:val="nil"/>
              <w:bottom w:val="single" w:color="auto" w:sz="4" w:space="0"/>
              <w:right w:val="single" w:color="auto" w:sz="4" w:space="0"/>
            </w:tcBorders>
            <w:vAlign w:val="center"/>
          </w:tcPr>
          <w:p>
            <w:pPr>
              <w:spacing w:line="280" w:lineRule="exact"/>
              <w:jc w:val="left"/>
              <w:rPr>
                <w:rFonts w:ascii="仿宋" w:hAnsi="仿宋" w:eastAsia="仿宋" w:cs="仿宋"/>
                <w:bCs/>
                <w:sz w:val="24"/>
              </w:rPr>
            </w:pPr>
            <w:r>
              <w:rPr>
                <w:rFonts w:hint="eastAsia" w:ascii="仿宋" w:hAnsi="仿宋" w:eastAsia="仿宋" w:cs="仿宋"/>
                <w:bCs/>
                <w:sz w:val="24"/>
              </w:rPr>
              <w:t>企业主要负责人向职工代表大会作安全承诺接受监督活动(  )场,参与(  )人次；企业主要负责人安全承诺书在单位政务公开栏、网站、新媒体进行公示接受监督活动(  )场,参与(  )人次；企业主要负责人践诺履职情况纳入工作报告接受监督活动(  )场,参与(  )人次；     </w:t>
            </w:r>
          </w:p>
          <w:p>
            <w:pPr>
              <w:spacing w:line="280" w:lineRule="exact"/>
              <w:jc w:val="left"/>
              <w:rPr>
                <w:rFonts w:ascii="仿宋" w:hAnsi="仿宋" w:eastAsia="仿宋" w:cs="仿宋"/>
                <w:bCs/>
                <w:sz w:val="24"/>
              </w:rPr>
            </w:pPr>
            <w:r>
              <w:rPr>
                <w:rFonts w:hint="eastAsia" w:ascii="仿宋" w:hAnsi="仿宋" w:eastAsia="仿宋" w:cs="仿宋"/>
                <w:bCs/>
                <w:sz w:val="24"/>
              </w:rPr>
              <w:t>“安全承诺践诺”活动(  )场,参与(  )人次；              </w:t>
            </w:r>
          </w:p>
          <w:p>
            <w:pPr>
              <w:spacing w:line="280" w:lineRule="exact"/>
              <w:jc w:val="left"/>
              <w:rPr>
                <w:rFonts w:ascii="仿宋" w:hAnsi="仿宋" w:eastAsia="仿宋" w:cs="仿宋"/>
                <w:bCs/>
                <w:sz w:val="24"/>
              </w:rPr>
            </w:pPr>
            <w:r>
              <w:rPr>
                <w:rFonts w:hint="eastAsia" w:ascii="仿宋" w:hAnsi="仿宋" w:eastAsia="仿宋" w:cs="仿宋"/>
                <w:bCs/>
                <w:sz w:val="24"/>
              </w:rPr>
              <w:t>报道企业主要负责人“六带头”（  ）次；                    </w:t>
            </w:r>
          </w:p>
          <w:p>
            <w:pPr>
              <w:spacing w:line="280" w:lineRule="exact"/>
              <w:jc w:val="left"/>
              <w:rPr>
                <w:rFonts w:ascii="仿宋" w:hAnsi="仿宋" w:eastAsia="仿宋" w:cs="仿宋"/>
                <w:bCs/>
                <w:sz w:val="24"/>
              </w:rPr>
            </w:pPr>
            <w:r>
              <w:rPr>
                <w:rFonts w:hint="eastAsia" w:ascii="仿宋" w:hAnsi="仿宋" w:eastAsia="仿宋" w:cs="仿宋"/>
                <w:bCs/>
                <w:sz w:val="24"/>
              </w:rPr>
              <w:t>开展“动火作业风险我知道”宣传活动(  )场,参与(  )人次；</w:t>
            </w:r>
          </w:p>
          <w:p>
            <w:pPr>
              <w:spacing w:line="280" w:lineRule="exact"/>
              <w:jc w:val="left"/>
              <w:rPr>
                <w:rFonts w:ascii="仿宋" w:hAnsi="仿宋" w:eastAsia="仿宋" w:cs="仿宋"/>
                <w:bCs/>
                <w:sz w:val="24"/>
              </w:rPr>
            </w:pPr>
            <w:r>
              <w:rPr>
                <w:rFonts w:hint="eastAsia" w:ascii="仿宋" w:hAnsi="仿宋" w:eastAsia="仿宋" w:cs="仿宋"/>
                <w:bCs/>
                <w:sz w:val="24"/>
              </w:rPr>
              <w:t>对电焊工等危险作业人员开展安全培训（  ）场，参与(  )人次；</w:t>
            </w:r>
          </w:p>
          <w:p>
            <w:pPr>
              <w:spacing w:line="280" w:lineRule="exact"/>
              <w:jc w:val="left"/>
              <w:rPr>
                <w:rFonts w:ascii="仿宋" w:hAnsi="仿宋" w:eastAsia="仿宋" w:cs="仿宋"/>
                <w:bCs/>
                <w:sz w:val="24"/>
              </w:rPr>
            </w:pPr>
            <w:r>
              <w:rPr>
                <w:rFonts w:hint="eastAsia" w:ascii="仿宋" w:hAnsi="仿宋" w:eastAsia="仿宋" w:cs="仿宋"/>
                <w:bCs/>
                <w:sz w:val="24"/>
              </w:rPr>
              <w:t>开展“外包外租大排查”活动(  )场,参与(  )人次；         </w:t>
            </w:r>
          </w:p>
          <w:p>
            <w:pPr>
              <w:spacing w:line="280" w:lineRule="exact"/>
              <w:jc w:val="left"/>
              <w:rPr>
                <w:rFonts w:ascii="仿宋" w:hAnsi="仿宋" w:eastAsia="仿宋" w:cs="仿宋"/>
                <w:bCs/>
                <w:sz w:val="24"/>
              </w:rPr>
            </w:pPr>
            <w:r>
              <w:rPr>
                <w:rFonts w:hint="eastAsia" w:ascii="仿宋" w:hAnsi="仿宋" w:eastAsia="仿宋" w:cs="仿宋"/>
                <w:bCs/>
                <w:sz w:val="24"/>
              </w:rPr>
              <w:t>开展外包外租典型违法案例专题警示教育(  )场,参与(  )人次；       </w:t>
            </w:r>
          </w:p>
          <w:p>
            <w:pPr>
              <w:spacing w:line="280" w:lineRule="exact"/>
              <w:jc w:val="left"/>
              <w:rPr>
                <w:rFonts w:ascii="仿宋" w:hAnsi="仿宋" w:eastAsia="仿宋" w:cs="仿宋"/>
                <w:bCs/>
                <w:sz w:val="24"/>
              </w:rPr>
            </w:pPr>
            <w:r>
              <w:rPr>
                <w:rFonts w:hint="eastAsia" w:ascii="仿宋" w:hAnsi="仿宋" w:eastAsia="仿宋" w:cs="仿宋"/>
                <w:bCs/>
                <w:sz w:val="24"/>
              </w:rPr>
              <w:t>对外包外租项目开展大排查（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3815" w:type="dxa"/>
            <w:tcBorders>
              <w:top w:val="single" w:color="auto" w:sz="4" w:space="0"/>
              <w:left w:val="single" w:color="auto" w:sz="4" w:space="0"/>
              <w:bottom w:val="single" w:color="auto" w:sz="4" w:space="0"/>
              <w:right w:val="single" w:color="auto" w:sz="4" w:space="0"/>
            </w:tcBorders>
            <w:vAlign w:val="center"/>
          </w:tcPr>
          <w:p>
            <w:pPr>
              <w:pStyle w:val="7"/>
              <w:widowControl/>
              <w:rPr>
                <w:rFonts w:hint="default" w:ascii="仿宋" w:hAnsi="仿宋" w:eastAsia="仿宋" w:cs="仿宋"/>
                <w:b/>
              </w:rPr>
            </w:pPr>
            <w:r>
              <w:rPr>
                <w:rFonts w:ascii="仿宋" w:hAnsi="仿宋" w:eastAsia="仿宋" w:cs="仿宋"/>
                <w:b/>
                <w:color w:val="000000"/>
              </w:rPr>
              <w:t>4.大力开展全员查找身边隐患宣传活动</w:t>
            </w:r>
          </w:p>
          <w:p>
            <w:pPr>
              <w:pStyle w:val="9"/>
              <w:spacing w:line="240" w:lineRule="exact"/>
              <w:ind w:left="-59" w:leftChars="-31" w:hanging="6" w:firstLineChars="0"/>
              <w:jc w:val="left"/>
              <w:rPr>
                <w:rFonts w:ascii="仿宋" w:hAnsi="仿宋" w:eastAsia="仿宋" w:cs="仿宋"/>
                <w:b/>
                <w:color w:val="000000"/>
                <w:sz w:val="24"/>
              </w:rPr>
            </w:pPr>
          </w:p>
        </w:tc>
        <w:tc>
          <w:tcPr>
            <w:tcW w:w="10065" w:type="dxa"/>
            <w:tcBorders>
              <w:top w:val="single" w:color="auto" w:sz="4" w:space="0"/>
              <w:left w:val="nil"/>
              <w:bottom w:val="single" w:color="auto" w:sz="4" w:space="0"/>
              <w:right w:val="single" w:color="auto" w:sz="4" w:space="0"/>
            </w:tcBorders>
            <w:vAlign w:val="center"/>
          </w:tcPr>
          <w:p>
            <w:pPr>
              <w:spacing w:line="320" w:lineRule="exact"/>
              <w:jc w:val="left"/>
              <w:rPr>
                <w:rFonts w:ascii="仿宋" w:hAnsi="仿宋" w:eastAsia="仿宋" w:cs="仿宋"/>
                <w:bCs/>
                <w:sz w:val="24"/>
              </w:rPr>
            </w:pPr>
            <w:r>
              <w:rPr>
                <w:rFonts w:hint="eastAsia" w:ascii="仿宋" w:hAnsi="仿宋" w:eastAsia="仿宋" w:cs="仿宋"/>
                <w:bCs/>
                <w:sz w:val="24"/>
              </w:rPr>
              <w:t>曝光重大事故隐患和突出问题（  ）个；</w:t>
            </w:r>
          </w:p>
          <w:p>
            <w:pPr>
              <w:spacing w:line="320" w:lineRule="exact"/>
              <w:jc w:val="left"/>
              <w:rPr>
                <w:rFonts w:ascii="仿宋" w:hAnsi="仿宋" w:eastAsia="仿宋" w:cs="仿宋"/>
                <w:bCs/>
                <w:sz w:val="24"/>
              </w:rPr>
            </w:pPr>
            <w:r>
              <w:rPr>
                <w:rFonts w:hint="eastAsia" w:ascii="仿宋" w:hAnsi="仿宋" w:eastAsia="仿宋" w:cs="仿宋"/>
                <w:bCs/>
                <w:sz w:val="24"/>
              </w:rPr>
              <w:t>在主流媒体公布“一案双罚”典型案例（  ）个，安全生产行刑衔接（含危险作业罪）等各类典型案例（  ）个；</w:t>
            </w:r>
          </w:p>
          <w:p>
            <w:pPr>
              <w:spacing w:line="320" w:lineRule="exact"/>
              <w:jc w:val="left"/>
              <w:rPr>
                <w:rFonts w:ascii="仿宋" w:hAnsi="仿宋" w:eastAsia="仿宋" w:cs="仿宋"/>
                <w:bCs/>
                <w:sz w:val="24"/>
              </w:rPr>
            </w:pPr>
            <w:r>
              <w:rPr>
                <w:rFonts w:hint="eastAsia" w:ascii="仿宋" w:hAnsi="仿宋" w:eastAsia="仿宋" w:cs="仿宋"/>
                <w:bCs/>
                <w:sz w:val="24"/>
              </w:rPr>
              <w:t>在本单位本部门网站、新媒体平台宣传“安全生产举报微信小程序”“安全生产曝光台”“12350举报电话”等举报渠道（  ）个次。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815" w:type="dxa"/>
            <w:tcBorders>
              <w:top w:val="single" w:color="auto" w:sz="4" w:space="0"/>
              <w:left w:val="single" w:color="auto" w:sz="4" w:space="0"/>
              <w:bottom w:val="single" w:color="auto" w:sz="4" w:space="0"/>
              <w:right w:val="single" w:color="auto" w:sz="4" w:space="0"/>
            </w:tcBorders>
            <w:vAlign w:val="center"/>
          </w:tcPr>
          <w:p>
            <w:pPr>
              <w:pStyle w:val="9"/>
              <w:spacing w:line="240" w:lineRule="exact"/>
              <w:ind w:left="-59" w:leftChars="-31" w:hanging="6" w:firstLineChars="0"/>
              <w:jc w:val="left"/>
              <w:rPr>
                <w:rFonts w:ascii="仿宋" w:hAnsi="仿宋" w:eastAsia="仿宋" w:cs="仿宋"/>
                <w:b/>
                <w:color w:val="000000"/>
                <w:sz w:val="24"/>
              </w:rPr>
            </w:pPr>
            <w:r>
              <w:rPr>
                <w:rFonts w:hint="eastAsia" w:ascii="仿宋" w:hAnsi="仿宋" w:eastAsia="仿宋" w:cs="仿宋"/>
                <w:b/>
                <w:color w:val="000000"/>
                <w:sz w:val="24"/>
              </w:rPr>
              <w:t>5.深入开展常态化应急演练活动</w:t>
            </w:r>
          </w:p>
        </w:tc>
        <w:tc>
          <w:tcPr>
            <w:tcW w:w="10065" w:type="dxa"/>
            <w:tcBorders>
              <w:top w:val="single" w:color="auto" w:sz="4" w:space="0"/>
              <w:left w:val="nil"/>
              <w:bottom w:val="single" w:color="auto" w:sz="4" w:space="0"/>
              <w:right w:val="single" w:color="auto" w:sz="4" w:space="0"/>
            </w:tcBorders>
            <w:vAlign w:val="center"/>
          </w:tcPr>
          <w:p>
            <w:pPr>
              <w:spacing w:line="320" w:lineRule="exact"/>
              <w:jc w:val="left"/>
              <w:rPr>
                <w:rFonts w:ascii="仿宋" w:hAnsi="仿宋" w:eastAsia="仿宋" w:cs="仿宋"/>
                <w:bCs/>
                <w:sz w:val="24"/>
              </w:rPr>
            </w:pPr>
            <w:r>
              <w:rPr>
                <w:rFonts w:hint="eastAsia" w:ascii="仿宋" w:hAnsi="仿宋" w:eastAsia="仿宋" w:cs="仿宋"/>
                <w:bCs/>
                <w:sz w:val="24"/>
              </w:rPr>
              <w:t>企业组织事故应急演练(  )场,参与(  )人次，开展从业人员自救互救技能培训(  )场,参与(  )人次；农村村庄、城市社区、学校、家庭开展科普知识宣传和情景模拟、实战推演、逃生演练、自救互救等活动(  )场,参与(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815" w:type="dxa"/>
            <w:tcBorders>
              <w:top w:val="single" w:color="auto" w:sz="4" w:space="0"/>
              <w:left w:val="single" w:color="auto" w:sz="4" w:space="0"/>
              <w:bottom w:val="single" w:color="auto" w:sz="4" w:space="0"/>
              <w:right w:val="single" w:color="auto" w:sz="4" w:space="0"/>
            </w:tcBorders>
            <w:vAlign w:val="center"/>
          </w:tcPr>
          <w:p>
            <w:pPr>
              <w:pStyle w:val="7"/>
              <w:widowControl/>
              <w:rPr>
                <w:rFonts w:hint="default" w:ascii="仿宋" w:hAnsi="仿宋" w:eastAsia="仿宋" w:cs="仿宋"/>
                <w:b/>
              </w:rPr>
            </w:pPr>
          </w:p>
          <w:p>
            <w:pPr>
              <w:pStyle w:val="7"/>
              <w:widowControl/>
              <w:rPr>
                <w:rFonts w:hint="default" w:ascii="仿宋" w:hAnsi="仿宋" w:eastAsia="仿宋" w:cs="仿宋"/>
                <w:b/>
              </w:rPr>
            </w:pPr>
            <w:r>
              <w:rPr>
                <w:rFonts w:ascii="仿宋" w:hAnsi="仿宋" w:eastAsia="仿宋" w:cs="仿宋"/>
                <w:b/>
                <w:color w:val="000000"/>
              </w:rPr>
              <w:t>6.扎实开展“安全宣传咨询日”活动</w:t>
            </w:r>
          </w:p>
          <w:p>
            <w:pPr>
              <w:pStyle w:val="9"/>
              <w:spacing w:line="240" w:lineRule="exact"/>
              <w:ind w:left="-59" w:leftChars="-31" w:hanging="6" w:firstLineChars="0"/>
              <w:jc w:val="left"/>
              <w:rPr>
                <w:rFonts w:ascii="仿宋" w:hAnsi="仿宋" w:eastAsia="仿宋" w:cs="仿宋"/>
                <w:b/>
                <w:color w:val="000000"/>
                <w:sz w:val="24"/>
              </w:rPr>
            </w:pPr>
          </w:p>
        </w:tc>
        <w:tc>
          <w:tcPr>
            <w:tcW w:w="10065" w:type="dxa"/>
            <w:tcBorders>
              <w:top w:val="single" w:color="auto" w:sz="4" w:space="0"/>
              <w:left w:val="nil"/>
              <w:bottom w:val="single" w:color="auto" w:sz="4" w:space="0"/>
              <w:right w:val="single" w:color="auto" w:sz="4" w:space="0"/>
            </w:tcBorders>
            <w:vAlign w:val="center"/>
          </w:tcPr>
          <w:p>
            <w:pPr>
              <w:spacing w:line="320" w:lineRule="exact"/>
              <w:jc w:val="left"/>
              <w:rPr>
                <w:rFonts w:ascii="仿宋" w:hAnsi="仿宋" w:eastAsia="仿宋" w:cs="仿宋"/>
                <w:bCs/>
                <w:sz w:val="24"/>
              </w:rPr>
            </w:pPr>
            <w:r>
              <w:rPr>
                <w:rFonts w:hint="eastAsia" w:ascii="仿宋" w:hAnsi="仿宋" w:eastAsia="仿宋" w:cs="仿宋"/>
                <w:bCs/>
                <w:sz w:val="24"/>
              </w:rPr>
              <w:t>组织开展“安全宣传咨询日”现场活动(  )场、参与(  )人次，网络直播(  )场、(  )人观看。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3815" w:type="dxa"/>
            <w:tcBorders>
              <w:top w:val="single" w:color="auto" w:sz="4" w:space="0"/>
              <w:left w:val="single" w:color="auto" w:sz="4" w:space="0"/>
              <w:bottom w:val="single" w:color="auto" w:sz="4" w:space="0"/>
              <w:right w:val="single" w:color="auto" w:sz="4" w:space="0"/>
            </w:tcBorders>
            <w:vAlign w:val="center"/>
          </w:tcPr>
          <w:p>
            <w:pPr>
              <w:pStyle w:val="9"/>
              <w:spacing w:line="240" w:lineRule="exact"/>
              <w:ind w:left="-59" w:leftChars="-31" w:hanging="6" w:firstLineChars="0"/>
              <w:jc w:val="left"/>
              <w:rPr>
                <w:rFonts w:ascii="仿宋" w:hAnsi="仿宋" w:eastAsia="仿宋" w:cs="仿宋"/>
                <w:bCs/>
                <w:color w:val="000000"/>
                <w:sz w:val="24"/>
              </w:rPr>
            </w:pPr>
            <w:r>
              <w:rPr>
                <w:rFonts w:hint="eastAsia" w:ascii="仿宋" w:hAnsi="仿宋" w:eastAsia="仿宋" w:cs="仿宋"/>
                <w:b/>
                <w:color w:val="000000"/>
                <w:sz w:val="24"/>
              </w:rPr>
              <w:t>7.深入开展安全事故警示教育“五个一”活动</w:t>
            </w:r>
          </w:p>
        </w:tc>
        <w:tc>
          <w:tcPr>
            <w:tcW w:w="10065" w:type="dxa"/>
            <w:tcBorders>
              <w:top w:val="single" w:color="auto" w:sz="4" w:space="0"/>
              <w:left w:val="nil"/>
              <w:bottom w:val="single" w:color="auto" w:sz="4" w:space="0"/>
              <w:right w:val="single" w:color="auto" w:sz="4" w:space="0"/>
            </w:tcBorders>
            <w:vAlign w:val="center"/>
          </w:tcPr>
          <w:p>
            <w:pPr>
              <w:jc w:val="left"/>
              <w:rPr>
                <w:rFonts w:ascii="仿宋" w:hAnsi="仿宋" w:eastAsia="仿宋" w:cs="仿宋"/>
                <w:bCs/>
                <w:sz w:val="24"/>
              </w:rPr>
            </w:pPr>
            <w:r>
              <w:rPr>
                <w:rFonts w:hint="eastAsia" w:ascii="仿宋" w:hAnsi="仿宋" w:eastAsia="仿宋" w:cs="仿宋"/>
                <w:bCs/>
                <w:sz w:val="24"/>
              </w:rPr>
              <w:t>组织召开安全生产工作警示教育专题会议(  )场/次,参与(  )人次，开展行业岗位安全生产大讨论(  )场/次,参与(  )人次，上安全警示教育课(  )场/次,参与(  )人次，播放收看生产活动。安全事故警示片(  )场/次,参与(  )人次，观看安全生产主题教育电影(  )场/次,参与(  )人次。</w:t>
            </w:r>
          </w:p>
        </w:tc>
      </w:tr>
    </w:tbl>
    <w:p>
      <w:pPr>
        <w:pStyle w:val="2"/>
        <w:sectPr>
          <w:pgSz w:w="16838" w:h="11906" w:orient="landscape"/>
          <w:pgMar w:top="1587" w:right="2098" w:bottom="1474" w:left="1984" w:header="851" w:footer="1587" w:gutter="0"/>
          <w:cols w:space="0" w:num="1"/>
          <w:docGrid w:type="lines" w:linePitch="340" w:charSpace="0"/>
        </w:sectPr>
      </w:pPr>
    </w:p>
    <w:p/>
    <w:sectPr>
      <w:pgSz w:w="11906" w:h="16838"/>
      <w:pgMar w:top="2098" w:right="1474" w:bottom="1985" w:left="1588" w:header="851" w:footer="1588" w:gutter="0"/>
      <w:cols w:space="0" w:num="1"/>
      <w:docGrid w:type="linesAndChar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大标宋_GBK">
    <w:altName w:val="微软雅黑"/>
    <w:panose1 w:val="00000000000000000000"/>
    <w:charset w:val="86"/>
    <w:family w:val="script"/>
    <w:pitch w:val="default"/>
    <w:sig w:usb0="00000000" w:usb1="00000000" w:usb2="0000000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403947"/>
      <w:docPartObj>
        <w:docPartGallery w:val="autotext"/>
      </w:docPartObj>
    </w:sdtPr>
    <w:sdtContent>
      <w:p>
        <w:pPr>
          <w:pStyle w:val="2"/>
          <w:wordWrap w:val="0"/>
          <w:jc w:val="right"/>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13</w:t>
        </w:r>
        <w:r>
          <w:rPr>
            <w:rFonts w:hint="eastAsia" w:ascii="仿宋_GB2312" w:eastAsia="仿宋_GB2312"/>
            <w:sz w:val="28"/>
            <w:szCs w:val="28"/>
          </w:rPr>
          <w:fldChar w:fldCharType="end"/>
        </w:r>
        <w:r>
          <w:rPr>
            <w:rFonts w:hint="eastAsia" w:ascii="仿宋_GB2312" w:eastAsia="仿宋_GB2312"/>
            <w:sz w:val="28"/>
            <w:szCs w:val="28"/>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403964"/>
      <w:docPartObj>
        <w:docPartGallery w:val="autotext"/>
      </w:docPartObj>
    </w:sdtPr>
    <w:sdtContent>
      <w:p>
        <w:pPr>
          <w:pStyle w:val="2"/>
          <w:ind w:firstLine="360" w:firstLineChars="200"/>
        </w:pPr>
        <w:r>
          <w:rPr>
            <w:rFonts w:hint="eastAsia" w:ascii="仿宋_GB2312" w:eastAsia="仿宋_GB2312"/>
            <w:sz w:val="28"/>
            <w:szCs w:val="28"/>
          </w:rPr>
          <w:t xml:space="preserve">— </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12</w:t>
        </w:r>
        <w:r>
          <w:rPr>
            <w:rFonts w:hint="eastAsia" w:ascii="仿宋_GB2312" w:eastAsia="仿宋_GB2312"/>
            <w:sz w:val="28"/>
            <w:szCs w:val="28"/>
          </w:rPr>
          <w:fldChar w:fldCharType="end"/>
        </w:r>
        <w:r>
          <w:rPr>
            <w:rFonts w:hint="eastAsia" w:ascii="仿宋_GB2312" w:eastAsia="仿宋_GB2312"/>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F034E"/>
    <w:multiLevelType w:val="singleLevel"/>
    <w:tmpl w:val="82FF034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1"/>
  <w:drawingGridHorizontalSpacing w:val="105"/>
  <w:drawingGridVerticalSpacing w:val="170"/>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NjdlYzY1OTQxNGM0NjE3Y2E2ZmQ3MGNlNGQ0NzIifQ=="/>
  </w:docVars>
  <w:rsids>
    <w:rsidRoot w:val="008D0984"/>
    <w:rsid w:val="00047EF6"/>
    <w:rsid w:val="000635B9"/>
    <w:rsid w:val="0008060A"/>
    <w:rsid w:val="00091D3A"/>
    <w:rsid w:val="000B2E39"/>
    <w:rsid w:val="000D0AEA"/>
    <w:rsid w:val="001454EC"/>
    <w:rsid w:val="001905C1"/>
    <w:rsid w:val="001C5622"/>
    <w:rsid w:val="00234615"/>
    <w:rsid w:val="00294D47"/>
    <w:rsid w:val="002A5E92"/>
    <w:rsid w:val="002A69E1"/>
    <w:rsid w:val="002B432E"/>
    <w:rsid w:val="00341756"/>
    <w:rsid w:val="00345262"/>
    <w:rsid w:val="003E02FE"/>
    <w:rsid w:val="003F1AB4"/>
    <w:rsid w:val="00402292"/>
    <w:rsid w:val="004B052D"/>
    <w:rsid w:val="004D5D1D"/>
    <w:rsid w:val="004F7AF6"/>
    <w:rsid w:val="00515D75"/>
    <w:rsid w:val="00526926"/>
    <w:rsid w:val="005740B1"/>
    <w:rsid w:val="005D3239"/>
    <w:rsid w:val="00612124"/>
    <w:rsid w:val="00636FDE"/>
    <w:rsid w:val="006714EA"/>
    <w:rsid w:val="0067410C"/>
    <w:rsid w:val="006A479C"/>
    <w:rsid w:val="007160D9"/>
    <w:rsid w:val="007C211E"/>
    <w:rsid w:val="008059FF"/>
    <w:rsid w:val="00855B16"/>
    <w:rsid w:val="0086495C"/>
    <w:rsid w:val="00893629"/>
    <w:rsid w:val="008A71E4"/>
    <w:rsid w:val="008B1F61"/>
    <w:rsid w:val="008D0984"/>
    <w:rsid w:val="008D486C"/>
    <w:rsid w:val="008F7B73"/>
    <w:rsid w:val="009108E0"/>
    <w:rsid w:val="00937005"/>
    <w:rsid w:val="00942FB8"/>
    <w:rsid w:val="00947BCC"/>
    <w:rsid w:val="009F65EB"/>
    <w:rsid w:val="00A450D2"/>
    <w:rsid w:val="00AD5A86"/>
    <w:rsid w:val="00B518FB"/>
    <w:rsid w:val="00B93867"/>
    <w:rsid w:val="00BE23C7"/>
    <w:rsid w:val="00BE4FEC"/>
    <w:rsid w:val="00C11937"/>
    <w:rsid w:val="00C20C51"/>
    <w:rsid w:val="00C45199"/>
    <w:rsid w:val="00C72438"/>
    <w:rsid w:val="00C834EE"/>
    <w:rsid w:val="00C96CCA"/>
    <w:rsid w:val="00CC1889"/>
    <w:rsid w:val="00CE3864"/>
    <w:rsid w:val="00D2106D"/>
    <w:rsid w:val="00D44B0C"/>
    <w:rsid w:val="00D64688"/>
    <w:rsid w:val="00E17550"/>
    <w:rsid w:val="00EB23EE"/>
    <w:rsid w:val="00EE087C"/>
    <w:rsid w:val="00F0014A"/>
    <w:rsid w:val="00F07B3A"/>
    <w:rsid w:val="00F07E5B"/>
    <w:rsid w:val="00F271DA"/>
    <w:rsid w:val="00FB0FBD"/>
    <w:rsid w:val="00FC7032"/>
    <w:rsid w:val="00FD5FF8"/>
    <w:rsid w:val="019D6E57"/>
    <w:rsid w:val="02AD39BE"/>
    <w:rsid w:val="0B156887"/>
    <w:rsid w:val="0D206395"/>
    <w:rsid w:val="0F1B29B3"/>
    <w:rsid w:val="1831543C"/>
    <w:rsid w:val="18CF588F"/>
    <w:rsid w:val="1D950423"/>
    <w:rsid w:val="1F99140D"/>
    <w:rsid w:val="21C33804"/>
    <w:rsid w:val="25A32B03"/>
    <w:rsid w:val="267D6F7F"/>
    <w:rsid w:val="27F7F3A8"/>
    <w:rsid w:val="2D2B4075"/>
    <w:rsid w:val="2EBE0770"/>
    <w:rsid w:val="30084241"/>
    <w:rsid w:val="301816C3"/>
    <w:rsid w:val="328F001D"/>
    <w:rsid w:val="34591B27"/>
    <w:rsid w:val="37AF56CB"/>
    <w:rsid w:val="3CC30AB1"/>
    <w:rsid w:val="3CC67D07"/>
    <w:rsid w:val="3D037816"/>
    <w:rsid w:val="3EF65C6A"/>
    <w:rsid w:val="3FF6581E"/>
    <w:rsid w:val="41DD7C82"/>
    <w:rsid w:val="429416E1"/>
    <w:rsid w:val="447EAB01"/>
    <w:rsid w:val="46053FA6"/>
    <w:rsid w:val="463E291C"/>
    <w:rsid w:val="46EB4D98"/>
    <w:rsid w:val="47BB15E8"/>
    <w:rsid w:val="4806146C"/>
    <w:rsid w:val="4AB36A26"/>
    <w:rsid w:val="4B3A304D"/>
    <w:rsid w:val="4DC73EA8"/>
    <w:rsid w:val="53010491"/>
    <w:rsid w:val="55E8D716"/>
    <w:rsid w:val="57423C65"/>
    <w:rsid w:val="589C0341"/>
    <w:rsid w:val="5A0926E0"/>
    <w:rsid w:val="5BC14E26"/>
    <w:rsid w:val="5D35055B"/>
    <w:rsid w:val="5D975727"/>
    <w:rsid w:val="5EAB05E7"/>
    <w:rsid w:val="5EE50D45"/>
    <w:rsid w:val="5EFAA194"/>
    <w:rsid w:val="5FC83A93"/>
    <w:rsid w:val="610D292F"/>
    <w:rsid w:val="61AE4219"/>
    <w:rsid w:val="649350D3"/>
    <w:rsid w:val="65AE7771"/>
    <w:rsid w:val="65DD7437"/>
    <w:rsid w:val="67D26826"/>
    <w:rsid w:val="68AB427F"/>
    <w:rsid w:val="69200FFA"/>
    <w:rsid w:val="692461E2"/>
    <w:rsid w:val="69AF1E2D"/>
    <w:rsid w:val="6D3F8437"/>
    <w:rsid w:val="6F714AF6"/>
    <w:rsid w:val="6F7EED60"/>
    <w:rsid w:val="723769A1"/>
    <w:rsid w:val="74C766F2"/>
    <w:rsid w:val="76FEA515"/>
    <w:rsid w:val="770D7B2B"/>
    <w:rsid w:val="77A2382B"/>
    <w:rsid w:val="786C6E68"/>
    <w:rsid w:val="797A4506"/>
    <w:rsid w:val="79DA3C64"/>
    <w:rsid w:val="7AFF6862"/>
    <w:rsid w:val="7EDF9BD1"/>
    <w:rsid w:val="7F0D0DD0"/>
    <w:rsid w:val="7F7DF511"/>
    <w:rsid w:val="7FB1DAE7"/>
    <w:rsid w:val="7FDFC2A0"/>
    <w:rsid w:val="7FECA051"/>
    <w:rsid w:val="7FFB7081"/>
    <w:rsid w:val="7FFEC74F"/>
    <w:rsid w:val="7FFF403C"/>
    <w:rsid w:val="BBE73086"/>
    <w:rsid w:val="BBF70EF2"/>
    <w:rsid w:val="BBFF20C7"/>
    <w:rsid w:val="BF0D6CD9"/>
    <w:rsid w:val="BF5D6CFE"/>
    <w:rsid w:val="BFFF26ED"/>
    <w:rsid w:val="D7EE9308"/>
    <w:rsid w:val="DF7FD454"/>
    <w:rsid w:val="E371D702"/>
    <w:rsid w:val="EEFFB352"/>
    <w:rsid w:val="FDEA1F0A"/>
    <w:rsid w:val="FE3700AB"/>
    <w:rsid w:val="FEDD4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qFormat/>
    <w:uiPriority w:val="99"/>
    <w:pPr>
      <w:tabs>
        <w:tab w:val="center" w:pos="4153"/>
        <w:tab w:val="right" w:pos="8306"/>
      </w:tabs>
      <w:snapToGrid w:val="0"/>
      <w:jc w:val="left"/>
    </w:pPr>
    <w:rPr>
      <w:rFonts w:ascii="Times New Roman" w:hAnsi="Times New Roman" w:eastAsiaTheme="minorEastAsia" w:cstheme="minorBidi"/>
      <w:sz w:val="18"/>
      <w:szCs w:val="18"/>
    </w:rPr>
  </w:style>
  <w:style w:type="paragraph" w:styleId="4">
    <w:name w:val="Body Text Indent"/>
    <w:basedOn w:val="1"/>
    <w:link w:val="16"/>
    <w:unhideWhenUsed/>
    <w:qFormat/>
    <w:uiPriority w:val="99"/>
    <w:pPr>
      <w:spacing w:after="120"/>
      <w:ind w:left="420" w:leftChars="200"/>
    </w:pPr>
  </w:style>
  <w:style w:type="paragraph" w:styleId="5">
    <w:name w:val="Balloon Text"/>
    <w:basedOn w:val="1"/>
    <w:link w:val="21"/>
    <w:unhideWhenUsed/>
    <w:qFormat/>
    <w:uiPriority w:val="99"/>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Normal (Web)"/>
    <w:basedOn w:val="1"/>
    <w:qFormat/>
    <w:uiPriority w:val="0"/>
    <w:pPr>
      <w:spacing w:before="100" w:beforeAutospacing="1" w:after="100" w:afterAutospacing="1"/>
      <w:jc w:val="left"/>
    </w:pPr>
    <w:rPr>
      <w:rFonts w:ascii="宋体" w:hAnsi="宋体" w:cs="宋体"/>
      <w:kern w:val="0"/>
      <w:sz w:val="24"/>
    </w:rPr>
  </w:style>
  <w:style w:type="paragraph" w:styleId="9">
    <w:name w:val="Body Text First Indent 2"/>
    <w:basedOn w:val="4"/>
    <w:link w:val="17"/>
    <w:qFormat/>
    <w:uiPriority w:val="0"/>
    <w:pPr>
      <w:ind w:firstLine="420" w:firstLineChars="200"/>
    </w:pPr>
  </w:style>
  <w:style w:type="character" w:styleId="12">
    <w:name w:val="Strong"/>
    <w:basedOn w:val="11"/>
    <w:qFormat/>
    <w:uiPriority w:val="0"/>
    <w:rPr>
      <w:rFonts w:ascii="Times New Roman" w:hAnsi="Times New Roman"/>
      <w:b/>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customStyle="1" w:styleId="14">
    <w:name w:val="页脚 Char"/>
    <w:link w:val="2"/>
    <w:qFormat/>
    <w:uiPriority w:val="99"/>
    <w:rPr>
      <w:rFonts w:ascii="Times New Roman" w:hAnsi="Times New Roman"/>
      <w:sz w:val="18"/>
      <w:szCs w:val="18"/>
    </w:rPr>
  </w:style>
  <w:style w:type="character" w:customStyle="1" w:styleId="15">
    <w:name w:val="页眉 Char"/>
    <w:basedOn w:val="11"/>
    <w:link w:val="6"/>
    <w:qFormat/>
    <w:uiPriority w:val="0"/>
    <w:rPr>
      <w:rFonts w:ascii="Calibri" w:hAnsi="Calibri" w:eastAsia="宋体" w:cs="Times New Roman"/>
      <w:sz w:val="18"/>
      <w:szCs w:val="18"/>
    </w:rPr>
  </w:style>
  <w:style w:type="character" w:customStyle="1" w:styleId="16">
    <w:name w:val="正文文本缩进 Char"/>
    <w:basedOn w:val="11"/>
    <w:link w:val="4"/>
    <w:semiHidden/>
    <w:qFormat/>
    <w:uiPriority w:val="99"/>
    <w:rPr>
      <w:rFonts w:ascii="Calibri" w:hAnsi="Calibri" w:eastAsia="宋体" w:cs="Times New Roman"/>
      <w:szCs w:val="24"/>
    </w:rPr>
  </w:style>
  <w:style w:type="character" w:customStyle="1" w:styleId="17">
    <w:name w:val="正文首行缩进 2 Char"/>
    <w:basedOn w:val="16"/>
    <w:link w:val="9"/>
    <w:qFormat/>
    <w:uiPriority w:val="0"/>
  </w:style>
  <w:style w:type="character" w:customStyle="1" w:styleId="18">
    <w:name w:val="页脚 Char1"/>
    <w:basedOn w:val="11"/>
    <w:link w:val="2"/>
    <w:semiHidden/>
    <w:qFormat/>
    <w:uiPriority w:val="99"/>
    <w:rPr>
      <w:rFonts w:ascii="Calibri" w:hAnsi="Calibri" w:eastAsia="宋体" w:cs="Times New Roman"/>
      <w:sz w:val="18"/>
      <w:szCs w:val="18"/>
    </w:rPr>
  </w:style>
  <w:style w:type="paragraph" w:customStyle="1" w:styleId="19">
    <w:name w:val="Char Char Char Char Char Char Char"/>
    <w:basedOn w:val="1"/>
    <w:qFormat/>
    <w:uiPriority w:val="0"/>
    <w:rPr>
      <w:rFonts w:ascii="Times New Roman" w:hAnsi="Times New Roman"/>
    </w:rPr>
  </w:style>
  <w:style w:type="paragraph" w:customStyle="1" w:styleId="20">
    <w:name w:val="Default"/>
    <w:next w:val="1"/>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21">
    <w:name w:val="批注框文本 Char"/>
    <w:basedOn w:val="11"/>
    <w:link w:val="5"/>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5083</Words>
  <Characters>5208</Characters>
  <Lines>41</Lines>
  <Paragraphs>11</Paragraphs>
  <TotalTime>16</TotalTime>
  <ScaleCrop>false</ScaleCrop>
  <LinksUpToDate>false</LinksUpToDate>
  <CharactersWithSpaces>5496</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2021-05-15T09:51:00Z</dcterms:created>
  <dc:creator>pc</dc:creator>
  <cp:lastModifiedBy>此生随梦追</cp:lastModifiedBy>
  <cp:lastPrinted>2023-05-23T09:45:00Z</cp:lastPrinted>
  <dcterms:modified xsi:type="dcterms:W3CDTF">2023-10-12T01:19:05Z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C8EFC76451954819B68071BC9690A7E7_13</vt:lpwstr>
  </property>
</Properties>
</file>