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rPr>
          <w:rFonts w:ascii="仿宋_GB2312" w:hAnsi="方正小标宋简体" w:eastAsia="仿宋_GB2312" w:cs="方正小标宋简体"/>
          <w:bCs/>
          <w:color w:val="000000"/>
          <w:kern w:val="0"/>
          <w:sz w:val="32"/>
          <w:szCs w:val="32"/>
          <w:u w:val="none"/>
        </w:rPr>
      </w:pPr>
    </w:p>
    <w:p>
      <w:pPr>
        <w:spacing w:line="490" w:lineRule="exact"/>
        <w:jc w:val="center"/>
        <w:rPr>
          <w:rFonts w:ascii="仿宋_GB2312" w:hAnsi="方正小标宋简体" w:eastAsia="仿宋_GB2312" w:cs="方正小标宋简体"/>
          <w:bCs/>
          <w:color w:val="000000"/>
          <w:kern w:val="0"/>
          <w:sz w:val="32"/>
          <w:szCs w:val="32"/>
          <w:u w:val="none"/>
        </w:rPr>
      </w:pPr>
      <w:r>
        <w:rPr>
          <w:rFonts w:hint="eastAsia" w:ascii="仿宋_GB2312" w:hAnsi="方正小标宋简体" w:eastAsia="仿宋_GB2312" w:cs="方正小标宋简体"/>
          <w:bCs/>
          <w:color w:val="000000"/>
          <w:kern w:val="0"/>
          <w:sz w:val="32"/>
          <w:szCs w:val="32"/>
          <w:u w:val="none"/>
        </w:rPr>
        <w:t>桂卫</w:t>
      </w:r>
      <w:r>
        <w:rPr>
          <w:rFonts w:hint="eastAsia" w:ascii="仿宋_GB2312" w:hAnsi="方正小标宋简体" w:eastAsia="仿宋_GB2312" w:cs="方正小标宋简体"/>
          <w:bCs/>
          <w:color w:val="000000"/>
          <w:kern w:val="0"/>
          <w:sz w:val="32"/>
          <w:szCs w:val="32"/>
          <w:u w:val="none"/>
          <w:lang w:eastAsia="zh-CN"/>
        </w:rPr>
        <w:t>医</w:t>
      </w:r>
      <w:r>
        <w:rPr>
          <w:rFonts w:hint="eastAsia" w:ascii="仿宋_GB2312" w:hAnsi="方正小标宋简体" w:eastAsia="仿宋_GB2312" w:cs="方正小标宋简体"/>
          <w:bCs/>
          <w:color w:val="000000"/>
          <w:kern w:val="0"/>
          <w:sz w:val="32"/>
          <w:szCs w:val="32"/>
          <w:u w:val="none"/>
        </w:rPr>
        <w:t>发〔202</w:t>
      </w:r>
      <w:r>
        <w:rPr>
          <w:rFonts w:hint="eastAsia" w:ascii="仿宋_GB2312" w:hAnsi="方正小标宋简体" w:eastAsia="仿宋_GB2312" w:cs="方正小标宋简体"/>
          <w:bCs/>
          <w:color w:val="000000"/>
          <w:kern w:val="0"/>
          <w:sz w:val="32"/>
          <w:szCs w:val="32"/>
          <w:u w:val="none"/>
          <w:lang w:val="en-US" w:eastAsia="zh-CN"/>
        </w:rPr>
        <w:t>3</w:t>
      </w:r>
      <w:r>
        <w:rPr>
          <w:rFonts w:hint="eastAsia" w:ascii="仿宋_GB2312" w:hAnsi="方正小标宋简体" w:eastAsia="仿宋_GB2312" w:cs="方正小标宋简体"/>
          <w:bCs/>
          <w:color w:val="000000"/>
          <w:kern w:val="0"/>
          <w:sz w:val="32"/>
          <w:szCs w:val="32"/>
          <w:u w:val="none"/>
        </w:rPr>
        <w:t>〕</w:t>
      </w:r>
      <w:r>
        <w:rPr>
          <w:rFonts w:hint="eastAsia" w:ascii="仿宋_GB2312" w:hAnsi="方正小标宋简体" w:eastAsia="仿宋_GB2312" w:cs="方正小标宋简体"/>
          <w:bCs/>
          <w:color w:val="000000"/>
          <w:kern w:val="0"/>
          <w:sz w:val="32"/>
          <w:szCs w:val="32"/>
          <w:u w:val="none"/>
          <w:lang w:val="en-US" w:eastAsia="zh-CN"/>
        </w:rPr>
        <w:t>24</w:t>
      </w:r>
      <w:r>
        <w:rPr>
          <w:rFonts w:hint="eastAsia" w:ascii="仿宋_GB2312" w:hAnsi="方正小标宋简体" w:eastAsia="仿宋_GB2312" w:cs="方正小标宋简体"/>
          <w:bCs/>
          <w:color w:val="000000"/>
          <w:kern w:val="0"/>
          <w:sz w:val="32"/>
          <w:szCs w:val="32"/>
          <w:u w:val="none"/>
        </w:rPr>
        <w:t>号</w:t>
      </w:r>
    </w:p>
    <w:p>
      <w:pPr>
        <w:spacing w:line="500" w:lineRule="exact"/>
        <w:jc w:val="center"/>
        <w:rPr>
          <w:rFonts w:ascii="仿宋_GB2312" w:hAnsi="方正小标宋简体" w:eastAsia="仿宋_GB2312" w:cs="方正小标宋简体"/>
          <w:bCs/>
          <w:color w:val="000000"/>
          <w:kern w:val="0"/>
          <w:sz w:val="32"/>
          <w:szCs w:val="32"/>
          <w:u w:val="none"/>
        </w:rPr>
      </w:pPr>
    </w:p>
    <w:p>
      <w:pPr>
        <w:keepNext w:val="0"/>
        <w:keepLines w:val="0"/>
        <w:pageBreakBefore w:val="0"/>
        <w:widowControl w:val="0"/>
        <w:kinsoku/>
        <w:wordWrap/>
        <w:overflowPunct/>
        <w:topLinePunct w:val="0"/>
        <w:autoSpaceDE/>
        <w:autoSpaceDN/>
        <w:bidi w:val="0"/>
        <w:adjustRightInd/>
        <w:snapToGrid/>
        <w:spacing w:before="157" w:beforeLines="50" w:line="500" w:lineRule="exact"/>
        <w:jc w:val="center"/>
        <w:textAlignment w:val="auto"/>
        <w:rPr>
          <w:rFonts w:hint="eastAsia" w:ascii="方正小标宋简体" w:hAnsi="Times New Roman" w:eastAsia="方正小标宋简体" w:cs="Times New Roman"/>
          <w:spacing w:val="11"/>
          <w:sz w:val="44"/>
          <w:szCs w:val="44"/>
          <w:u w:val="none"/>
        </w:rPr>
      </w:pPr>
      <w:r>
        <w:rPr>
          <w:rFonts w:hint="eastAsia" w:ascii="方正小标宋简体" w:hAnsi="Times New Roman" w:eastAsia="方正小标宋简体" w:cs="Times New Roman"/>
          <w:spacing w:val="11"/>
          <w:sz w:val="44"/>
          <w:szCs w:val="44"/>
          <w:u w:val="none"/>
        </w:rPr>
        <w:t>自治区卫生健康委</w:t>
      </w:r>
      <w:r>
        <w:rPr>
          <w:rFonts w:hint="eastAsia" w:ascii="方正小标宋简体" w:hAnsi="Times New Roman" w:eastAsia="方正小标宋简体" w:cs="Times New Roman"/>
          <w:spacing w:val="11"/>
          <w:sz w:val="44"/>
          <w:szCs w:val="44"/>
          <w:u w:val="none"/>
          <w:lang w:val="en-US" w:eastAsia="zh-CN"/>
        </w:rPr>
        <w:t xml:space="preserve"> </w:t>
      </w:r>
      <w:r>
        <w:rPr>
          <w:rFonts w:hint="eastAsia" w:ascii="方正小标宋简体" w:hAnsi="Times New Roman" w:eastAsia="方正小标宋简体" w:cs="Times New Roman"/>
          <w:spacing w:val="11"/>
          <w:sz w:val="44"/>
          <w:szCs w:val="44"/>
          <w:u w:val="none"/>
        </w:rPr>
        <w:t>自治区中医药局关于</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小标宋简体" w:hAnsi="Times New Roman" w:eastAsia="方正小标宋简体" w:cs="Times New Roman"/>
          <w:spacing w:val="-6"/>
          <w:sz w:val="44"/>
          <w:szCs w:val="44"/>
          <w:u w:val="none"/>
        </w:rPr>
      </w:pPr>
      <w:r>
        <w:rPr>
          <w:rFonts w:hint="eastAsia" w:ascii="方正小标宋简体" w:hAnsi="Times New Roman" w:eastAsia="方正小标宋简体" w:cs="Times New Roman"/>
          <w:spacing w:val="-6"/>
          <w:sz w:val="44"/>
          <w:szCs w:val="44"/>
          <w:u w:val="none"/>
        </w:rPr>
        <w:t>印发《广西进一步改善护理服务行动计划</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方正小标宋简体" w:hAnsi="Times New Roman" w:eastAsia="方正小标宋简体" w:cs="Times New Roman"/>
          <w:sz w:val="44"/>
          <w:szCs w:val="44"/>
          <w:u w:val="none"/>
        </w:rPr>
      </w:pPr>
      <w:r>
        <w:rPr>
          <w:rFonts w:hint="eastAsia" w:ascii="方正小标宋简体" w:hAnsi="Times New Roman" w:eastAsia="方正小标宋简体" w:cs="Times New Roman"/>
          <w:sz w:val="44"/>
          <w:szCs w:val="44"/>
          <w:u w:val="none"/>
        </w:rPr>
        <w:t>（2023</w:t>
      </w:r>
      <w:r>
        <w:rPr>
          <w:rFonts w:hint="eastAsia" w:ascii="方正小标宋简体" w:hAnsi="Times New Roman" w:eastAsia="方正小标宋简体" w:cs="Times New Roman"/>
          <w:sz w:val="44"/>
          <w:szCs w:val="44"/>
          <w:u w:val="none"/>
          <w:lang w:val="en-US" w:eastAsia="zh-CN"/>
        </w:rPr>
        <w:t>-</w:t>
      </w:r>
      <w:r>
        <w:rPr>
          <w:rFonts w:hint="eastAsia" w:ascii="方正小标宋简体" w:hAnsi="Times New Roman" w:eastAsia="方正小标宋简体" w:cs="Times New Roman"/>
          <w:sz w:val="44"/>
          <w:szCs w:val="44"/>
          <w:u w:val="none"/>
        </w:rPr>
        <w:t>2025年）实施方案》的通知</w:t>
      </w:r>
    </w:p>
    <w:p>
      <w:pPr>
        <w:keepNext w:val="0"/>
        <w:keepLines w:val="0"/>
        <w:pageBreakBefore w:val="0"/>
        <w:widowControl w:val="0"/>
        <w:kinsoku/>
        <w:wordWrap/>
        <w:overflowPunct/>
        <w:topLinePunct w:val="0"/>
        <w:autoSpaceDE/>
        <w:autoSpaceDN/>
        <w:bidi w:val="0"/>
        <w:adjustRightInd/>
        <w:spacing w:line="500" w:lineRule="exact"/>
        <w:textAlignment w:val="auto"/>
        <w:rPr>
          <w:rFonts w:ascii="微软雅黑" w:hAnsi="微软雅黑" w:eastAsia="微软雅黑" w:cs="微软雅黑"/>
          <w:color w:val="417FF9"/>
          <w:kern w:val="0"/>
          <w:sz w:val="24"/>
          <w:u w:val="none"/>
        </w:rPr>
      </w:pPr>
      <w:r>
        <w:rPr>
          <w:rFonts w:ascii="微软雅黑" w:hAnsi="微软雅黑" w:eastAsia="微软雅黑" w:cs="微软雅黑"/>
          <w:color w:val="417FF9"/>
          <w:kern w:val="0"/>
          <w:sz w:val="24"/>
          <w:u w:val="none"/>
        </w:rPr>
        <w:t xml:space="preserve"> </w:t>
      </w:r>
    </w:p>
    <w:p>
      <w:pPr>
        <w:keepNext w:val="0"/>
        <w:keepLines w:val="0"/>
        <w:pageBreakBefore w:val="0"/>
        <w:widowControl w:val="0"/>
        <w:kinsoku/>
        <w:wordWrap/>
        <w:overflowPunct/>
        <w:topLinePunct w:val="0"/>
        <w:autoSpaceDE/>
        <w:autoSpaceDN/>
        <w:bidi w:val="0"/>
        <w:adjustRightInd/>
        <w:spacing w:line="460" w:lineRule="exact"/>
        <w:textAlignment w:val="auto"/>
        <w:rPr>
          <w:rFonts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各市卫生健康委</w:t>
      </w:r>
      <w:r>
        <w:rPr>
          <w:rFonts w:hint="eastAsia" w:ascii="仿宋_GB2312" w:hAnsi="Times New Roman" w:eastAsia="仿宋_GB2312" w:cs="Times New Roman"/>
          <w:sz w:val="32"/>
          <w:szCs w:val="32"/>
          <w:u w:val="none"/>
          <w:lang w:eastAsia="zh-CN"/>
        </w:rPr>
        <w:t>、中医药局</w:t>
      </w:r>
      <w:r>
        <w:rPr>
          <w:rFonts w:hint="eastAsia" w:ascii="仿宋_GB2312" w:hAnsi="Times New Roman" w:eastAsia="仿宋_GB2312" w:cs="Times New Roman"/>
          <w:sz w:val="32"/>
          <w:szCs w:val="32"/>
          <w:u w:val="none"/>
        </w:rPr>
        <w:t>，区直各医疗卫生</w:t>
      </w:r>
      <w:r>
        <w:rPr>
          <w:rFonts w:hint="eastAsia" w:ascii="仿宋_GB2312" w:hAnsi="Times New Roman" w:eastAsia="仿宋_GB2312" w:cs="Times New Roman"/>
          <w:sz w:val="32"/>
          <w:szCs w:val="32"/>
          <w:u w:val="none"/>
          <w:lang w:eastAsia="zh-CN"/>
        </w:rPr>
        <w:t>机构</w:t>
      </w:r>
      <w:r>
        <w:rPr>
          <w:rFonts w:hint="eastAsia" w:ascii="仿宋_GB2312" w:hAnsi="Times New Roman" w:eastAsia="仿宋_GB2312" w:cs="Times New Roman"/>
          <w:sz w:val="32"/>
          <w:szCs w:val="32"/>
          <w:u w:val="none"/>
        </w:rPr>
        <w:t>：</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为贯彻落实国家卫生健康委、国家中医药局《关于印发进一步改善护理服务行动计划（2023</w:t>
      </w:r>
      <w:r>
        <w:rPr>
          <w:rFonts w:hint="eastAsia" w:ascii="仿宋_GB2312" w:hAnsi="Times New Roman" w:eastAsia="仿宋_GB2312" w:cs="Times New Roman"/>
          <w:sz w:val="32"/>
          <w:szCs w:val="32"/>
          <w:u w:val="none"/>
          <w:lang w:val="en-US" w:eastAsia="zh-CN"/>
        </w:rPr>
        <w:t>-</w:t>
      </w:r>
      <w:r>
        <w:rPr>
          <w:rFonts w:hint="eastAsia" w:ascii="仿宋_GB2312" w:hAnsi="Times New Roman" w:eastAsia="仿宋_GB2312" w:cs="Times New Roman"/>
          <w:sz w:val="32"/>
          <w:szCs w:val="32"/>
          <w:u w:val="none"/>
        </w:rPr>
        <w:t>2025年）的通知》</w:t>
      </w:r>
      <w:r>
        <w:rPr>
          <w:rFonts w:hint="eastAsia" w:ascii="仿宋_GB2312" w:hAnsi="Times New Roman" w:eastAsia="仿宋_GB2312" w:cs="Times New Roman"/>
          <w:sz w:val="32"/>
          <w:szCs w:val="32"/>
          <w:u w:val="none"/>
          <w:lang w:eastAsia="zh-CN"/>
        </w:rPr>
        <w:t>（</w:t>
      </w:r>
      <w:r>
        <w:rPr>
          <w:rFonts w:hint="eastAsia" w:ascii="仿宋_GB2312" w:hAnsi="Times New Roman" w:eastAsia="仿宋_GB2312" w:cs="Times New Roman"/>
          <w:sz w:val="32"/>
          <w:szCs w:val="32"/>
          <w:u w:val="none"/>
        </w:rPr>
        <w:t>国卫医政发〔2023〕16号</w:t>
      </w:r>
      <w:r>
        <w:rPr>
          <w:rFonts w:hint="eastAsia" w:ascii="仿宋_GB2312" w:hAnsi="Times New Roman" w:eastAsia="仿宋_GB2312" w:cs="Times New Roman"/>
          <w:sz w:val="32"/>
          <w:szCs w:val="32"/>
          <w:u w:val="none"/>
          <w:lang w:eastAsia="zh-CN"/>
        </w:rPr>
        <w:t>）有关</w:t>
      </w:r>
      <w:r>
        <w:rPr>
          <w:rFonts w:hint="eastAsia" w:ascii="仿宋_GB2312" w:hAnsi="Times New Roman" w:eastAsia="仿宋_GB2312"/>
          <w:sz w:val="32"/>
          <w:szCs w:val="32"/>
          <w:u w:val="none"/>
          <w:lang w:eastAsia="zh-CN"/>
        </w:rPr>
        <w:t>要求</w:t>
      </w:r>
      <w:r>
        <w:rPr>
          <w:rFonts w:hint="eastAsia" w:ascii="仿宋_GB2312" w:hAnsi="Times New Roman" w:eastAsia="仿宋_GB2312" w:cs="Times New Roman"/>
          <w:sz w:val="32"/>
          <w:szCs w:val="32"/>
          <w:u w:val="none"/>
        </w:rPr>
        <w:t>，</w:t>
      </w:r>
      <w:r>
        <w:rPr>
          <w:rFonts w:hint="eastAsia" w:ascii="仿宋_GB2312" w:hAnsi="Times New Roman" w:eastAsia="仿宋_GB2312"/>
          <w:sz w:val="32"/>
          <w:szCs w:val="32"/>
          <w:u w:val="none"/>
        </w:rPr>
        <w:t>持续深化“以病人为中心”的理念，</w:t>
      </w:r>
      <w:r>
        <w:rPr>
          <w:rFonts w:hint="eastAsia" w:ascii="仿宋_GB2312" w:hAnsi="Times New Roman" w:eastAsia="仿宋_GB2312" w:cs="Times New Roman"/>
          <w:sz w:val="32"/>
          <w:szCs w:val="32"/>
          <w:u w:val="none"/>
        </w:rPr>
        <w:t>聚焦人民群众日益增长的多元化护理服务需求，</w:t>
      </w:r>
      <w:r>
        <w:rPr>
          <w:rFonts w:hint="eastAsia" w:ascii="仿宋_GB2312" w:hAnsi="Times New Roman" w:eastAsia="仿宋_GB2312"/>
          <w:sz w:val="32"/>
          <w:szCs w:val="32"/>
          <w:u w:val="none"/>
        </w:rPr>
        <w:t>进一步改善护理服务</w:t>
      </w:r>
      <w:r>
        <w:rPr>
          <w:rFonts w:hint="eastAsia" w:ascii="仿宋_GB2312" w:hAnsi="Times New Roman" w:eastAsia="仿宋_GB2312"/>
          <w:sz w:val="32"/>
          <w:szCs w:val="32"/>
          <w:u w:val="none"/>
          <w:lang w:eastAsia="zh-CN"/>
        </w:rPr>
        <w:t>，</w:t>
      </w:r>
      <w:r>
        <w:rPr>
          <w:rFonts w:hint="eastAsia" w:ascii="仿宋_GB2312" w:hAnsi="Times New Roman" w:eastAsia="仿宋_GB2312" w:cs="Times New Roman"/>
          <w:sz w:val="32"/>
          <w:szCs w:val="32"/>
          <w:u w:val="none"/>
        </w:rPr>
        <w:t>现将《广西进一步改善护理服务行动计划（2023</w:t>
      </w:r>
      <w:r>
        <w:rPr>
          <w:rFonts w:hint="eastAsia" w:ascii="仿宋_GB2312" w:hAnsi="Times New Roman" w:eastAsia="仿宋_GB2312" w:cs="Times New Roman"/>
          <w:sz w:val="32"/>
          <w:szCs w:val="32"/>
          <w:u w:val="none"/>
          <w:lang w:val="en-US" w:eastAsia="zh-CN"/>
        </w:rPr>
        <w:t>-</w:t>
      </w:r>
      <w:r>
        <w:rPr>
          <w:rFonts w:hint="eastAsia" w:ascii="仿宋_GB2312" w:hAnsi="Times New Roman" w:eastAsia="仿宋_GB2312" w:cs="Times New Roman"/>
          <w:sz w:val="32"/>
          <w:szCs w:val="32"/>
          <w:u w:val="none"/>
        </w:rPr>
        <w:t>2025年）实施方案》印发给你们，请遵照执行。</w:t>
      </w:r>
    </w:p>
    <w:p>
      <w:pPr>
        <w:keepNext w:val="0"/>
        <w:keepLines w:val="0"/>
        <w:pageBreakBefore w:val="0"/>
        <w:widowControl w:val="0"/>
        <w:kinsoku/>
        <w:wordWrap/>
        <w:overflowPunct/>
        <w:topLinePunct w:val="0"/>
        <w:autoSpaceDE/>
        <w:autoSpaceDN/>
        <w:bidi w:val="0"/>
        <w:adjustRightInd/>
        <w:spacing w:line="460" w:lineRule="exact"/>
        <w:textAlignment w:val="auto"/>
        <w:rPr>
          <w:rFonts w:ascii="微软雅黑" w:hAnsi="微软雅黑" w:eastAsia="微软雅黑" w:cs="微软雅黑"/>
          <w:color w:val="417FF9"/>
          <w:sz w:val="24"/>
          <w:u w:val="none"/>
        </w:rPr>
      </w:pPr>
      <w:r>
        <w:rPr>
          <w:rFonts w:ascii="微软雅黑" w:hAnsi="微软雅黑" w:eastAsia="微软雅黑" w:cs="微软雅黑"/>
          <w:color w:val="417FF9"/>
          <w:sz w:val="24"/>
          <w:u w:val="none"/>
        </w:rPr>
        <w:t xml:space="preserve"> </w:t>
      </w:r>
    </w:p>
    <w:p>
      <w:pPr>
        <w:keepNext w:val="0"/>
        <w:keepLines w:val="0"/>
        <w:pageBreakBefore w:val="0"/>
        <w:widowControl w:val="0"/>
        <w:kinsoku/>
        <w:wordWrap/>
        <w:overflowPunct/>
        <w:topLinePunct w:val="0"/>
        <w:autoSpaceDE/>
        <w:autoSpaceDN/>
        <w:bidi w:val="0"/>
        <w:adjustRightInd/>
        <w:spacing w:line="460" w:lineRule="exact"/>
        <w:textAlignment w:val="auto"/>
        <w:rPr>
          <w:rFonts w:ascii="微软雅黑" w:hAnsi="微软雅黑" w:eastAsia="微软雅黑" w:cs="微软雅黑"/>
          <w:color w:val="417FF9"/>
          <w:sz w:val="24"/>
          <w:u w:val="none"/>
        </w:rPr>
      </w:pPr>
    </w:p>
    <w:p>
      <w:pPr>
        <w:keepNext w:val="0"/>
        <w:keepLines w:val="0"/>
        <w:pageBreakBefore w:val="0"/>
        <w:widowControl w:val="0"/>
        <w:kinsoku/>
        <w:wordWrap/>
        <w:overflowPunct/>
        <w:topLinePunct w:val="0"/>
        <w:autoSpaceDE/>
        <w:autoSpaceDN/>
        <w:bidi w:val="0"/>
        <w:adjustRightInd/>
        <w:spacing w:line="460" w:lineRule="exact"/>
        <w:textAlignment w:val="auto"/>
        <w:rPr>
          <w:rFonts w:ascii="微软雅黑" w:hAnsi="微软雅黑" w:eastAsia="微软雅黑" w:cs="微软雅黑"/>
          <w:color w:val="417FF9"/>
          <w:sz w:val="24"/>
          <w:u w:val="none"/>
        </w:rPr>
      </w:pPr>
      <w:r>
        <w:rPr>
          <w:rFonts w:ascii="微软雅黑" w:hAnsi="微软雅黑" w:eastAsia="微软雅黑" w:cs="微软雅黑"/>
          <w:color w:val="417FF9"/>
          <w:sz w:val="24"/>
          <w:u w:val="none"/>
        </w:rPr>
        <w:t xml:space="preserve"> </w:t>
      </w:r>
    </w:p>
    <w:p>
      <w:pPr>
        <w:keepNext w:val="0"/>
        <w:keepLines w:val="0"/>
        <w:pageBreakBefore w:val="0"/>
        <w:widowControl w:val="0"/>
        <w:tabs>
          <w:tab w:val="center" w:pos="4153"/>
          <w:tab w:val="right" w:pos="8306"/>
        </w:tabs>
        <w:kinsoku/>
        <w:wordWrap/>
        <w:overflowPunct/>
        <w:topLinePunct w:val="0"/>
        <w:autoSpaceDE/>
        <w:autoSpaceDN/>
        <w:bidi w:val="0"/>
        <w:adjustRightInd/>
        <w:spacing w:line="460" w:lineRule="exact"/>
        <w:ind w:firstLine="640" w:firstLineChars="200"/>
        <w:textAlignment w:val="auto"/>
        <w:rPr>
          <w:rFonts w:ascii="仿宋_GB2312" w:eastAsia="仿宋_GB2312"/>
          <w:color w:val="000000"/>
          <w:sz w:val="32"/>
          <w:szCs w:val="32"/>
          <w:u w:val="none"/>
        </w:rPr>
      </w:pPr>
      <w:r>
        <w:rPr>
          <w:rFonts w:hint="eastAsia" w:ascii="仿宋_GB2312" w:hAnsi="Times New Roman" w:eastAsia="仿宋_GB2312" w:cs="Times New Roman"/>
          <w:sz w:val="32"/>
          <w:szCs w:val="32"/>
          <w:u w:val="none"/>
        </w:rPr>
        <w:t xml:space="preserve">广西壮族自治区                  </w:t>
      </w:r>
      <w:r>
        <w:rPr>
          <w:rFonts w:hint="eastAsia" w:ascii="仿宋_GB2312" w:eastAsia="仿宋_GB2312"/>
          <w:color w:val="000000"/>
          <w:sz w:val="32"/>
          <w:szCs w:val="32"/>
          <w:u w:val="none"/>
        </w:rPr>
        <w:t>广西壮族自治区</w:t>
      </w:r>
    </w:p>
    <w:p>
      <w:pPr>
        <w:keepNext w:val="0"/>
        <w:keepLines w:val="0"/>
        <w:pageBreakBefore w:val="0"/>
        <w:widowControl w:val="0"/>
        <w:tabs>
          <w:tab w:val="center" w:pos="4153"/>
          <w:tab w:val="right" w:pos="8306"/>
        </w:tabs>
        <w:kinsoku/>
        <w:wordWrap/>
        <w:overflowPunct/>
        <w:topLinePunct w:val="0"/>
        <w:autoSpaceDE/>
        <w:autoSpaceDN/>
        <w:bidi w:val="0"/>
        <w:adjustRightInd/>
        <w:spacing w:line="460" w:lineRule="exact"/>
        <w:ind w:firstLine="640" w:firstLineChars="200"/>
        <w:textAlignment w:val="auto"/>
        <w:rPr>
          <w:rFonts w:ascii="仿宋_GB2312" w:eastAsia="仿宋_GB2312"/>
          <w:color w:val="000000"/>
          <w:sz w:val="32"/>
          <w:szCs w:val="32"/>
          <w:u w:val="none"/>
        </w:rPr>
      </w:pPr>
      <w:r>
        <w:rPr>
          <w:rFonts w:hint="eastAsia" w:ascii="仿宋_GB2312" w:eastAsia="仿宋_GB2312"/>
          <w:color w:val="000000"/>
          <w:sz w:val="32"/>
          <w:szCs w:val="32"/>
          <w:u w:val="none"/>
        </w:rPr>
        <w:t xml:space="preserve">卫生健康委员会            </w:t>
      </w:r>
      <w:r>
        <w:rPr>
          <w:rFonts w:hint="eastAsia" w:ascii="仿宋_GB2312" w:eastAsia="仿宋_GB2312"/>
          <w:color w:val="000000"/>
          <w:sz w:val="32"/>
          <w:szCs w:val="32"/>
          <w:u w:val="none"/>
          <w:lang w:val="en-US" w:eastAsia="zh-CN"/>
        </w:rPr>
        <w:t xml:space="preserve"> </w:t>
      </w:r>
      <w:r>
        <w:rPr>
          <w:rFonts w:hint="eastAsia" w:ascii="仿宋_GB2312" w:eastAsia="仿宋_GB2312"/>
          <w:color w:val="000000"/>
          <w:sz w:val="32"/>
          <w:szCs w:val="32"/>
          <w:u w:val="none"/>
        </w:rPr>
        <w:t xml:space="preserve">      中医药管理局</w:t>
      </w:r>
    </w:p>
    <w:p>
      <w:pPr>
        <w:pStyle w:val="6"/>
        <w:keepNext w:val="0"/>
        <w:keepLines w:val="0"/>
        <w:pageBreakBefore w:val="0"/>
        <w:widowControl w:val="0"/>
        <w:kinsoku/>
        <w:wordWrap/>
        <w:overflowPunct/>
        <w:topLinePunct w:val="0"/>
        <w:autoSpaceDE/>
        <w:autoSpaceDN/>
        <w:bidi w:val="0"/>
        <w:adjustRightInd/>
        <w:spacing w:line="460" w:lineRule="exact"/>
        <w:ind w:right="840" w:rightChars="400"/>
        <w:jc w:val="both"/>
        <w:textAlignment w:val="auto"/>
        <w:rPr>
          <w:rFonts w:hint="eastAsia" w:ascii="方正小标宋简体" w:hAnsi="Times New Roman" w:eastAsia="方正小标宋简体" w:cs="Times New Roman"/>
          <w:sz w:val="44"/>
          <w:szCs w:val="44"/>
          <w:u w:val="none"/>
        </w:rPr>
      </w:pPr>
      <w:r>
        <w:rPr>
          <w:rFonts w:hint="eastAsia"/>
          <w:u w:val="none"/>
        </w:rPr>
        <w:t xml:space="preserve"> </w:t>
      </w:r>
      <w:r>
        <w:rPr>
          <w:rFonts w:hint="eastAsia" w:ascii="仿宋_GB2312" w:hAnsi="仿宋" w:eastAsia="仿宋_GB2312" w:cs="Times New Roman"/>
          <w:sz w:val="32"/>
          <w:szCs w:val="32"/>
          <w:u w:val="none"/>
          <w:lang w:val="en-US" w:eastAsia="zh-CN"/>
        </w:rPr>
        <w:t xml:space="preserve">                                  </w:t>
      </w:r>
      <w:r>
        <w:rPr>
          <w:rFonts w:ascii="仿宋_GB2312" w:hAnsi="仿宋" w:eastAsia="仿宋_GB2312" w:cs="Times New Roman"/>
          <w:sz w:val="32"/>
          <w:szCs w:val="32"/>
          <w:u w:val="none"/>
        </w:rPr>
        <w:t>2023</w:t>
      </w:r>
      <w:r>
        <w:rPr>
          <w:rFonts w:hint="eastAsia" w:ascii="仿宋_GB2312" w:hAnsi="仿宋" w:eastAsia="仿宋_GB2312" w:cs="Times New Roman"/>
          <w:sz w:val="32"/>
          <w:szCs w:val="32"/>
          <w:u w:val="none"/>
        </w:rPr>
        <w:t>年</w:t>
      </w:r>
      <w:r>
        <w:rPr>
          <w:rFonts w:hint="eastAsia" w:ascii="仿宋_GB2312" w:hAnsi="仿宋" w:eastAsia="仿宋_GB2312" w:cs="Times New Roman"/>
          <w:sz w:val="32"/>
          <w:szCs w:val="32"/>
          <w:u w:val="none"/>
          <w:lang w:val="en-US" w:eastAsia="zh-CN"/>
        </w:rPr>
        <w:t>9</w:t>
      </w:r>
      <w:r>
        <w:rPr>
          <w:rFonts w:hint="eastAsia" w:ascii="仿宋_GB2312" w:hAnsi="仿宋" w:eastAsia="仿宋_GB2312" w:cs="Times New Roman"/>
          <w:sz w:val="32"/>
          <w:szCs w:val="32"/>
          <w:u w:val="none"/>
        </w:rPr>
        <w:t>月</w:t>
      </w:r>
      <w:r>
        <w:rPr>
          <w:rFonts w:hint="eastAsia" w:ascii="仿宋_GB2312" w:hAnsi="仿宋" w:eastAsia="仿宋_GB2312" w:cs="Times New Roman"/>
          <w:sz w:val="32"/>
          <w:szCs w:val="32"/>
          <w:u w:val="none"/>
          <w:lang w:val="en-US" w:eastAsia="zh-CN"/>
        </w:rPr>
        <w:t>22</w:t>
      </w:r>
      <w:r>
        <w:rPr>
          <w:rFonts w:hint="eastAsia" w:ascii="仿宋_GB2312" w:hAnsi="仿宋" w:eastAsia="仿宋_GB2312" w:cs="Times New Roman"/>
          <w:sz w:val="32"/>
          <w:szCs w:val="32"/>
          <w:u w:val="none"/>
        </w:rPr>
        <w:t>日</w:t>
      </w:r>
    </w:p>
    <w:p>
      <w:pPr>
        <w:spacing w:line="560" w:lineRule="exact"/>
        <w:jc w:val="center"/>
        <w:rPr>
          <w:rFonts w:hint="eastAsia" w:ascii="方正小标宋简体" w:hAnsi="Times New Roman" w:eastAsia="方正小标宋简体" w:cs="Times New Roman"/>
          <w:sz w:val="44"/>
          <w:szCs w:val="44"/>
          <w:u w:val="none"/>
        </w:rPr>
        <w:sectPr>
          <w:footerReference r:id="rId3" w:type="default"/>
          <w:pgSz w:w="11906" w:h="16838"/>
          <w:pgMar w:top="3968" w:right="1418" w:bottom="1417" w:left="1701" w:header="851" w:footer="992" w:gutter="0"/>
          <w:paperSrc/>
          <w:pgNumType w:fmt="decimal" w:start="1"/>
          <w:cols w:space="720" w:num="1"/>
          <w:rtlGutter w:val="0"/>
          <w:docGrid w:type="lines" w:linePitch="318" w:charSpace="0"/>
        </w:sect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sz w:val="44"/>
          <w:szCs w:val="44"/>
          <w:u w:val="none"/>
        </w:rPr>
      </w:pPr>
      <w:r>
        <w:rPr>
          <w:rFonts w:hint="eastAsia" w:ascii="方正小标宋简体" w:hAnsi="Times New Roman" w:eastAsia="方正小标宋简体" w:cs="Times New Roman"/>
          <w:sz w:val="44"/>
          <w:szCs w:val="44"/>
          <w:u w:val="none"/>
        </w:rPr>
        <w:t>广西进一步改善护理服务行动计划（2023-2025年）实施方案</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方正小标宋简体" w:hAnsi="Times New Roman" w:eastAsia="方正小标宋简体" w:cs="Times New Roman"/>
          <w:sz w:val="44"/>
          <w:szCs w:val="44"/>
          <w:u w:val="none"/>
        </w:rPr>
      </w:pP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为贯彻</w:t>
      </w:r>
      <w:r>
        <w:rPr>
          <w:rFonts w:hint="eastAsia" w:ascii="仿宋_GB2312" w:hAnsi="Times New Roman" w:eastAsia="仿宋_GB2312"/>
          <w:color w:val="000000"/>
          <w:kern w:val="2"/>
          <w:sz w:val="32"/>
          <w:szCs w:val="32"/>
          <w:u w:val="none"/>
          <w:lang w:eastAsia="zh-CN"/>
        </w:rPr>
        <w:t>落实</w:t>
      </w:r>
      <w:r>
        <w:rPr>
          <w:rFonts w:hint="eastAsia" w:ascii="仿宋_GB2312" w:hAnsi="Times New Roman" w:eastAsia="仿宋_GB2312"/>
          <w:color w:val="000000"/>
          <w:kern w:val="2"/>
          <w:sz w:val="32"/>
          <w:szCs w:val="32"/>
          <w:u w:val="none"/>
        </w:rPr>
        <w:t>国家卫生健康委、国家中医药局《关于</w:t>
      </w:r>
      <w:r>
        <w:rPr>
          <w:rFonts w:hint="eastAsia" w:ascii="仿宋_GB2312" w:hAnsi="Times New Roman" w:eastAsia="仿宋_GB2312"/>
          <w:color w:val="000000"/>
          <w:kern w:val="2"/>
          <w:sz w:val="32"/>
          <w:szCs w:val="32"/>
          <w:u w:val="none"/>
          <w:lang w:eastAsia="zh-CN"/>
        </w:rPr>
        <w:t>印发</w:t>
      </w:r>
      <w:r>
        <w:rPr>
          <w:rFonts w:hint="eastAsia" w:ascii="仿宋_GB2312" w:hAnsi="Times New Roman" w:eastAsia="仿宋_GB2312"/>
          <w:color w:val="000000"/>
          <w:kern w:val="2"/>
          <w:sz w:val="32"/>
          <w:szCs w:val="32"/>
          <w:u w:val="none"/>
        </w:rPr>
        <w:t>进一步改善护理服务行动计划（2023</w:t>
      </w:r>
      <w:r>
        <w:rPr>
          <w:rFonts w:hint="eastAsia" w:ascii="仿宋_GB2312" w:hAnsi="Times New Roman" w:eastAsia="仿宋_GB2312"/>
          <w:color w:val="000000"/>
          <w:kern w:val="2"/>
          <w:sz w:val="32"/>
          <w:szCs w:val="32"/>
          <w:u w:val="none"/>
          <w:lang w:val="en-US" w:eastAsia="zh-CN"/>
        </w:rPr>
        <w:t>-</w:t>
      </w:r>
      <w:r>
        <w:rPr>
          <w:rFonts w:hint="eastAsia" w:ascii="仿宋_GB2312" w:hAnsi="Times New Roman" w:eastAsia="仿宋_GB2312"/>
          <w:color w:val="000000"/>
          <w:kern w:val="2"/>
          <w:sz w:val="32"/>
          <w:szCs w:val="32"/>
          <w:u w:val="none"/>
        </w:rPr>
        <w:t>2025年）</w:t>
      </w:r>
      <w:r>
        <w:rPr>
          <w:rFonts w:hint="eastAsia" w:ascii="仿宋_GB2312" w:hAnsi="Times New Roman" w:eastAsia="仿宋_GB2312"/>
          <w:color w:val="000000"/>
          <w:kern w:val="2"/>
          <w:sz w:val="32"/>
          <w:szCs w:val="32"/>
          <w:u w:val="none"/>
          <w:lang w:eastAsia="zh-CN"/>
        </w:rPr>
        <w:t>的通知》</w:t>
      </w:r>
      <w:r>
        <w:rPr>
          <w:rFonts w:hint="eastAsia" w:ascii="仿宋_GB2312"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lang w:eastAsia="zh-CN"/>
        </w:rPr>
        <w:t>国卫医政发〔2023〕16号</w:t>
      </w:r>
      <w:r>
        <w:rPr>
          <w:rFonts w:hint="eastAsia" w:ascii="仿宋_GB2312"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，进一步改善护理服务，推动护理工作更加贴近患者、贴近临床和贴近社会，持续提升患者就医体验。结合我区实际，制定本实施方案。</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olor w:val="000000"/>
          <w:kern w:val="2"/>
          <w:sz w:val="32"/>
          <w:szCs w:val="32"/>
          <w:u w:val="none"/>
        </w:rPr>
      </w:pPr>
      <w:r>
        <w:rPr>
          <w:rFonts w:hint="eastAsia" w:ascii="黑体" w:hAnsi="黑体" w:eastAsia="黑体"/>
          <w:color w:val="000000"/>
          <w:kern w:val="2"/>
          <w:sz w:val="32"/>
          <w:szCs w:val="32"/>
          <w:u w:val="none"/>
        </w:rPr>
        <w:t>一、总体要求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u w:val="none"/>
        </w:rPr>
      </w:pPr>
      <w:r>
        <w:rPr>
          <w:rFonts w:hint="eastAsia" w:ascii="仿宋_GB2312" w:hAnsi="Times New Roman" w:eastAsia="仿宋_GB2312" w:cs="Times New Roman"/>
          <w:color w:val="000000"/>
          <w:sz w:val="32"/>
          <w:szCs w:val="32"/>
          <w:u w:val="none"/>
        </w:rPr>
        <w:t>以习近平新时代中国特色社会主义思想为指导，全面贯彻落实党的二十大精神，</w:t>
      </w:r>
      <w:r>
        <w:rPr>
          <w:rFonts w:hint="eastAsia" w:ascii="仿宋_GB2312" w:hAnsi="Times New Roman" w:eastAsia="仿宋_GB2312" w:cs="Times New Roman"/>
          <w:color w:val="000000"/>
          <w:sz w:val="32"/>
          <w:szCs w:val="32"/>
          <w:u w:val="none"/>
          <w:lang w:eastAsia="zh-CN"/>
        </w:rPr>
        <w:t>认真贯彻落实习近平总书记关于卫生健康的重要论述，全面落实自治区第十二次党代会精神，</w:t>
      </w:r>
      <w:r>
        <w:rPr>
          <w:rFonts w:hint="eastAsia" w:ascii="仿宋_GB2312" w:hAnsi="Times New Roman" w:eastAsia="仿宋_GB2312" w:cs="Times New Roman"/>
          <w:color w:val="000000"/>
          <w:sz w:val="32"/>
          <w:szCs w:val="32"/>
          <w:u w:val="none"/>
          <w:lang w:val="en-US" w:eastAsia="zh-CN"/>
        </w:rPr>
        <w:t>紧紧围绕建设新时代壮美广西建设目标任务，</w:t>
      </w:r>
      <w:r>
        <w:rPr>
          <w:rFonts w:hint="eastAsia" w:ascii="仿宋_GB2312" w:hAnsi="Times New Roman" w:eastAsia="仿宋_GB2312" w:cs="Times New Roman"/>
          <w:color w:val="000000"/>
          <w:sz w:val="32"/>
          <w:szCs w:val="32"/>
          <w:u w:val="none"/>
        </w:rPr>
        <w:t>聚焦人民群众日益增长的多样化护理服务需求，坚持以人民健康为中心，着力解决群众急难愁盼护理问题，持续提升患者就医体验。</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olor w:val="000000"/>
          <w:kern w:val="2"/>
          <w:sz w:val="32"/>
          <w:szCs w:val="32"/>
          <w:u w:val="none"/>
        </w:rPr>
      </w:pPr>
      <w:r>
        <w:rPr>
          <w:rFonts w:hint="eastAsia" w:ascii="黑体" w:hAnsi="黑体" w:eastAsia="黑体"/>
          <w:color w:val="000000"/>
          <w:kern w:val="2"/>
          <w:sz w:val="32"/>
          <w:szCs w:val="32"/>
          <w:u w:val="none"/>
        </w:rPr>
        <w:t>二、工作目标</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用3年时间，</w:t>
      </w:r>
      <w:r>
        <w:rPr>
          <w:rFonts w:hint="eastAsia" w:ascii="仿宋_GB2312" w:hAnsi="Times New Roman" w:eastAsia="仿宋_GB2312"/>
          <w:color w:val="000000"/>
          <w:kern w:val="2"/>
          <w:sz w:val="32"/>
          <w:szCs w:val="32"/>
          <w:u w:val="none"/>
          <w:lang w:eastAsia="zh-CN"/>
        </w:rPr>
        <w:t>在全区范围内组织实施</w:t>
      </w:r>
      <w:r>
        <w:rPr>
          <w:rFonts w:hint="eastAsia" w:ascii="仿宋_GB2312" w:hAnsi="Times New Roman" w:eastAsia="仿宋_GB2312"/>
          <w:color w:val="000000"/>
          <w:kern w:val="2"/>
          <w:sz w:val="32"/>
          <w:szCs w:val="32"/>
          <w:u w:val="none"/>
        </w:rPr>
        <w:t>以“强基础、提质量、促发展”为主题的进一步改善护理服务行动，持续深化“以</w:t>
      </w:r>
      <w:r>
        <w:rPr>
          <w:rFonts w:hint="eastAsia" w:ascii="仿宋_GB2312" w:hAnsi="Times New Roman" w:eastAsia="仿宋_GB2312"/>
          <w:color w:val="000000"/>
          <w:kern w:val="2"/>
          <w:sz w:val="32"/>
          <w:szCs w:val="32"/>
          <w:u w:val="none"/>
          <w:lang w:val="en-US" w:eastAsia="zh-CN"/>
        </w:rPr>
        <w:t>病人</w:t>
      </w:r>
      <w:r>
        <w:rPr>
          <w:rFonts w:hint="eastAsia" w:ascii="仿宋_GB2312" w:hAnsi="Times New Roman" w:eastAsia="仿宋_GB2312"/>
          <w:color w:val="000000"/>
          <w:kern w:val="2"/>
          <w:sz w:val="32"/>
          <w:szCs w:val="32"/>
          <w:u w:val="none"/>
        </w:rPr>
        <w:t>为中心”的理念，临床基础护理不断加强，护理质量明显提高，护理服务持续改善，护理内涵更加丰富，护理领域拓展延伸，服务模式日益创新，覆盖全人群全生命周期的护理服务更加优质、高效、便捷，护理工作更加贴近患者、贴近临床和贴近社会，人民群众获得感、幸福感、安全感进一步增强。</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olor w:val="000000"/>
          <w:kern w:val="2"/>
          <w:sz w:val="32"/>
          <w:szCs w:val="32"/>
          <w:u w:val="none"/>
        </w:rPr>
      </w:pPr>
      <w:r>
        <w:rPr>
          <w:rFonts w:hint="eastAsia" w:ascii="黑体" w:hAnsi="黑体" w:eastAsia="黑体"/>
          <w:color w:val="000000"/>
          <w:kern w:val="2"/>
          <w:sz w:val="32"/>
          <w:szCs w:val="32"/>
          <w:u w:val="none"/>
        </w:rPr>
        <w:t>三、主要内容</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 w:eastAsia="楷体_GB2312"/>
          <w:color w:val="000000"/>
          <w:kern w:val="2"/>
          <w:sz w:val="32"/>
          <w:szCs w:val="32"/>
          <w:u w:val="none"/>
          <w:lang w:eastAsia="zh-CN"/>
        </w:rPr>
      </w:pPr>
      <w:r>
        <w:rPr>
          <w:rFonts w:hint="eastAsia" w:ascii="楷体_GB2312" w:hAnsi="楷体" w:eastAsia="楷体_GB2312"/>
          <w:color w:val="000000"/>
          <w:kern w:val="2"/>
          <w:sz w:val="32"/>
          <w:szCs w:val="32"/>
          <w:u w:val="none"/>
        </w:rPr>
        <w:t>（一）加强临床护理，促进护理服务贴近患者</w:t>
      </w:r>
      <w:r>
        <w:rPr>
          <w:rFonts w:hint="eastAsia" w:ascii="楷体_GB2312" w:hAnsi="楷体" w:eastAsia="楷体_GB2312"/>
          <w:color w:val="000000"/>
          <w:kern w:val="2"/>
          <w:sz w:val="32"/>
          <w:szCs w:val="32"/>
          <w:u w:val="none"/>
          <w:lang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1.落实责任制整体护理。医疗机构要进一步落实责任制整体护理，制定优质护理服务实施方案，建立落实优质护理服务保障制度、措施及考评激励机制。每名责任护士均负责一定数量的患者，每名患者均有相对固定的责任护士，全面履行护理职责，根据患者疾病特点、生理、心理和社会需求等，为患者提供医学照顾、病情观察、协助治疗、健康指导、人文关怀等身心整体、连续的护理服务。到2025年，各级各类医疗机构责任制整体护理覆盖全院100%病区。</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2.加强基础护理。医疗机构要按照《综合医院分级护理指导原则（试行）》《住院患者基础护理服务项目》《基础护理服务工作规范》等，根据医疗机构及专科特点健全分级护理制度，完善基础护理服务规范标准</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强化基础护理质量</w:t>
      </w:r>
      <w:r>
        <w:rPr>
          <w:rFonts w:hint="eastAsia"/>
          <w:u w:val="none"/>
          <w:lang w:eastAsia="zh-CN"/>
        </w:rPr>
        <w:t>。</w:t>
      </w:r>
      <w:r>
        <w:rPr>
          <w:rFonts w:hint="eastAsia" w:ascii="仿宋_GB2312" w:hAnsi="Times New Roman" w:eastAsia="仿宋_GB2312"/>
          <w:color w:val="000000"/>
          <w:kern w:val="2"/>
          <w:sz w:val="32"/>
          <w:szCs w:val="32"/>
          <w:u w:val="none"/>
          <w:lang w:eastAsia="zh-CN"/>
        </w:rPr>
        <w:t>要</w:t>
      </w:r>
      <w:r>
        <w:rPr>
          <w:rFonts w:hint="eastAsia" w:ascii="仿宋_GB2312" w:hAnsi="Times New Roman" w:eastAsia="仿宋_GB2312"/>
          <w:color w:val="000000"/>
          <w:kern w:val="2"/>
          <w:sz w:val="32"/>
          <w:szCs w:val="32"/>
          <w:u w:val="none"/>
        </w:rPr>
        <w:t>扎实做好清洁、卧位、排泄等基础护理工作，根据患者的护理级别、病情和生活自理能力情况等提供及时、必要的医学照顾，切实提升患者就医体验。</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3.注重沟通交流。护士在进行各项护理服务过程中，要主动加强与患者的沟通交流</w:t>
      </w:r>
      <w:r>
        <w:rPr>
          <w:rFonts w:hint="eastAsia" w:ascii="仿宋_GB2312" w:hAnsi="Times New Roman" w:eastAsia="仿宋_GB2312"/>
          <w:color w:val="000000"/>
          <w:kern w:val="2"/>
          <w:sz w:val="32"/>
          <w:szCs w:val="32"/>
          <w:u w:val="none"/>
          <w:lang w:val="en-US" w:eastAsia="zh-CN"/>
        </w:rPr>
        <w:t>,</w:t>
      </w:r>
      <w:r>
        <w:rPr>
          <w:rFonts w:hint="eastAsia" w:ascii="仿宋_GB2312" w:hAnsi="Times New Roman" w:eastAsia="仿宋_GB2312"/>
          <w:color w:val="000000"/>
          <w:kern w:val="2"/>
          <w:sz w:val="32"/>
          <w:szCs w:val="32"/>
          <w:u w:val="none"/>
        </w:rPr>
        <w:t>关注患者需求和不适，及时给予患者帮助和指导。与患者沟通时需注意，语言通俗易懂、简单明确，并及时了解观察患者的反应和心理状态。实施护理专业技术操作前要耐心解释、操作中关切询问、操作后及时观察，发现患者病情变化，及时与医师沟通。</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4.强化人文关怀。医疗机构要深化“以</w:t>
      </w:r>
      <w:r>
        <w:rPr>
          <w:rFonts w:hint="eastAsia" w:ascii="仿宋_GB2312" w:hAnsi="Times New Roman" w:eastAsia="仿宋_GB2312"/>
          <w:color w:val="000000"/>
          <w:kern w:val="2"/>
          <w:sz w:val="32"/>
          <w:szCs w:val="32"/>
          <w:u w:val="none"/>
          <w:lang w:eastAsia="zh-CN"/>
        </w:rPr>
        <w:t>病人</w:t>
      </w:r>
      <w:r>
        <w:rPr>
          <w:rFonts w:hint="eastAsia" w:ascii="仿宋_GB2312" w:hAnsi="Times New Roman" w:eastAsia="仿宋_GB2312"/>
          <w:color w:val="000000"/>
          <w:kern w:val="2"/>
          <w:sz w:val="32"/>
          <w:szCs w:val="32"/>
          <w:u w:val="none"/>
        </w:rPr>
        <w:t>为中心”的理念，注重加强护理人文建设，制定人文关怀制度，细化人文关怀措施，为患者提供人性化护理服务。</w:t>
      </w:r>
      <w:r>
        <w:rPr>
          <w:rFonts w:hint="eastAsia" w:ascii="仿宋_GB2312" w:hAnsi="Times New Roman" w:eastAsia="仿宋_GB2312"/>
          <w:color w:val="000000"/>
          <w:kern w:val="2"/>
          <w:sz w:val="32"/>
          <w:szCs w:val="32"/>
          <w:u w:val="none"/>
          <w:lang w:val="en-US" w:eastAsia="zh-CN"/>
        </w:rPr>
        <w:t>护士要</w:t>
      </w:r>
      <w:r>
        <w:rPr>
          <w:rFonts w:hint="eastAsia" w:ascii="仿宋_GB2312" w:hAnsi="Times New Roman" w:eastAsia="仿宋_GB2312"/>
          <w:color w:val="000000"/>
          <w:kern w:val="2"/>
          <w:sz w:val="32"/>
          <w:szCs w:val="32"/>
          <w:u w:val="none"/>
        </w:rPr>
        <w:t>深入学习护理人文关怀内涵，增强主动服务和人文关怀意识，在提供护理服务过程中要关心、爱护和尊重患者，保护患者隐私，给予细心照护、心理支持和人文关怀，增进护患信任，和谐医患关系，促进护理工作更具人文关怀的温度。</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5.做好健康指导。护士要评估患者健康教育需求，根据疾病特点及个体差异，采用书面、口头、视频等多种方式为患者提供个性化的饮食、营养、运动、康复、并发症预防等方面的健康教育。做好患者入院介绍、出院指导以及特殊治疗、检查、围手术期的配合和注意事项等宣教工作</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lang w:val="en-US" w:eastAsia="zh-CN"/>
        </w:rPr>
        <w:t>根据专科特点持续</w:t>
      </w:r>
      <w:r>
        <w:rPr>
          <w:rFonts w:hint="eastAsia" w:ascii="仿宋_GB2312" w:hAnsi="Times New Roman" w:eastAsia="仿宋_GB2312"/>
          <w:color w:val="000000"/>
          <w:kern w:val="2"/>
          <w:sz w:val="32"/>
          <w:szCs w:val="32"/>
          <w:u w:val="none"/>
        </w:rPr>
        <w:t>完善健康教育资料，定期开展</w:t>
      </w:r>
      <w:r>
        <w:rPr>
          <w:rFonts w:hint="eastAsia" w:ascii="仿宋_GB2312" w:hAnsi="Times New Roman" w:eastAsia="仿宋_GB2312"/>
          <w:color w:val="000000"/>
          <w:kern w:val="2"/>
          <w:sz w:val="32"/>
          <w:szCs w:val="32"/>
          <w:u w:val="none"/>
          <w:lang w:val="en-US" w:eastAsia="zh-CN"/>
        </w:rPr>
        <w:t>形式多样的</w:t>
      </w:r>
      <w:r>
        <w:rPr>
          <w:rFonts w:hint="eastAsia" w:ascii="仿宋_GB2312" w:hAnsi="Times New Roman" w:eastAsia="仿宋_GB2312"/>
          <w:color w:val="000000"/>
          <w:kern w:val="2"/>
          <w:sz w:val="32"/>
          <w:szCs w:val="32"/>
          <w:u w:val="none"/>
        </w:rPr>
        <w:t>健康科普活动。</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 w:eastAsia="楷体_GB2312"/>
          <w:color w:val="000000"/>
          <w:kern w:val="2"/>
          <w:sz w:val="32"/>
          <w:szCs w:val="32"/>
          <w:u w:val="none"/>
          <w:lang w:eastAsia="zh-CN"/>
        </w:rPr>
      </w:pPr>
      <w:r>
        <w:rPr>
          <w:rFonts w:hint="eastAsia" w:ascii="楷体_GB2312" w:hAnsi="楷体" w:eastAsia="楷体_GB2312"/>
          <w:color w:val="000000"/>
          <w:kern w:val="2"/>
          <w:sz w:val="32"/>
          <w:szCs w:val="32"/>
          <w:u w:val="none"/>
        </w:rPr>
        <w:t>（二）提高护理质量，促进护理服务贴近临床</w:t>
      </w:r>
      <w:r>
        <w:rPr>
          <w:rFonts w:hint="eastAsia" w:ascii="楷体_GB2312" w:hAnsi="楷体" w:eastAsia="楷体_GB2312"/>
          <w:color w:val="000000"/>
          <w:kern w:val="2"/>
          <w:sz w:val="32"/>
          <w:szCs w:val="32"/>
          <w:u w:val="none"/>
          <w:lang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1.加强巡视观察。医疗机构要加强护理巡视工作，临床护士要掌握分级护理的内容，按照分级护理指导原则要求，加强患者巡视和病情观察。</w:t>
      </w:r>
      <w:r>
        <w:rPr>
          <w:rFonts w:hint="eastAsia" w:ascii="仿宋_GB2312" w:hAnsi="Times New Roman" w:eastAsia="仿宋_GB2312"/>
          <w:color w:val="000000"/>
          <w:kern w:val="2"/>
          <w:sz w:val="32"/>
          <w:szCs w:val="32"/>
          <w:u w:val="none"/>
          <w:lang w:val="en-US" w:eastAsia="zh-CN"/>
        </w:rPr>
        <w:t xml:space="preserve"> </w:t>
      </w:r>
      <w:r>
        <w:rPr>
          <w:rFonts w:hint="eastAsia" w:ascii="仿宋_GB2312" w:hAnsi="Times New Roman" w:eastAsia="仿宋_GB2312"/>
          <w:color w:val="000000"/>
          <w:kern w:val="2"/>
          <w:sz w:val="32"/>
          <w:szCs w:val="32"/>
          <w:u w:val="none"/>
        </w:rPr>
        <w:t>对特级护理患者要随时巡视，一级护理、二级护理和三级护理的患者，应按要求定时巡视患者，主动密切观察患者生命体征、意识状态、皮肤状况、肢体末梢循环、引流液情况以及手术/检查/用药后反应等，及时发现病情变化和潜在风险及并发症，并给予有效处置。</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2.保障护理质量安全。</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lang w:val="en-US" w:eastAsia="zh-CN"/>
        </w:rPr>
        <w:t>1</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健全护理质控网络。</w:t>
      </w:r>
      <w:r>
        <w:rPr>
          <w:rFonts w:hint="eastAsia" w:ascii="仿宋_GB2312" w:hAnsi="Times New Roman" w:eastAsia="仿宋_GB2312"/>
          <w:color w:val="000000"/>
          <w:kern w:val="2"/>
          <w:sz w:val="32"/>
          <w:szCs w:val="32"/>
          <w:u w:val="none"/>
          <w:lang w:val="en-US" w:eastAsia="zh-CN"/>
        </w:rPr>
        <w:t>加强</w:t>
      </w:r>
      <w:r>
        <w:rPr>
          <w:rFonts w:hint="eastAsia" w:ascii="仿宋_GB2312" w:hAnsi="Times New Roman" w:eastAsia="仿宋_GB2312"/>
          <w:color w:val="000000"/>
          <w:kern w:val="2"/>
          <w:sz w:val="32"/>
          <w:szCs w:val="32"/>
          <w:u w:val="none"/>
        </w:rPr>
        <w:t>自治区-市-县三级护理质量控制网络体系</w:t>
      </w:r>
      <w:r>
        <w:rPr>
          <w:rFonts w:hint="eastAsia" w:ascii="仿宋_GB2312" w:hAnsi="Times New Roman" w:eastAsia="仿宋_GB2312"/>
          <w:color w:val="000000"/>
          <w:kern w:val="2"/>
          <w:sz w:val="32"/>
          <w:szCs w:val="32"/>
          <w:u w:val="none"/>
          <w:lang w:val="en-US" w:eastAsia="zh-CN"/>
        </w:rPr>
        <w:t>建设</w:t>
      </w:r>
      <w:r>
        <w:rPr>
          <w:rFonts w:hint="eastAsia" w:ascii="仿宋_GB2312" w:hAnsi="Times New Roman" w:eastAsia="仿宋_GB2312"/>
          <w:color w:val="000000"/>
          <w:kern w:val="2"/>
          <w:sz w:val="32"/>
          <w:szCs w:val="32"/>
          <w:u w:val="none"/>
        </w:rPr>
        <w:t>，到2025年</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lang w:val="en-US" w:eastAsia="zh-CN"/>
        </w:rPr>
        <w:t>在</w:t>
      </w:r>
      <w:r>
        <w:rPr>
          <w:rFonts w:hint="eastAsia" w:ascii="仿宋_GB2312" w:hAnsi="Times New Roman" w:eastAsia="仿宋_GB2312"/>
          <w:color w:val="000000"/>
          <w:kern w:val="2"/>
          <w:sz w:val="32"/>
          <w:szCs w:val="32"/>
          <w:u w:val="none"/>
          <w:lang w:eastAsia="zh-CN"/>
        </w:rPr>
        <w:t>设区市</w:t>
      </w:r>
      <w:r>
        <w:rPr>
          <w:rFonts w:hint="eastAsia" w:ascii="仿宋_GB2312" w:hAnsi="Times New Roman" w:eastAsia="仿宋_GB2312"/>
          <w:color w:val="000000"/>
          <w:kern w:val="2"/>
          <w:sz w:val="32"/>
          <w:szCs w:val="32"/>
          <w:u w:val="none"/>
        </w:rPr>
        <w:t>护理质控中心全覆盖</w:t>
      </w:r>
      <w:r>
        <w:rPr>
          <w:rFonts w:hint="eastAsia" w:ascii="仿宋_GB2312" w:hAnsi="Times New Roman" w:eastAsia="仿宋_GB2312"/>
          <w:color w:val="000000"/>
          <w:kern w:val="2"/>
          <w:sz w:val="32"/>
          <w:szCs w:val="32"/>
          <w:u w:val="none"/>
          <w:lang w:val="en-US" w:eastAsia="zh-CN"/>
        </w:rPr>
        <w:t>的基础上</w:t>
      </w:r>
      <w:r>
        <w:rPr>
          <w:rFonts w:hint="eastAsia" w:ascii="仿宋_GB2312" w:hAnsi="Times New Roman" w:eastAsia="仿宋_GB2312"/>
          <w:color w:val="000000"/>
          <w:kern w:val="2"/>
          <w:sz w:val="32"/>
          <w:szCs w:val="32"/>
          <w:u w:val="none"/>
        </w:rPr>
        <w:t>，</w:t>
      </w:r>
      <w:r>
        <w:rPr>
          <w:rFonts w:hint="eastAsia" w:ascii="仿宋_GB2312" w:hAnsi="Times New Roman" w:eastAsia="仿宋_GB2312"/>
          <w:color w:val="000000"/>
          <w:kern w:val="2"/>
          <w:sz w:val="32"/>
          <w:szCs w:val="32"/>
          <w:u w:val="none"/>
          <w:lang w:eastAsia="zh-CN"/>
        </w:rPr>
        <w:t>力争</w:t>
      </w:r>
      <w:r>
        <w:rPr>
          <w:rFonts w:hint="eastAsia" w:ascii="仿宋_GB2312" w:hAnsi="Times New Roman" w:eastAsia="仿宋_GB2312"/>
          <w:color w:val="000000"/>
          <w:kern w:val="2"/>
          <w:sz w:val="32"/>
          <w:szCs w:val="32"/>
          <w:u w:val="none"/>
        </w:rPr>
        <w:t>设有多家县级综合医院的</w:t>
      </w:r>
      <w:r>
        <w:rPr>
          <w:rFonts w:hint="eastAsia" w:ascii="仿宋_GB2312" w:hAnsi="Times New Roman" w:eastAsia="仿宋_GB2312"/>
          <w:color w:val="000000"/>
          <w:kern w:val="2"/>
          <w:sz w:val="32"/>
          <w:szCs w:val="32"/>
          <w:u w:val="none"/>
          <w:lang w:val="en-US" w:eastAsia="zh-CN"/>
        </w:rPr>
        <w:t>县域均</w:t>
      </w:r>
      <w:r>
        <w:rPr>
          <w:rFonts w:hint="eastAsia" w:ascii="仿宋_GB2312" w:hAnsi="Times New Roman" w:eastAsia="仿宋_GB2312"/>
          <w:color w:val="000000"/>
          <w:kern w:val="2"/>
          <w:sz w:val="32"/>
          <w:szCs w:val="32"/>
          <w:u w:val="none"/>
          <w:lang w:eastAsia="zh-CN"/>
        </w:rPr>
        <w:t>设置护理</w:t>
      </w:r>
      <w:r>
        <w:rPr>
          <w:rFonts w:hint="eastAsia" w:ascii="仿宋_GB2312" w:hAnsi="Times New Roman" w:eastAsia="仿宋_GB2312"/>
          <w:color w:val="000000"/>
          <w:kern w:val="2"/>
          <w:sz w:val="32"/>
          <w:szCs w:val="32"/>
          <w:u w:val="none"/>
          <w:lang w:val="en-US" w:eastAsia="zh-CN"/>
        </w:rPr>
        <w:t>质量控制</w:t>
      </w:r>
      <w:r>
        <w:rPr>
          <w:rFonts w:hint="eastAsia" w:ascii="仿宋_GB2312" w:hAnsi="Times New Roman" w:eastAsia="仿宋_GB2312"/>
          <w:color w:val="000000"/>
          <w:kern w:val="2"/>
          <w:sz w:val="32"/>
          <w:szCs w:val="32"/>
          <w:u w:val="none"/>
          <w:lang w:eastAsia="zh-CN"/>
        </w:rPr>
        <w:t>中心</w:t>
      </w:r>
      <w:r>
        <w:rPr>
          <w:rFonts w:hint="eastAsia" w:ascii="仿宋_GB2312" w:hAnsi="Times New Roman" w:eastAsia="仿宋_GB2312"/>
          <w:color w:val="000000"/>
          <w:kern w:val="2"/>
          <w:sz w:val="32"/>
          <w:szCs w:val="32"/>
          <w:u w:val="none"/>
        </w:rPr>
        <w:t>。依托广西护理质量控制中心，明确质控工作重点与实施路径，加强</w:t>
      </w:r>
      <w:r>
        <w:rPr>
          <w:rFonts w:hint="eastAsia" w:ascii="仿宋_GB2312" w:hAnsi="Times New Roman" w:eastAsia="仿宋_GB2312"/>
          <w:color w:val="000000"/>
          <w:kern w:val="2"/>
          <w:sz w:val="32"/>
          <w:szCs w:val="32"/>
          <w:u w:val="none"/>
          <w:lang w:eastAsia="zh-CN"/>
        </w:rPr>
        <w:t>对</w:t>
      </w:r>
      <w:r>
        <w:rPr>
          <w:rFonts w:hint="eastAsia" w:ascii="仿宋_GB2312" w:hAnsi="Times New Roman" w:eastAsia="仿宋_GB2312"/>
          <w:color w:val="000000"/>
          <w:kern w:val="2"/>
          <w:sz w:val="32"/>
          <w:szCs w:val="32"/>
          <w:u w:val="none"/>
        </w:rPr>
        <w:t>全区护理质量</w:t>
      </w:r>
      <w:r>
        <w:rPr>
          <w:rFonts w:hint="eastAsia" w:ascii="仿宋_GB2312" w:hAnsi="Times New Roman" w:eastAsia="仿宋_GB2312"/>
          <w:color w:val="000000"/>
          <w:kern w:val="2"/>
          <w:sz w:val="32"/>
          <w:szCs w:val="32"/>
          <w:u w:val="none"/>
          <w:lang w:eastAsia="zh-CN"/>
        </w:rPr>
        <w:t>的指导</w:t>
      </w:r>
      <w:r>
        <w:rPr>
          <w:rFonts w:hint="eastAsia" w:ascii="仿宋_GB2312" w:hAnsi="Times New Roman" w:eastAsia="仿宋_GB2312"/>
          <w:color w:val="000000"/>
          <w:kern w:val="2"/>
          <w:sz w:val="32"/>
          <w:szCs w:val="32"/>
          <w:u w:val="none"/>
        </w:rPr>
        <w:t>，</w:t>
      </w:r>
      <w:r>
        <w:rPr>
          <w:rFonts w:hint="eastAsia" w:ascii="仿宋_GB2312" w:hAnsi="Times New Roman" w:eastAsia="仿宋_GB2312"/>
          <w:color w:val="000000"/>
          <w:kern w:val="2"/>
          <w:sz w:val="32"/>
          <w:szCs w:val="32"/>
          <w:u w:val="none"/>
          <w:lang w:val="en-US" w:eastAsia="zh-CN"/>
        </w:rPr>
        <w:t>进一步提升全区护理质量，有效促进我区护理质量同质化。医疗机构</w:t>
      </w:r>
      <w:r>
        <w:rPr>
          <w:rFonts w:hint="eastAsia" w:ascii="仿宋_GB2312" w:hAnsi="Times New Roman" w:eastAsia="仿宋_GB2312"/>
          <w:color w:val="000000"/>
          <w:kern w:val="2"/>
          <w:sz w:val="32"/>
          <w:szCs w:val="32"/>
          <w:u w:val="none"/>
        </w:rPr>
        <w:t>充分利用相关质控指标开展质量管理工作，不断提升医疗质量管理的科学化和精细化水平</w:t>
      </w:r>
      <w:r>
        <w:rPr>
          <w:rFonts w:hint="eastAsia" w:ascii="仿宋_GB2312" w:hAnsi="Times New Roman" w:eastAsia="仿宋_GB2312"/>
          <w:color w:val="000000"/>
          <w:kern w:val="2"/>
          <w:sz w:val="32"/>
          <w:szCs w:val="32"/>
          <w:u w:val="none"/>
          <w:lang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w:t>
      </w:r>
      <w:r>
        <w:rPr>
          <w:rFonts w:hint="eastAsia" w:ascii="仿宋_GB2312" w:hAnsi="Times New Roman" w:eastAsia="仿宋_GB2312"/>
          <w:color w:val="000000"/>
          <w:kern w:val="2"/>
          <w:sz w:val="32"/>
          <w:szCs w:val="32"/>
          <w:u w:val="none"/>
          <w:lang w:val="en-US" w:eastAsia="zh-CN"/>
        </w:rPr>
        <w:t>2</w:t>
      </w:r>
      <w:r>
        <w:rPr>
          <w:rFonts w:hint="eastAsia" w:ascii="仿宋_GB2312" w:hAnsi="Times New Roman" w:eastAsia="仿宋_GB2312"/>
          <w:color w:val="000000"/>
          <w:kern w:val="2"/>
          <w:sz w:val="32"/>
          <w:szCs w:val="32"/>
          <w:u w:val="none"/>
        </w:rPr>
        <w:t>）</w:t>
      </w:r>
      <w:r>
        <w:rPr>
          <w:rFonts w:hint="eastAsia" w:ascii="仿宋_GB2312" w:hAnsi="Times New Roman" w:eastAsia="仿宋_GB2312"/>
          <w:color w:val="000000"/>
          <w:kern w:val="2"/>
          <w:sz w:val="32"/>
          <w:szCs w:val="32"/>
          <w:u w:val="none"/>
          <w:lang w:val="en-US" w:eastAsia="zh-CN"/>
        </w:rPr>
        <w:t>严格落实核心制度。</w:t>
      </w:r>
      <w:r>
        <w:rPr>
          <w:rFonts w:hint="eastAsia" w:ascii="仿宋_GB2312" w:hAnsi="Times New Roman" w:eastAsia="仿宋_GB2312"/>
          <w:color w:val="000000"/>
          <w:kern w:val="2"/>
          <w:sz w:val="32"/>
          <w:szCs w:val="32"/>
          <w:u w:val="none"/>
        </w:rPr>
        <w:t>倡导医疗机构开展医护联合查房和多学科合作，护士全面了解患者病情情况</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提供针对性护理措施。医疗机构要严格落实分级护理、查对、交接班等核心制度，按照临床护理实践指南和技术标准要求，规范实施各类临床护理技术操作。</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lang w:eastAsia="zh-CN"/>
        </w:rPr>
      </w:pPr>
      <w:r>
        <w:rPr>
          <w:rFonts w:hint="eastAsia" w:ascii="仿宋_GB2312" w:hAnsi="Times New Roman" w:eastAsia="仿宋_GB2312"/>
          <w:color w:val="000000"/>
          <w:kern w:val="2"/>
          <w:sz w:val="32"/>
          <w:szCs w:val="32"/>
          <w:u w:val="none"/>
        </w:rPr>
        <w:t>（</w:t>
      </w:r>
      <w:r>
        <w:rPr>
          <w:rFonts w:hint="eastAsia" w:ascii="仿宋_GB2312" w:hAnsi="Times New Roman" w:eastAsia="仿宋_GB2312"/>
          <w:color w:val="000000"/>
          <w:kern w:val="2"/>
          <w:sz w:val="32"/>
          <w:szCs w:val="32"/>
          <w:u w:val="none"/>
          <w:lang w:val="en-US" w:eastAsia="zh-CN"/>
        </w:rPr>
        <w:t>3</w:t>
      </w:r>
      <w:r>
        <w:rPr>
          <w:rFonts w:hint="eastAsia" w:ascii="仿宋_GB2312" w:hAnsi="Times New Roman" w:eastAsia="仿宋_GB2312"/>
          <w:color w:val="000000"/>
          <w:kern w:val="2"/>
          <w:sz w:val="32"/>
          <w:szCs w:val="32"/>
          <w:u w:val="none"/>
        </w:rPr>
        <w:t>）加强</w:t>
      </w:r>
      <w:r>
        <w:rPr>
          <w:rFonts w:hint="eastAsia" w:ascii="仿宋_GB2312" w:hAnsi="Times New Roman" w:eastAsia="仿宋_GB2312"/>
          <w:color w:val="000000"/>
          <w:kern w:val="2"/>
          <w:sz w:val="32"/>
          <w:szCs w:val="32"/>
          <w:u w:val="none"/>
          <w:lang w:eastAsia="zh-CN"/>
        </w:rPr>
        <w:t>对</w:t>
      </w:r>
      <w:r>
        <w:rPr>
          <w:rFonts w:hint="eastAsia" w:ascii="仿宋_GB2312" w:hAnsi="Times New Roman" w:eastAsia="仿宋_GB2312"/>
          <w:color w:val="000000"/>
          <w:kern w:val="2"/>
          <w:sz w:val="32"/>
          <w:szCs w:val="32"/>
          <w:u w:val="none"/>
        </w:rPr>
        <w:t>医疗安全不良事件</w:t>
      </w:r>
      <w:r>
        <w:rPr>
          <w:rFonts w:hint="eastAsia" w:ascii="仿宋_GB2312" w:hAnsi="Times New Roman" w:eastAsia="仿宋_GB2312"/>
          <w:color w:val="000000"/>
          <w:kern w:val="2"/>
          <w:sz w:val="32"/>
          <w:szCs w:val="32"/>
          <w:u w:val="none"/>
          <w:lang w:val="en-US" w:eastAsia="zh-CN"/>
        </w:rPr>
        <w:t>的</w:t>
      </w:r>
      <w:r>
        <w:rPr>
          <w:rFonts w:hint="eastAsia" w:ascii="仿宋_GB2312" w:hAnsi="Times New Roman" w:eastAsia="仿宋_GB2312"/>
          <w:color w:val="000000"/>
          <w:kern w:val="2"/>
          <w:sz w:val="32"/>
          <w:szCs w:val="32"/>
          <w:u w:val="none"/>
        </w:rPr>
        <w:t>管理</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lang w:val="en-US" w:eastAsia="zh-CN"/>
        </w:rPr>
        <w:t>医疗机构要</w:t>
      </w:r>
      <w:r>
        <w:rPr>
          <w:rFonts w:hint="eastAsia" w:ascii="仿宋_GB2312" w:hAnsi="Times New Roman" w:eastAsia="仿宋_GB2312"/>
          <w:color w:val="000000"/>
          <w:kern w:val="2"/>
          <w:sz w:val="32"/>
          <w:szCs w:val="32"/>
          <w:u w:val="none"/>
          <w:lang w:eastAsia="zh-CN"/>
        </w:rPr>
        <w:t>制定</w:t>
      </w:r>
      <w:r>
        <w:rPr>
          <w:rFonts w:hint="eastAsia" w:ascii="仿宋_GB2312" w:hAnsi="Times New Roman" w:eastAsia="仿宋_GB2312"/>
          <w:color w:val="000000"/>
          <w:kern w:val="2"/>
          <w:sz w:val="32"/>
          <w:szCs w:val="32"/>
          <w:u w:val="none"/>
        </w:rPr>
        <w:t>主动报告医疗安全不良事件的制度和工作流程。要增强并发症早期预警识别能力，</w:t>
      </w:r>
      <w:r>
        <w:rPr>
          <w:rFonts w:hint="eastAsia" w:ascii="仿宋_GB2312" w:hAnsi="Times New Roman" w:eastAsia="仿宋_GB2312"/>
          <w:color w:val="000000"/>
          <w:kern w:val="2"/>
          <w:sz w:val="32"/>
          <w:szCs w:val="32"/>
          <w:u w:val="none"/>
          <w:lang w:val="en-US" w:eastAsia="zh-CN"/>
        </w:rPr>
        <w:t>采取有效措施</w:t>
      </w:r>
      <w:r>
        <w:rPr>
          <w:rFonts w:hint="eastAsia" w:ascii="仿宋_GB2312" w:hAnsi="Times New Roman" w:eastAsia="仿宋_GB2312"/>
          <w:color w:val="000000"/>
          <w:kern w:val="2"/>
          <w:sz w:val="32"/>
          <w:szCs w:val="32"/>
          <w:u w:val="none"/>
        </w:rPr>
        <w:t>降低住院患者跌倒、院内新发压力性损伤等医疗安全不良事件发生率，确保护理质量和</w:t>
      </w:r>
      <w:r>
        <w:rPr>
          <w:color w:val="000000"/>
          <w:u w:val="none"/>
        </w:rPr>
        <w:fldChar w:fldCharType="begin"/>
      </w:r>
      <w:r>
        <w:rPr>
          <w:color w:val="000000"/>
          <w:u w:val="none"/>
        </w:rPr>
        <w:instrText xml:space="preserve"> HYPERLINK "http://www.cn-healthcare.com/freezingapi/wapi/cloudwords/getwordinfo?wordid=48" </w:instrText>
      </w:r>
      <w:r>
        <w:rPr>
          <w:color w:val="000000"/>
          <w:u w:val="none"/>
        </w:rPr>
        <w:fldChar w:fldCharType="separate"/>
      </w:r>
      <w:r>
        <w:rPr>
          <w:rFonts w:hint="eastAsia" w:ascii="仿宋_GB2312" w:hAnsi="Times New Roman" w:eastAsia="仿宋_GB2312"/>
          <w:color w:val="000000"/>
          <w:kern w:val="2"/>
          <w:sz w:val="32"/>
          <w:szCs w:val="32"/>
          <w:u w:val="none"/>
        </w:rPr>
        <w:t>患者安全</w:t>
      </w:r>
      <w:r>
        <w:rPr>
          <w:rFonts w:hint="eastAsia" w:ascii="仿宋_GB2312" w:hAnsi="Times New Roman" w:eastAsia="仿宋_GB2312"/>
          <w:color w:val="000000"/>
          <w:kern w:val="2"/>
          <w:sz w:val="32"/>
          <w:szCs w:val="32"/>
          <w:u w:val="none"/>
        </w:rPr>
        <w:fldChar w:fldCharType="end"/>
      </w:r>
      <w:r>
        <w:rPr>
          <w:rFonts w:hint="eastAsia" w:ascii="仿宋_GB2312" w:hAnsi="Times New Roman" w:eastAsia="仿宋_GB2312"/>
          <w:color w:val="000000"/>
          <w:kern w:val="2"/>
          <w:sz w:val="32"/>
          <w:szCs w:val="32"/>
          <w:u w:val="none"/>
        </w:rPr>
        <w:t>。鼓励护士按照“自愿性、保密性、非处罚性”的原则，主动并逐级报告护理不良事件</w:t>
      </w:r>
      <w:r>
        <w:rPr>
          <w:rFonts w:hint="eastAsia" w:ascii="仿宋_GB2312" w:hAnsi="Times New Roman" w:eastAsia="仿宋_GB2312"/>
          <w:color w:val="000000"/>
          <w:kern w:val="2"/>
          <w:sz w:val="32"/>
          <w:szCs w:val="32"/>
          <w:u w:val="none"/>
          <w:lang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FF0000"/>
          <w:kern w:val="2"/>
          <w:sz w:val="32"/>
          <w:szCs w:val="32"/>
          <w:u w:val="none"/>
        </w:rPr>
      </w:pPr>
      <w:r>
        <w:rPr>
          <w:rFonts w:hint="eastAsia" w:ascii="仿宋_GB2312" w:hAnsi="Times New Roman" w:eastAsia="仿宋_GB2312"/>
          <w:color w:val="000000"/>
          <w:kern w:val="2"/>
          <w:sz w:val="32"/>
          <w:szCs w:val="32"/>
          <w:u w:val="none"/>
        </w:rPr>
        <w:t>3.提高护理技术水平。医疗机构要以护理岗位需求为导向，以岗位胜任力为核心，以加强“三基三严”为切入点，夯实临床护士的护理技术基本功</w:t>
      </w:r>
      <w:r>
        <w:rPr>
          <w:rFonts w:hint="eastAsia" w:ascii="仿宋_GB2312" w:hAnsi="Times New Roman" w:eastAsia="仿宋_GB2312"/>
          <w:color w:val="auto"/>
          <w:kern w:val="2"/>
          <w:sz w:val="32"/>
          <w:szCs w:val="32"/>
          <w:u w:val="none"/>
        </w:rPr>
        <w:t>。</w:t>
      </w:r>
      <w:r>
        <w:rPr>
          <w:rFonts w:hint="eastAsia" w:ascii="仿宋_GB2312" w:hAnsi="Times New Roman" w:eastAsia="仿宋_GB2312"/>
          <w:color w:val="000000"/>
          <w:kern w:val="2"/>
          <w:sz w:val="32"/>
          <w:szCs w:val="32"/>
          <w:u w:val="none"/>
        </w:rPr>
        <w:t>制定不同层级护士的培训方案、岗位职责、考核标准和专科培训工作方案，提升护士专业技术水平、临床服务能力和岗位胜任力</w:t>
      </w:r>
      <w:r>
        <w:rPr>
          <w:rFonts w:hint="eastAsia" w:ascii="仿宋_GB2312" w:hAnsi="Times New Roman" w:eastAsia="仿宋_GB2312"/>
          <w:color w:val="auto"/>
          <w:kern w:val="2"/>
          <w:sz w:val="32"/>
          <w:szCs w:val="32"/>
          <w:u w:val="none"/>
        </w:rPr>
        <w:t>。二级及以上医疗机构要</w:t>
      </w:r>
      <w:r>
        <w:rPr>
          <w:rFonts w:hint="eastAsia" w:ascii="仿宋_GB2312" w:hAnsi="Times New Roman" w:eastAsia="仿宋_GB2312"/>
          <w:color w:val="auto"/>
          <w:kern w:val="2"/>
          <w:sz w:val="32"/>
          <w:szCs w:val="32"/>
          <w:u w:val="none"/>
          <w:lang w:val="en-US" w:eastAsia="zh-CN"/>
        </w:rPr>
        <w:t>加大</w:t>
      </w:r>
      <w:r>
        <w:rPr>
          <w:rFonts w:hint="eastAsia" w:ascii="仿宋_GB2312" w:hAnsi="Times New Roman" w:eastAsia="仿宋_GB2312"/>
          <w:color w:val="auto"/>
          <w:kern w:val="2"/>
          <w:sz w:val="32"/>
          <w:szCs w:val="32"/>
          <w:u w:val="none"/>
        </w:rPr>
        <w:t>专科护士培养</w:t>
      </w:r>
      <w:r>
        <w:rPr>
          <w:rFonts w:hint="eastAsia" w:ascii="仿宋_GB2312" w:hAnsi="Times New Roman" w:eastAsia="仿宋_GB2312"/>
          <w:color w:val="auto"/>
          <w:kern w:val="2"/>
          <w:sz w:val="32"/>
          <w:szCs w:val="32"/>
          <w:u w:val="none"/>
          <w:lang w:val="en-US" w:eastAsia="zh-CN"/>
        </w:rPr>
        <w:t>力度</w:t>
      </w:r>
      <w:r>
        <w:rPr>
          <w:rFonts w:hint="eastAsia" w:ascii="仿宋_GB2312" w:hAnsi="Times New Roman" w:eastAsia="仿宋_GB2312"/>
          <w:color w:val="auto"/>
          <w:kern w:val="2"/>
          <w:sz w:val="32"/>
          <w:szCs w:val="32"/>
          <w:u w:val="none"/>
        </w:rPr>
        <w:t>，逐步提</w:t>
      </w:r>
      <w:r>
        <w:rPr>
          <w:rFonts w:hint="eastAsia" w:ascii="仿宋_GB2312" w:hAnsi="Times New Roman" w:eastAsia="仿宋_GB2312"/>
          <w:color w:val="auto"/>
          <w:kern w:val="2"/>
          <w:sz w:val="32"/>
          <w:szCs w:val="32"/>
          <w:u w:val="none"/>
          <w:lang w:val="en-US" w:eastAsia="zh-CN"/>
        </w:rPr>
        <w:t>高专科护士数量在全院护士数量的比例，</w:t>
      </w:r>
      <w:r>
        <w:rPr>
          <w:rFonts w:hint="eastAsia" w:ascii="仿宋_GB2312" w:hAnsi="Times New Roman" w:eastAsia="仿宋_GB2312"/>
          <w:color w:val="auto"/>
          <w:kern w:val="2"/>
          <w:sz w:val="32"/>
          <w:szCs w:val="32"/>
          <w:u w:val="none"/>
        </w:rPr>
        <w:t>健全专科护士培养与管理体系，积极探索专科护士职业发展路径。鼓励开展以专科护士为主导的专科护理会诊及多学科护理会诊等。医疗机构结合高质量发展和临床专科建设有关要求，优先在危重症、急诊、手术室、产科、血液净化、伤口造口、老年、儿科等紧缺护理专业领域，推动临床护理专业化发展和护理人才培养</w:t>
      </w:r>
      <w:r>
        <w:rPr>
          <w:rFonts w:hint="eastAsia" w:ascii="仿宋_GB2312" w:hAnsi="Times New Roman" w:eastAsia="仿宋_GB2312"/>
          <w:color w:val="auto"/>
          <w:kern w:val="2"/>
          <w:sz w:val="32"/>
          <w:szCs w:val="32"/>
          <w:u w:val="none"/>
          <w:lang w:eastAsia="zh-CN"/>
        </w:rPr>
        <w:t>，</w:t>
      </w:r>
      <w:r>
        <w:rPr>
          <w:rFonts w:hint="eastAsia" w:ascii="仿宋_GB2312" w:hAnsi="Times New Roman" w:eastAsia="仿宋_GB2312"/>
          <w:color w:val="auto"/>
          <w:kern w:val="2"/>
          <w:sz w:val="32"/>
          <w:szCs w:val="32"/>
          <w:u w:val="none"/>
        </w:rPr>
        <w:t>不断提高临床护理专业技术水平，增进患者医疗效果，助推护理高质量发展</w:t>
      </w:r>
      <w:r>
        <w:rPr>
          <w:rFonts w:hint="eastAsia" w:ascii="仿宋_GB2312" w:hAnsi="Times New Roman" w:eastAsia="仿宋_GB2312"/>
          <w:color w:val="000000"/>
          <w:kern w:val="2"/>
          <w:sz w:val="32"/>
          <w:szCs w:val="32"/>
          <w:u w:val="none"/>
        </w:rPr>
        <w:t>。到2025年，相关紧缺护理专业护士参加</w:t>
      </w:r>
      <w:r>
        <w:rPr>
          <w:rFonts w:hint="eastAsia" w:ascii="仿宋_GB2312" w:hAnsi="Times New Roman" w:eastAsia="仿宋_GB2312"/>
          <w:color w:val="000000"/>
          <w:kern w:val="2"/>
          <w:sz w:val="32"/>
          <w:szCs w:val="32"/>
          <w:u w:val="none"/>
          <w:lang w:val="en-US" w:eastAsia="zh-CN"/>
        </w:rPr>
        <w:t>专业</w:t>
      </w:r>
      <w:r>
        <w:rPr>
          <w:rFonts w:hint="eastAsia" w:ascii="仿宋_GB2312" w:hAnsi="Times New Roman" w:eastAsia="仿宋_GB2312"/>
          <w:color w:val="000000"/>
          <w:kern w:val="2"/>
          <w:sz w:val="32"/>
          <w:szCs w:val="32"/>
          <w:u w:val="none"/>
        </w:rPr>
        <w:t>培训比例不低于9</w:t>
      </w:r>
      <w:r>
        <w:rPr>
          <w:rFonts w:hint="eastAsia" w:ascii="仿宋_GB2312" w:hAnsi="Times New Roman" w:eastAsia="仿宋_GB2312"/>
          <w:color w:val="000000"/>
          <w:kern w:val="2"/>
          <w:sz w:val="32"/>
          <w:szCs w:val="32"/>
          <w:u w:val="none"/>
          <w:lang w:val="en-US" w:eastAsia="zh-CN"/>
        </w:rPr>
        <w:t>5</w:t>
      </w:r>
      <w:r>
        <w:rPr>
          <w:rFonts w:hint="eastAsia" w:ascii="仿宋_GB2312" w:hAnsi="Times New Roman" w:eastAsia="仿宋_GB2312"/>
          <w:color w:val="000000"/>
          <w:kern w:val="2"/>
          <w:sz w:val="32"/>
          <w:szCs w:val="32"/>
          <w:u w:val="none"/>
        </w:rPr>
        <w:t>%，</w:t>
      </w:r>
      <w:r>
        <w:rPr>
          <w:rFonts w:hint="eastAsia" w:ascii="仿宋_GB2312" w:hAnsi="Times New Roman" w:eastAsia="仿宋_GB2312"/>
          <w:color w:val="auto"/>
          <w:kern w:val="2"/>
          <w:sz w:val="32"/>
          <w:szCs w:val="32"/>
          <w:u w:val="none"/>
        </w:rPr>
        <w:t>二级以上医院新入职护士培训率</w:t>
      </w:r>
      <w:r>
        <w:rPr>
          <w:rFonts w:hint="eastAsia" w:ascii="仿宋_GB2312" w:hAnsi="Times New Roman" w:eastAsia="仿宋_GB2312"/>
          <w:color w:val="auto"/>
          <w:kern w:val="2"/>
          <w:sz w:val="32"/>
          <w:szCs w:val="32"/>
          <w:u w:val="none"/>
          <w:lang w:eastAsia="zh-CN"/>
        </w:rPr>
        <w:t>达</w:t>
      </w:r>
      <w:r>
        <w:rPr>
          <w:rFonts w:hint="eastAsia" w:ascii="仿宋_GB2312" w:hAnsi="Times New Roman" w:eastAsia="仿宋_GB2312"/>
          <w:color w:val="auto"/>
          <w:kern w:val="2"/>
          <w:sz w:val="32"/>
          <w:szCs w:val="32"/>
          <w:u w:val="none"/>
        </w:rPr>
        <w:t>100%。</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4.提升中医护理能力。加强中医护理质控体系建设和学科建设，健全完善中医护理常规、方案、技术操作、质量评价标准和项目服务准入制度。建立中医护理人才培养基地，重点并规范开展中医护理管理、骨干、专技三类人才培训，持续提升中医护理服务质量，创新中医护理服务模式，发挥中医护理在疾病预防、治疗、康复等方面的重要作用，促进中医护理进一步向基层和家庭拓展，向老年护理、慢病护理领域延伸。有条件的医疗机构要积极推动中医护理门诊和特色护理专科示范病房建设，开展辨证施护和中医特色专科护理。</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5.切实为护士减负。医疗机构要采取有效措施切实为临床护士松绑减负，结合临床护理工作实际和护士岗位需求，可采用在线学习、远程指导等方式合理安排护士培训，尽量减少重复性的考核、竞赛等。要充分借助信息化手段，减少临床护士不必要的书写负担。优化工作流程，</w:t>
      </w:r>
      <w:r>
        <w:rPr>
          <w:rFonts w:hint="eastAsia" w:ascii="仿宋_GB2312" w:hAnsi="Times New Roman" w:eastAsia="仿宋_GB2312"/>
          <w:color w:val="000000"/>
          <w:kern w:val="2"/>
          <w:sz w:val="32"/>
          <w:szCs w:val="32"/>
          <w:u w:val="none"/>
          <w:lang w:eastAsia="zh-CN"/>
        </w:rPr>
        <w:t>减少临床护士不必要的书写负担，</w:t>
      </w:r>
      <w:r>
        <w:rPr>
          <w:rFonts w:hint="eastAsia" w:ascii="仿宋_GB2312" w:hAnsi="Times New Roman" w:eastAsia="仿宋_GB2312"/>
          <w:color w:val="000000"/>
          <w:kern w:val="2"/>
          <w:sz w:val="32"/>
          <w:szCs w:val="32"/>
          <w:u w:val="none"/>
        </w:rPr>
        <w:t>让护士有更多的时间贴近临床，为患者提供直接护理服务。</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 w:eastAsia="楷体_GB2312"/>
          <w:color w:val="000000"/>
          <w:kern w:val="2"/>
          <w:sz w:val="32"/>
          <w:szCs w:val="32"/>
          <w:u w:val="none"/>
          <w:lang w:val="en-US" w:eastAsia="zh-CN"/>
        </w:rPr>
      </w:pPr>
      <w:r>
        <w:rPr>
          <w:rFonts w:hint="eastAsia" w:ascii="楷体_GB2312" w:hAnsi="楷体" w:eastAsia="楷体_GB2312"/>
          <w:color w:val="000000"/>
          <w:kern w:val="2"/>
          <w:sz w:val="32"/>
          <w:szCs w:val="32"/>
          <w:u w:val="none"/>
        </w:rPr>
        <w:t>（三）拓展护理领域，促进护理服务贴近社会</w:t>
      </w:r>
      <w:r>
        <w:rPr>
          <w:rFonts w:hint="eastAsia" w:ascii="楷体_GB2312" w:hAnsi="楷体" w:eastAsia="楷体_GB2312"/>
          <w:color w:val="000000"/>
          <w:kern w:val="2"/>
          <w:sz w:val="32"/>
          <w:szCs w:val="32"/>
          <w:u w:val="none"/>
          <w:lang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1.开展延续性护理服务。三级</w:t>
      </w:r>
      <w:r>
        <w:rPr>
          <w:rFonts w:hint="default" w:ascii="仿宋_GB2312" w:hAnsi="Times New Roman" w:eastAsia="仿宋_GB2312"/>
          <w:color w:val="000000"/>
          <w:kern w:val="2"/>
          <w:sz w:val="32"/>
          <w:szCs w:val="32"/>
          <w:u w:val="none"/>
          <w:lang w:val="en-US"/>
        </w:rPr>
        <w:t>医院</w:t>
      </w:r>
      <w:r>
        <w:rPr>
          <w:rFonts w:hint="eastAsia" w:ascii="仿宋_GB2312" w:hAnsi="Times New Roman" w:eastAsia="仿宋_GB2312"/>
          <w:color w:val="000000"/>
          <w:kern w:val="2"/>
          <w:sz w:val="32"/>
          <w:szCs w:val="32"/>
          <w:u w:val="none"/>
        </w:rPr>
        <w:t>和部分有条件的二级</w:t>
      </w:r>
      <w:r>
        <w:rPr>
          <w:rFonts w:hint="default" w:ascii="仿宋_GB2312" w:hAnsi="Times New Roman" w:eastAsia="仿宋_GB2312"/>
          <w:color w:val="000000"/>
          <w:kern w:val="2"/>
          <w:sz w:val="32"/>
          <w:szCs w:val="32"/>
          <w:u w:val="none"/>
          <w:lang w:val="en-US"/>
        </w:rPr>
        <w:t>医院</w:t>
      </w:r>
      <w:r>
        <w:rPr>
          <w:rFonts w:hint="eastAsia" w:ascii="仿宋_GB2312" w:hAnsi="Times New Roman" w:eastAsia="仿宋_GB2312"/>
          <w:color w:val="000000"/>
          <w:kern w:val="2"/>
          <w:sz w:val="32"/>
          <w:szCs w:val="32"/>
          <w:u w:val="none"/>
        </w:rPr>
        <w:t>应借助信息化手段，通过开发手机APP、护理服务随访系统等，为有护理需求的患者提供在线护理咨询、护理随访、居家护理指导等延续性护理服务,解决患者出院后的常规护理、专科护理及专病护理问题，满足人民群众多元化护理服务需求。鼓励医疗机构逐步扩大提供延续性护理服务的病区占比，降低出院患者非计划再次入院率。</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2.扩大“互联网+护理服务”。鼓励有条件的医疗机构根据《广西壮族自治区“互联网+护理服务”试点工作实施方案》（桂卫办发〔2020〕61号）</w:t>
      </w:r>
      <w:r>
        <w:rPr>
          <w:rFonts w:hint="eastAsia" w:ascii="仿宋_GB2312" w:hAnsi="Times New Roman" w:eastAsia="仿宋_GB2312"/>
          <w:color w:val="000000"/>
          <w:kern w:val="2"/>
          <w:sz w:val="32"/>
          <w:szCs w:val="32"/>
          <w:u w:val="none"/>
          <w:lang w:eastAsia="zh-CN"/>
        </w:rPr>
        <w:t>文件精神</w:t>
      </w:r>
      <w:r>
        <w:rPr>
          <w:rFonts w:hint="eastAsia" w:ascii="仿宋_GB2312" w:hAnsi="Times New Roman" w:eastAsia="仿宋_GB2312"/>
          <w:color w:val="000000"/>
          <w:kern w:val="2"/>
          <w:sz w:val="32"/>
          <w:szCs w:val="32"/>
          <w:u w:val="none"/>
        </w:rPr>
        <w:t>，依法合规积极开展“互联网+护理服务”，结合实际派出本机构符合条件的注册护士为出院患者、生命终末期患者或居家行动不便老年人等提供专业、便捷的上门护理服务。进一步扩大“互联网+护理服务”覆盖面，逐步增加“互联网+护理服务”医疗机构数量和上门护理服务项目数量，惠及更多人群。</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3.提高基层护理服务能力。以网格化布局的城市医疗集团、县域医共体为载体，发挥大型医疗机构优质护理资源下沉和带动作用，通过建立专科护理联合团队、一对一传帮带、开展人员培训、远程护理会诊等方式，围绕护理管理、特色技术、服务模式等内容进行</w:t>
      </w:r>
      <w:r>
        <w:rPr>
          <w:rFonts w:hint="eastAsia" w:ascii="仿宋_GB2312" w:hAnsi="Times New Roman" w:eastAsia="仿宋_GB2312"/>
          <w:color w:val="000000"/>
          <w:kern w:val="2"/>
          <w:sz w:val="32"/>
          <w:szCs w:val="32"/>
          <w:u w:val="none"/>
          <w:lang w:val="en-US" w:eastAsia="zh-CN"/>
        </w:rPr>
        <w:t>多</w:t>
      </w:r>
      <w:r>
        <w:rPr>
          <w:rFonts w:hint="eastAsia" w:ascii="仿宋_GB2312" w:hAnsi="Times New Roman" w:eastAsia="仿宋_GB2312"/>
          <w:color w:val="000000"/>
          <w:kern w:val="2"/>
          <w:sz w:val="32"/>
          <w:szCs w:val="32"/>
          <w:u w:val="none"/>
        </w:rPr>
        <w:t>方位的指导</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帮扶医联体（县域医共体、城市医疗集团）内基层医疗机构提高护理服务能力</w:t>
      </w:r>
      <w:r>
        <w:rPr>
          <w:rFonts w:hint="eastAsia" w:ascii="仿宋_GB2312" w:hAnsi="Times New Roman" w:eastAsia="仿宋_GB2312"/>
          <w:color w:val="000000"/>
          <w:kern w:val="2"/>
          <w:sz w:val="32"/>
          <w:szCs w:val="32"/>
          <w:u w:val="none"/>
          <w:lang w:val="en-US" w:eastAsia="zh-CN"/>
        </w:rPr>
        <w:t>。要</w:t>
      </w:r>
      <w:r>
        <w:rPr>
          <w:rFonts w:hint="eastAsia" w:ascii="仿宋_GB2312" w:hAnsi="Times New Roman" w:eastAsia="仿宋_GB2312"/>
          <w:color w:val="000000"/>
          <w:kern w:val="2"/>
          <w:sz w:val="32"/>
          <w:szCs w:val="32"/>
          <w:u w:val="none"/>
        </w:rPr>
        <w:t>切实提升基层护士在老年护理、康复护理、慢病管理和安宁疗护等方向的专业化能力，就近解决群众急需的护理问题，提高护理服务的专业性和便捷性。</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lang w:eastAsia="zh-CN"/>
        </w:rPr>
      </w:pPr>
      <w:r>
        <w:rPr>
          <w:rFonts w:hint="eastAsia" w:ascii="仿宋_GB2312" w:hAnsi="Times New Roman" w:eastAsia="仿宋_GB2312"/>
          <w:color w:val="000000"/>
          <w:kern w:val="2"/>
          <w:sz w:val="32"/>
          <w:szCs w:val="32"/>
          <w:u w:val="none"/>
        </w:rPr>
        <w:t>4.增加老年护理服务供给。支持社会力量举办基于社区的集团化</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连锁化的护理中心、护理站等医疗机构，鼓励医疗资源丰富地区的一级、二级机构转型为护理院，有条件的社区卫生服务中心通过签约服务、巡诊等方式积极提供老年护理服务，为社区、养老院提供技术指导、护理咨询等支持</w:t>
      </w:r>
      <w:r>
        <w:rPr>
          <w:rFonts w:hint="eastAsia" w:ascii="仿宋_GB2312" w:hAnsi="Times New Roman" w:eastAsia="仿宋_GB2312"/>
          <w:color w:val="000000"/>
          <w:kern w:val="2"/>
          <w:sz w:val="32"/>
          <w:szCs w:val="32"/>
          <w:u w:val="none"/>
          <w:lang w:eastAsia="zh-CN"/>
        </w:rPr>
        <w:t>，切实增加社区和居家老年护理服务供给，精准对接老年人多元化、差异化的护理服务需求。</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lang w:val="en-US" w:eastAsia="zh-CN"/>
        </w:rPr>
      </w:pPr>
      <w:r>
        <w:rPr>
          <w:rFonts w:hint="eastAsia" w:ascii="仿宋_GB2312" w:hAnsi="Times New Roman" w:eastAsia="仿宋_GB2312"/>
          <w:color w:val="000000"/>
          <w:kern w:val="2"/>
          <w:sz w:val="32"/>
          <w:szCs w:val="32"/>
          <w:u w:val="none"/>
          <w:lang w:val="en-US" w:eastAsia="zh-CN"/>
        </w:rPr>
        <w:t>5.</w:t>
      </w:r>
      <w:r>
        <w:rPr>
          <w:rFonts w:hint="eastAsia" w:ascii="仿宋_GB2312" w:hAnsi="Times New Roman" w:eastAsia="仿宋_GB2312"/>
          <w:color w:val="000000"/>
          <w:kern w:val="2"/>
          <w:sz w:val="32"/>
          <w:szCs w:val="32"/>
          <w:u w:val="none"/>
        </w:rPr>
        <w:t>开展安宁疗护服务工作。</w:t>
      </w:r>
      <w:r>
        <w:rPr>
          <w:rFonts w:hint="eastAsia" w:ascii="仿宋_GB2312" w:hAnsi="Times New Roman" w:eastAsia="仿宋_GB2312"/>
          <w:color w:val="000000"/>
          <w:kern w:val="2"/>
          <w:sz w:val="32"/>
          <w:szCs w:val="32"/>
          <w:u w:val="none"/>
          <w:lang w:val="en-US" w:eastAsia="zh-CN"/>
        </w:rPr>
        <w:t>鼓励医疗机构</w:t>
      </w:r>
      <w:r>
        <w:rPr>
          <w:rFonts w:hint="eastAsia" w:ascii="仿宋_GB2312" w:hAnsi="Times New Roman" w:eastAsia="仿宋_GB2312"/>
          <w:color w:val="000000"/>
          <w:kern w:val="2"/>
          <w:sz w:val="32"/>
          <w:szCs w:val="32"/>
          <w:u w:val="none"/>
        </w:rPr>
        <w:t>根据《安宁疗护中心基本标准和管理规范（试行）》要求，结合分级诊疗要求和辖区内群众迫切需求，深入</w:t>
      </w:r>
      <w:r>
        <w:rPr>
          <w:rFonts w:hint="eastAsia" w:ascii="仿宋_GB2312" w:hAnsi="Times New Roman" w:eastAsia="仿宋_GB2312"/>
          <w:color w:val="000000"/>
          <w:kern w:val="2"/>
          <w:sz w:val="32"/>
          <w:szCs w:val="32"/>
          <w:u w:val="none"/>
          <w:lang w:val="en-US" w:eastAsia="zh-CN"/>
        </w:rPr>
        <w:t>开展</w:t>
      </w:r>
      <w:r>
        <w:rPr>
          <w:rFonts w:hint="eastAsia" w:ascii="仿宋_GB2312" w:hAnsi="Times New Roman" w:eastAsia="仿宋_GB2312"/>
          <w:color w:val="000000"/>
          <w:kern w:val="2"/>
          <w:sz w:val="32"/>
          <w:szCs w:val="32"/>
          <w:u w:val="none"/>
        </w:rPr>
        <w:t>安宁疗护</w:t>
      </w:r>
      <w:r>
        <w:rPr>
          <w:rFonts w:hint="eastAsia" w:ascii="仿宋_GB2312" w:hAnsi="Times New Roman" w:eastAsia="仿宋_GB2312"/>
          <w:color w:val="000000"/>
          <w:kern w:val="2"/>
          <w:sz w:val="32"/>
          <w:szCs w:val="32"/>
          <w:u w:val="none"/>
          <w:lang w:val="en-US" w:eastAsia="zh-CN"/>
        </w:rPr>
        <w:t>服务工作</w:t>
      </w:r>
      <w:r>
        <w:rPr>
          <w:rFonts w:hint="eastAsia" w:ascii="仿宋_GB2312" w:hAnsi="Times New Roman" w:eastAsia="仿宋_GB2312"/>
          <w:color w:val="000000"/>
          <w:kern w:val="2"/>
          <w:sz w:val="32"/>
          <w:szCs w:val="32"/>
          <w:u w:val="none"/>
        </w:rPr>
        <w:t>。鼓励建设安宁疗护中心，有效增加安宁疗护服务供给以及提供安宁疗护服务机构的床位数量。积极探索形成多元化的安宁疗护服务体系，加强安宁疗护队伍建设，加快培养从事安宁疗护服务专业人员。贯彻落实《安宁疗护实践指南（试行）》，不断规范从业人员实践行为，提升安宁疗护质量，提高生命终末期患者的生命质量</w:t>
      </w:r>
      <w:r>
        <w:rPr>
          <w:rFonts w:hint="eastAsia" w:ascii="仿宋_GB2312" w:hAnsi="Times New Roman" w:eastAsia="仿宋_GB2312"/>
          <w:color w:val="000000"/>
          <w:kern w:val="2"/>
          <w:sz w:val="32"/>
          <w:szCs w:val="32"/>
          <w:u w:val="none"/>
          <w:lang w:val="en-US"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 w:eastAsia="楷体_GB2312"/>
          <w:color w:val="000000"/>
          <w:kern w:val="2"/>
          <w:sz w:val="32"/>
          <w:szCs w:val="32"/>
          <w:u w:val="none"/>
          <w:lang w:eastAsia="zh-CN"/>
        </w:rPr>
      </w:pPr>
      <w:r>
        <w:rPr>
          <w:rFonts w:hint="eastAsia" w:ascii="楷体_GB2312" w:hAnsi="楷体" w:eastAsia="楷体_GB2312"/>
          <w:color w:val="000000"/>
          <w:kern w:val="2"/>
          <w:sz w:val="32"/>
          <w:szCs w:val="32"/>
          <w:u w:val="none"/>
        </w:rPr>
        <w:t>（四）加大支持力度，确保工作取得实效</w:t>
      </w:r>
      <w:r>
        <w:rPr>
          <w:rFonts w:hint="eastAsia" w:ascii="楷体_GB2312" w:hAnsi="楷体" w:eastAsia="楷体_GB2312"/>
          <w:color w:val="000000"/>
          <w:kern w:val="2"/>
          <w:sz w:val="32"/>
          <w:szCs w:val="32"/>
          <w:u w:val="none"/>
          <w:lang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1.加大支持保障力度。医疗机构要建立本单位改善护理服务行动专项工作机制并制定实施方案，主要负责同志亲自抓，建立医务</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护理</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人事、财务、后勤等多部门联动机制，形成合力，保障专项行动有效实施。健全后勤支持系统，增加辅助服务人员负责病区送取标本、药物及患者陪检等，保障临床护理工作所需的设备设施配备到位和及时维护。静脉用药调配中心、消毒供应中心等部门下收下送，服务到病区，减少护士从事非护理工作，让护士最大限度投入到临床护理服务中。</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2.加强护士人力配备。医疗机构要根据功能定位、服务半径、床位规模、临床护理工作量和技术风险要素等科学合理配置数量充足的临床护士人力。二级以上医院全院病区护士与实际开放床位比不低于0.55：1。</w:t>
      </w:r>
      <w:r>
        <w:rPr>
          <w:rFonts w:hint="eastAsia" w:ascii="仿宋_GB2312" w:hAnsi="Times New Roman" w:eastAsia="仿宋_GB2312"/>
          <w:color w:val="000000"/>
          <w:kern w:val="2"/>
          <w:sz w:val="32"/>
          <w:szCs w:val="32"/>
          <w:u w:val="none"/>
          <w:lang w:eastAsia="zh-CN"/>
        </w:rPr>
        <w:t>要优先保障临床护理岗位护士配备到位，不得减少临床一线护士数量，原则上</w:t>
      </w:r>
      <w:r>
        <w:rPr>
          <w:rFonts w:hint="eastAsia" w:ascii="仿宋_GB2312" w:hAnsi="Times New Roman" w:eastAsia="仿宋_GB2312"/>
          <w:color w:val="000000"/>
          <w:kern w:val="2"/>
          <w:sz w:val="32"/>
          <w:szCs w:val="32"/>
          <w:u w:val="none"/>
        </w:rPr>
        <w:t>临床护理岗位护士数量占全院护士数量比例不低于95%，满足临床护理服务需求。</w:t>
      </w:r>
      <w:r>
        <w:rPr>
          <w:rFonts w:hint="eastAsia" w:ascii="仿宋_GB2312" w:hAnsi="Times New Roman" w:eastAsia="仿宋_GB2312"/>
          <w:color w:val="000000"/>
          <w:kern w:val="2"/>
          <w:sz w:val="32"/>
          <w:szCs w:val="32"/>
          <w:u w:val="none"/>
          <w:lang w:eastAsia="zh-CN"/>
        </w:rPr>
        <w:t>应</w:t>
      </w:r>
      <w:r>
        <w:rPr>
          <w:rFonts w:hint="eastAsia" w:ascii="仿宋_GB2312" w:hAnsi="Times New Roman" w:eastAsia="仿宋_GB2312"/>
          <w:color w:val="000000"/>
          <w:kern w:val="2"/>
          <w:sz w:val="32"/>
          <w:szCs w:val="32"/>
          <w:u w:val="none"/>
        </w:rPr>
        <w:t>根据临床护理需求和辖区居民上门护理服务等需求，切实加强基层医疗机构护士人力配备，着力增加基层</w:t>
      </w:r>
      <w:r>
        <w:rPr>
          <w:rFonts w:hint="eastAsia" w:ascii="仿宋_GB2312" w:hAnsi="Times New Roman" w:eastAsia="仿宋_GB2312"/>
          <w:color w:val="auto"/>
          <w:kern w:val="2"/>
          <w:sz w:val="32"/>
          <w:szCs w:val="32"/>
          <w:u w:val="none"/>
          <w:lang w:val="en-US" w:eastAsia="zh-CN"/>
        </w:rPr>
        <w:t>护理</w:t>
      </w:r>
      <w:r>
        <w:rPr>
          <w:rFonts w:hint="eastAsia" w:ascii="仿宋_GB2312" w:hAnsi="Times New Roman" w:eastAsia="仿宋_GB2312"/>
          <w:color w:val="000000"/>
          <w:kern w:val="2"/>
          <w:sz w:val="32"/>
          <w:szCs w:val="32"/>
          <w:u w:val="none"/>
        </w:rPr>
        <w:t>服务供给。</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3.建立护理岗位管理制度</w:t>
      </w:r>
      <w:r>
        <w:rPr>
          <w:rFonts w:hint="eastAsia" w:ascii="仿宋_GB2312" w:hAnsi="Times New Roman" w:eastAsia="仿宋_GB2312"/>
          <w:color w:val="000000"/>
          <w:kern w:val="2"/>
          <w:sz w:val="32"/>
          <w:szCs w:val="32"/>
          <w:u w:val="none"/>
          <w:lang w:val="en-US" w:eastAsia="zh-CN"/>
        </w:rPr>
        <w:t>。</w:t>
      </w:r>
      <w:r>
        <w:rPr>
          <w:rFonts w:hint="eastAsia" w:ascii="仿宋_GB2312" w:hAnsi="Times New Roman" w:eastAsia="仿宋_GB2312"/>
          <w:color w:val="000000"/>
          <w:kern w:val="2"/>
          <w:sz w:val="32"/>
          <w:szCs w:val="32"/>
          <w:u w:val="none"/>
        </w:rPr>
        <w:t>医疗机构要逐步建立护理岗位管理制度，按照“因需设岗、以岗择人、按岗聘用、科学管理”的原则，实施护理岗位管理，实现护士从身份管理转变为岗位管理。要结合本单位实际科学设置护理岗位，实施基于护理岗位的护士人力配置、培训、考核等。凡不具备护理工作特点和任务、不含护理职责的岗位，如党政工团、财务、医保、后勤等部门的工作岗位均不属于护理岗位。</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lang w:val="en-US" w:eastAsia="zh-CN"/>
        </w:rPr>
        <w:t>4.</w:t>
      </w:r>
      <w:r>
        <w:rPr>
          <w:rFonts w:hint="eastAsia" w:ascii="仿宋_GB2312" w:hAnsi="Times New Roman" w:eastAsia="仿宋_GB2312"/>
          <w:color w:val="000000"/>
          <w:kern w:val="2"/>
          <w:sz w:val="32"/>
          <w:szCs w:val="32"/>
          <w:u w:val="none"/>
        </w:rPr>
        <w:t>充分调动护士积极性。医疗机构要依法依规保障护士获得工资报酬、福利待遇、社会保险、卫生防护、执业安全等合法权益。要在护士岗位设置、收入分配、职称评聘、教育培训及管理使用等方面，对编制内外人员统筹考虑。要健全完善护士队伍激励机制，在绩效分配、职称晋升、教育培训等方面，向临床一线护士倾斜，多劳多得、优绩优酬。</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lang w:val="en-US" w:eastAsia="zh-CN"/>
        </w:rPr>
        <w:t>5</w:t>
      </w:r>
      <w:r>
        <w:rPr>
          <w:rFonts w:hint="eastAsia" w:ascii="仿宋_GB2312" w:hAnsi="Times New Roman" w:eastAsia="仿宋_GB2312"/>
          <w:color w:val="000000"/>
          <w:kern w:val="2"/>
          <w:sz w:val="32"/>
          <w:szCs w:val="32"/>
          <w:u w:val="none"/>
        </w:rPr>
        <w:t>.加强信息化建设和技术支撑。医疗机构要通过智慧医院、智慧病房、电子病历信息化建设</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加强护理信息化发展，充分应用人工智能、5G、区块链、云计算、物联网、智慧医疗等新一代信息技术，改进优化护理服务流程，提高护理工作效率，切实减轻临床一线护士工作负荷。充分利用信息化手段</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积极创新护理服务模式，通过“互联网+”等方式将院内护理延伸至院外。推动建立包含护理风险评估、预警、报告、追踪的全流程信息化护理管理平台。</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 w:hAnsi="仿宋" w:eastAsia="仿宋" w:cs="微软雅黑"/>
          <w:color w:val="000000"/>
          <w:sz w:val="32"/>
          <w:szCs w:val="32"/>
          <w:u w:val="none"/>
        </w:rPr>
      </w:pPr>
      <w:r>
        <w:rPr>
          <w:rFonts w:hint="eastAsia" w:ascii="仿宋_GB2312" w:hAnsi="Times New Roman" w:eastAsia="仿宋_GB2312"/>
          <w:color w:val="000000"/>
          <w:kern w:val="2"/>
          <w:sz w:val="32"/>
          <w:szCs w:val="32"/>
          <w:u w:val="none"/>
          <w:lang w:val="en-US" w:eastAsia="zh-CN"/>
        </w:rPr>
        <w:t>6</w:t>
      </w:r>
      <w:r>
        <w:rPr>
          <w:rFonts w:hint="eastAsia" w:ascii="仿宋_GB2312" w:hAnsi="Times New Roman" w:eastAsia="仿宋_GB2312"/>
          <w:color w:val="000000"/>
          <w:kern w:val="2"/>
          <w:sz w:val="32"/>
          <w:szCs w:val="32"/>
          <w:u w:val="none"/>
        </w:rPr>
        <w:t>.加强医疗护理员规范管理。医疗机构要根据《加强医疗护理员培训和规范管理工作实施方案》（桂卫医发〔2020〕8号）</w:t>
      </w:r>
      <w:r>
        <w:rPr>
          <w:rFonts w:hint="eastAsia" w:ascii="仿宋_GB2312" w:hAnsi="Times New Roman" w:eastAsia="仿宋_GB2312"/>
          <w:color w:val="000000"/>
          <w:kern w:val="2"/>
          <w:sz w:val="32"/>
          <w:szCs w:val="32"/>
          <w:u w:val="none"/>
          <w:lang w:val="en-US" w:eastAsia="zh-CN"/>
        </w:rPr>
        <w:t>文件精神，</w:t>
      </w:r>
      <w:r>
        <w:rPr>
          <w:rFonts w:hint="eastAsia" w:ascii="仿宋_GB2312" w:hAnsi="Times New Roman" w:eastAsia="仿宋_GB2312"/>
          <w:color w:val="000000"/>
          <w:kern w:val="2"/>
          <w:sz w:val="32"/>
          <w:szCs w:val="32"/>
          <w:u w:val="none"/>
        </w:rPr>
        <w:t>做好医疗护理员的规范管理。并可根据患者病情轻重、自理能力程度和护理级别等要素，在病区内科学合理、按需聘用数量适宜、培训合格的医疗护理员。医疗护理员应当在医务人员的指导监督下，根据住院患者病情和自理能力情况，协助提供清洁、饮食、排泄等生活照顾服务。严禁医疗护理员替代医务人员从事出院指导、医疗护理专业技术性工作。</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olor w:val="000000"/>
          <w:kern w:val="2"/>
          <w:sz w:val="32"/>
          <w:szCs w:val="32"/>
          <w:u w:val="none"/>
        </w:rPr>
      </w:pPr>
      <w:r>
        <w:rPr>
          <w:rFonts w:hint="eastAsia" w:ascii="黑体" w:hAnsi="黑体" w:eastAsia="黑体"/>
          <w:color w:val="000000"/>
          <w:kern w:val="2"/>
          <w:sz w:val="32"/>
          <w:szCs w:val="32"/>
          <w:u w:val="none"/>
        </w:rPr>
        <w:t>四、实施步骤</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 w:eastAsia="楷体_GB2312"/>
          <w:color w:val="000000"/>
          <w:kern w:val="2"/>
          <w:sz w:val="32"/>
          <w:szCs w:val="32"/>
          <w:u w:val="none"/>
          <w:lang w:eastAsia="zh-CN"/>
        </w:rPr>
      </w:pPr>
      <w:r>
        <w:rPr>
          <w:rFonts w:hint="eastAsia" w:ascii="楷体_GB2312" w:hAnsi="楷体" w:eastAsia="楷体_GB2312"/>
          <w:color w:val="000000"/>
          <w:kern w:val="2"/>
          <w:sz w:val="32"/>
          <w:szCs w:val="32"/>
          <w:u w:val="none"/>
          <w:lang w:eastAsia="zh-CN"/>
        </w:rPr>
        <w:t>（</w:t>
      </w:r>
      <w:r>
        <w:rPr>
          <w:rFonts w:hint="eastAsia" w:ascii="楷体_GB2312" w:hAnsi="楷体" w:eastAsia="楷体_GB2312"/>
          <w:color w:val="000000"/>
          <w:kern w:val="2"/>
          <w:sz w:val="32"/>
          <w:szCs w:val="32"/>
          <w:u w:val="none"/>
        </w:rPr>
        <w:t>一</w:t>
      </w:r>
      <w:r>
        <w:rPr>
          <w:rFonts w:hint="eastAsia" w:ascii="楷体_GB2312" w:hAnsi="楷体" w:eastAsia="楷体_GB2312"/>
          <w:color w:val="000000"/>
          <w:kern w:val="2"/>
          <w:sz w:val="32"/>
          <w:szCs w:val="32"/>
          <w:u w:val="none"/>
          <w:lang w:eastAsia="zh-CN"/>
        </w:rPr>
        <w:t>）</w:t>
      </w:r>
      <w:r>
        <w:rPr>
          <w:rFonts w:hint="eastAsia" w:ascii="楷体_GB2312" w:hAnsi="楷体" w:eastAsia="楷体_GB2312"/>
          <w:color w:val="000000"/>
          <w:kern w:val="2"/>
          <w:sz w:val="32"/>
          <w:szCs w:val="32"/>
          <w:u w:val="none"/>
        </w:rPr>
        <w:t>启动阶段</w:t>
      </w:r>
      <w:r>
        <w:rPr>
          <w:rFonts w:hint="eastAsia" w:ascii="楷体_GB2312" w:hAnsi="楷体" w:eastAsia="楷体_GB2312"/>
          <w:color w:val="000000"/>
          <w:kern w:val="2"/>
          <w:sz w:val="32"/>
          <w:szCs w:val="32"/>
          <w:u w:val="none"/>
          <w:lang w:eastAsia="zh-CN"/>
        </w:rPr>
        <w:t>。（</w:t>
      </w:r>
      <w:r>
        <w:rPr>
          <w:rFonts w:hint="eastAsia" w:ascii="楷体_GB2312" w:hAnsi="楷体" w:eastAsia="楷体_GB2312"/>
          <w:color w:val="000000"/>
          <w:kern w:val="2"/>
          <w:sz w:val="32"/>
          <w:szCs w:val="32"/>
          <w:u w:val="none"/>
        </w:rPr>
        <w:t>2023年</w:t>
      </w:r>
      <w:r>
        <w:rPr>
          <w:rFonts w:hint="eastAsia" w:ascii="楷体_GB2312" w:hAnsi="楷体" w:eastAsia="楷体_GB2312"/>
          <w:color w:val="000000"/>
          <w:kern w:val="2"/>
          <w:sz w:val="32"/>
          <w:szCs w:val="32"/>
          <w:u w:val="none"/>
          <w:lang w:val="en-US" w:eastAsia="zh-CN"/>
        </w:rPr>
        <w:t>9</w:t>
      </w:r>
      <w:r>
        <w:rPr>
          <w:rFonts w:hint="eastAsia" w:ascii="楷体_GB2312" w:hAnsi="楷体" w:eastAsia="楷体_GB2312"/>
          <w:color w:val="000000"/>
          <w:kern w:val="2"/>
          <w:sz w:val="32"/>
          <w:szCs w:val="32"/>
          <w:u w:val="none"/>
        </w:rPr>
        <w:t>月</w:t>
      </w:r>
      <w:r>
        <w:rPr>
          <w:rFonts w:hint="eastAsia" w:ascii="楷体_GB2312" w:hAnsi="楷体" w:eastAsia="楷体_GB2312"/>
          <w:color w:val="000000"/>
          <w:kern w:val="2"/>
          <w:sz w:val="32"/>
          <w:szCs w:val="32"/>
          <w:u w:val="none"/>
          <w:lang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自治区卫生健康</w:t>
      </w:r>
      <w:r>
        <w:rPr>
          <w:rFonts w:hint="eastAsia" w:ascii="仿宋_GB2312" w:hAnsi="Times New Roman" w:eastAsia="仿宋_GB2312"/>
          <w:color w:val="000000"/>
          <w:kern w:val="2"/>
          <w:sz w:val="32"/>
          <w:szCs w:val="32"/>
          <w:u w:val="none"/>
          <w:lang w:val="en-US" w:eastAsia="zh-CN"/>
        </w:rPr>
        <w:t>委联合自治区中医药局</w:t>
      </w:r>
      <w:r>
        <w:rPr>
          <w:rFonts w:hint="eastAsia" w:ascii="仿宋_GB2312" w:hAnsi="Times New Roman" w:eastAsia="仿宋_GB2312"/>
          <w:color w:val="000000"/>
          <w:kern w:val="2"/>
          <w:sz w:val="32"/>
          <w:szCs w:val="32"/>
          <w:u w:val="none"/>
        </w:rPr>
        <w:t>制定印发</w:t>
      </w:r>
      <w:r>
        <w:rPr>
          <w:rFonts w:hint="eastAsia" w:ascii="仿宋_GB2312" w:hAnsi="Times New Roman" w:eastAsia="仿宋_GB2312"/>
          <w:color w:val="000000"/>
          <w:kern w:val="2"/>
          <w:sz w:val="32"/>
          <w:szCs w:val="32"/>
          <w:u w:val="none"/>
          <w:lang w:val="en-US" w:eastAsia="zh-CN"/>
        </w:rPr>
        <w:t>改善护理服务</w:t>
      </w:r>
      <w:r>
        <w:rPr>
          <w:rFonts w:hint="eastAsia" w:ascii="仿宋_GB2312" w:hAnsi="Times New Roman" w:eastAsia="仿宋_GB2312"/>
          <w:color w:val="000000"/>
          <w:kern w:val="2"/>
          <w:sz w:val="32"/>
          <w:szCs w:val="32"/>
          <w:u w:val="none"/>
        </w:rPr>
        <w:t>行动实施方案，指导</w:t>
      </w:r>
      <w:r>
        <w:rPr>
          <w:rFonts w:hint="eastAsia" w:ascii="仿宋_GB2312" w:hAnsi="Times New Roman" w:eastAsia="仿宋_GB2312"/>
          <w:color w:val="000000"/>
          <w:kern w:val="2"/>
          <w:sz w:val="32"/>
          <w:szCs w:val="32"/>
          <w:u w:val="none"/>
          <w:lang w:val="en-US" w:eastAsia="zh-CN"/>
        </w:rPr>
        <w:t>各市卫生健康委</w:t>
      </w:r>
      <w:r>
        <w:rPr>
          <w:rFonts w:hint="eastAsia" w:ascii="仿宋_GB2312" w:hAnsi="Times New Roman" w:eastAsia="仿宋_GB2312"/>
          <w:color w:val="000000"/>
          <w:kern w:val="2"/>
          <w:sz w:val="32"/>
          <w:szCs w:val="32"/>
          <w:u w:val="none"/>
        </w:rPr>
        <w:t>、</w:t>
      </w:r>
      <w:r>
        <w:rPr>
          <w:rFonts w:hint="eastAsia" w:ascii="仿宋_GB2312" w:hAnsi="Times New Roman" w:eastAsia="仿宋_GB2312"/>
          <w:color w:val="000000"/>
          <w:kern w:val="2"/>
          <w:sz w:val="32"/>
          <w:szCs w:val="32"/>
          <w:u w:val="none"/>
          <w:lang w:val="en-US" w:eastAsia="zh-CN"/>
        </w:rPr>
        <w:t>中医药局和</w:t>
      </w:r>
      <w:r>
        <w:rPr>
          <w:rFonts w:hint="eastAsia" w:ascii="仿宋_GB2312" w:hAnsi="Times New Roman" w:eastAsia="仿宋_GB2312"/>
          <w:color w:val="000000"/>
          <w:kern w:val="2"/>
          <w:sz w:val="32"/>
          <w:szCs w:val="32"/>
          <w:u w:val="none"/>
        </w:rPr>
        <w:t>区直医疗</w:t>
      </w:r>
      <w:r>
        <w:rPr>
          <w:rFonts w:hint="eastAsia" w:ascii="仿宋_GB2312" w:hAnsi="Times New Roman" w:eastAsia="仿宋_GB2312"/>
          <w:color w:val="000000"/>
          <w:kern w:val="2"/>
          <w:sz w:val="32"/>
          <w:szCs w:val="32"/>
          <w:u w:val="none"/>
          <w:lang w:val="en-US" w:eastAsia="zh-CN"/>
        </w:rPr>
        <w:t>卫生机构</w:t>
      </w:r>
      <w:r>
        <w:rPr>
          <w:rFonts w:hint="eastAsia" w:ascii="仿宋_GB2312" w:hAnsi="Times New Roman" w:eastAsia="仿宋_GB2312"/>
          <w:color w:val="000000"/>
          <w:kern w:val="2"/>
          <w:sz w:val="32"/>
          <w:szCs w:val="32"/>
          <w:u w:val="none"/>
        </w:rPr>
        <w:t>分别推进工作。</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 w:eastAsia="楷体_GB2312"/>
          <w:color w:val="000000"/>
          <w:kern w:val="2"/>
          <w:sz w:val="32"/>
          <w:szCs w:val="32"/>
          <w:u w:val="none"/>
          <w:lang w:eastAsia="zh-CN"/>
        </w:rPr>
      </w:pPr>
      <w:r>
        <w:rPr>
          <w:rFonts w:hint="eastAsia" w:ascii="楷体_GB2312" w:hAnsi="楷体" w:eastAsia="楷体_GB2312"/>
          <w:color w:val="000000"/>
          <w:kern w:val="2"/>
          <w:sz w:val="32"/>
          <w:szCs w:val="32"/>
          <w:u w:val="none"/>
          <w:lang w:eastAsia="zh-CN"/>
        </w:rPr>
        <w:t>（</w:t>
      </w:r>
      <w:r>
        <w:rPr>
          <w:rFonts w:hint="eastAsia" w:ascii="楷体_GB2312" w:hAnsi="楷体" w:eastAsia="楷体_GB2312"/>
          <w:color w:val="000000"/>
          <w:kern w:val="2"/>
          <w:sz w:val="32"/>
          <w:szCs w:val="32"/>
          <w:u w:val="none"/>
        </w:rPr>
        <w:t>二</w:t>
      </w:r>
      <w:r>
        <w:rPr>
          <w:rFonts w:hint="eastAsia" w:ascii="楷体_GB2312" w:hAnsi="楷体" w:eastAsia="楷体_GB2312"/>
          <w:color w:val="000000"/>
          <w:kern w:val="2"/>
          <w:sz w:val="32"/>
          <w:szCs w:val="32"/>
          <w:u w:val="none"/>
          <w:lang w:eastAsia="zh-CN"/>
        </w:rPr>
        <w:t>）</w:t>
      </w:r>
      <w:r>
        <w:rPr>
          <w:rFonts w:hint="eastAsia" w:ascii="楷体_GB2312" w:hAnsi="楷体" w:eastAsia="楷体_GB2312"/>
          <w:color w:val="000000"/>
          <w:kern w:val="2"/>
          <w:sz w:val="32"/>
          <w:szCs w:val="32"/>
          <w:u w:val="none"/>
        </w:rPr>
        <w:t>实施阶段。</w:t>
      </w:r>
      <w:r>
        <w:rPr>
          <w:rFonts w:hint="eastAsia" w:ascii="楷体_GB2312" w:hAnsi="楷体" w:eastAsia="楷体_GB2312"/>
          <w:color w:val="000000"/>
          <w:kern w:val="2"/>
          <w:sz w:val="32"/>
          <w:szCs w:val="32"/>
          <w:u w:val="none"/>
          <w:lang w:eastAsia="zh-CN"/>
        </w:rPr>
        <w:t>（</w:t>
      </w:r>
      <w:r>
        <w:rPr>
          <w:rFonts w:hint="eastAsia" w:ascii="楷体_GB2312" w:hAnsi="楷体" w:eastAsia="楷体_GB2312"/>
          <w:color w:val="000000"/>
          <w:kern w:val="2"/>
          <w:sz w:val="32"/>
          <w:szCs w:val="32"/>
          <w:u w:val="none"/>
        </w:rPr>
        <w:t>2023年</w:t>
      </w:r>
      <w:r>
        <w:rPr>
          <w:rFonts w:hint="eastAsia" w:ascii="楷体_GB2312" w:hAnsi="楷体" w:eastAsia="楷体_GB2312"/>
          <w:color w:val="000000"/>
          <w:kern w:val="2"/>
          <w:sz w:val="32"/>
          <w:szCs w:val="32"/>
          <w:u w:val="none"/>
          <w:lang w:val="en-US" w:eastAsia="zh-CN"/>
        </w:rPr>
        <w:t>10</w:t>
      </w:r>
      <w:r>
        <w:rPr>
          <w:rFonts w:hint="eastAsia" w:ascii="楷体_GB2312" w:hAnsi="楷体" w:eastAsia="楷体_GB2312"/>
          <w:color w:val="000000"/>
          <w:kern w:val="2"/>
          <w:sz w:val="32"/>
          <w:szCs w:val="32"/>
          <w:u w:val="none"/>
        </w:rPr>
        <w:t>月-2025年11月</w:t>
      </w:r>
      <w:r>
        <w:rPr>
          <w:rFonts w:hint="eastAsia" w:ascii="楷体_GB2312" w:hAnsi="楷体" w:eastAsia="楷体_GB2312"/>
          <w:color w:val="000000"/>
          <w:kern w:val="2"/>
          <w:sz w:val="32"/>
          <w:szCs w:val="32"/>
          <w:u w:val="none"/>
          <w:lang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lang w:eastAsia="zh-CN"/>
        </w:rPr>
      </w:pPr>
      <w:r>
        <w:rPr>
          <w:rFonts w:hint="eastAsia" w:ascii="仿宋_GB2312" w:hAnsi="Times New Roman" w:eastAsia="仿宋_GB2312"/>
          <w:color w:val="000000"/>
          <w:kern w:val="2"/>
          <w:sz w:val="32"/>
          <w:szCs w:val="32"/>
          <w:u w:val="none"/>
        </w:rPr>
        <w:t>各市</w:t>
      </w:r>
      <w:r>
        <w:rPr>
          <w:rFonts w:hint="eastAsia" w:ascii="仿宋_GB2312" w:hAnsi="Times New Roman" w:eastAsia="仿宋_GB2312"/>
          <w:color w:val="000000"/>
          <w:kern w:val="2"/>
          <w:sz w:val="32"/>
          <w:szCs w:val="32"/>
          <w:u w:val="none"/>
          <w:lang w:val="en-US" w:eastAsia="zh-CN"/>
        </w:rPr>
        <w:t>卫生健康委、中医药局</w:t>
      </w:r>
      <w:r>
        <w:rPr>
          <w:rFonts w:hint="eastAsia" w:ascii="仿宋_GB2312" w:hAnsi="Times New Roman" w:eastAsia="仿宋_GB2312"/>
          <w:color w:val="000000"/>
          <w:kern w:val="2"/>
          <w:sz w:val="32"/>
          <w:szCs w:val="32"/>
          <w:u w:val="none"/>
        </w:rPr>
        <w:t>要结合本地区实际情况制定改善护理服务的具体工作方案，于</w:t>
      </w:r>
      <w:r>
        <w:rPr>
          <w:rFonts w:hint="eastAsia" w:ascii="仿宋_GB2312" w:eastAsia="仿宋_GB2312"/>
          <w:color w:val="000000"/>
          <w:kern w:val="2"/>
          <w:sz w:val="32"/>
          <w:szCs w:val="32"/>
          <w:u w:val="none"/>
          <w:lang w:val="en-US" w:eastAsia="zh-CN"/>
        </w:rPr>
        <w:t>10</w:t>
      </w:r>
      <w:r>
        <w:rPr>
          <w:rFonts w:hint="eastAsia" w:ascii="仿宋_GB2312" w:hAnsi="Times New Roman" w:eastAsia="仿宋_GB2312"/>
          <w:color w:val="000000"/>
          <w:kern w:val="2"/>
          <w:sz w:val="32"/>
          <w:szCs w:val="32"/>
          <w:u w:val="none"/>
        </w:rPr>
        <w:t>月</w:t>
      </w:r>
      <w:r>
        <w:rPr>
          <w:rFonts w:hint="eastAsia" w:ascii="仿宋_GB2312" w:eastAsia="仿宋_GB2312"/>
          <w:color w:val="000000"/>
          <w:kern w:val="2"/>
          <w:sz w:val="32"/>
          <w:szCs w:val="32"/>
          <w:u w:val="none"/>
          <w:lang w:val="en-US" w:eastAsia="zh-CN"/>
        </w:rPr>
        <w:t>2</w:t>
      </w:r>
      <w:r>
        <w:rPr>
          <w:rFonts w:hint="eastAsia" w:ascii="仿宋_GB2312" w:hAnsi="Times New Roman" w:eastAsia="仿宋_GB2312"/>
          <w:color w:val="000000"/>
          <w:kern w:val="2"/>
          <w:sz w:val="32"/>
          <w:szCs w:val="32"/>
          <w:u w:val="none"/>
        </w:rPr>
        <w:t>0日</w:t>
      </w:r>
      <w:r>
        <w:rPr>
          <w:rFonts w:hint="eastAsia" w:ascii="仿宋_GB2312" w:hAnsi="Times New Roman" w:eastAsia="仿宋_GB2312"/>
          <w:color w:val="auto"/>
          <w:kern w:val="2"/>
          <w:sz w:val="32"/>
          <w:szCs w:val="32"/>
          <w:u w:val="none"/>
        </w:rPr>
        <w:t>前</w:t>
      </w:r>
      <w:r>
        <w:rPr>
          <w:rFonts w:hint="eastAsia" w:ascii="仿宋_GB2312" w:hAnsi="Times New Roman" w:eastAsia="仿宋_GB2312"/>
          <w:color w:val="auto"/>
          <w:kern w:val="2"/>
          <w:sz w:val="32"/>
          <w:szCs w:val="32"/>
          <w:u w:val="none"/>
          <w:lang w:val="en-US" w:eastAsia="zh-CN"/>
        </w:rPr>
        <w:t>以市为单位</w:t>
      </w:r>
      <w:r>
        <w:rPr>
          <w:rFonts w:hint="eastAsia" w:ascii="仿宋_GB2312" w:hAnsi="Times New Roman" w:eastAsia="仿宋_GB2312"/>
          <w:color w:val="000000"/>
          <w:kern w:val="2"/>
          <w:sz w:val="32"/>
          <w:szCs w:val="32"/>
          <w:u w:val="none"/>
        </w:rPr>
        <w:t>将方案报自治区卫生健康</w:t>
      </w:r>
      <w:r>
        <w:rPr>
          <w:rFonts w:hint="eastAsia" w:ascii="仿宋_GB2312" w:hAnsi="Times New Roman" w:eastAsia="仿宋_GB2312"/>
          <w:color w:val="000000"/>
          <w:kern w:val="2"/>
          <w:sz w:val="32"/>
          <w:szCs w:val="32"/>
          <w:u w:val="none"/>
          <w:lang w:val="en-US" w:eastAsia="zh-CN"/>
        </w:rPr>
        <w:t>委、</w:t>
      </w:r>
      <w:r>
        <w:rPr>
          <w:rFonts w:hint="eastAsia" w:ascii="仿宋_GB2312" w:hAnsi="Times New Roman" w:eastAsia="仿宋_GB2312"/>
          <w:color w:val="000000"/>
          <w:kern w:val="2"/>
          <w:sz w:val="32"/>
          <w:szCs w:val="32"/>
          <w:u w:val="none"/>
        </w:rPr>
        <w:t>中医药局（邮箱：</w:t>
      </w:r>
      <w:r>
        <w:rPr>
          <w:rFonts w:hint="eastAsia" w:ascii="仿宋_GB2312" w:hAnsi="Times New Roman" w:eastAsia="仿宋_GB2312"/>
          <w:color w:val="000000"/>
          <w:kern w:val="2"/>
          <w:sz w:val="32"/>
          <w:szCs w:val="32"/>
          <w:u w:val="none"/>
        </w:rPr>
        <w:fldChar w:fldCharType="begin"/>
      </w:r>
      <w:r>
        <w:rPr>
          <w:rFonts w:hint="eastAsia" w:ascii="仿宋_GB2312" w:hAnsi="Times New Roman" w:eastAsia="仿宋_GB2312"/>
          <w:color w:val="000000"/>
          <w:kern w:val="2"/>
          <w:sz w:val="32"/>
          <w:szCs w:val="32"/>
          <w:u w:val="none"/>
        </w:rPr>
        <w:instrText xml:space="preserve"> HYPERLINK "mailto:yzygc@wsjkw.gxzf.gov.cn）。指导辖区内医疗机构落实相关工作要求和监管责任，及时总结经验并加强宣传交流。" </w:instrText>
      </w:r>
      <w:r>
        <w:rPr>
          <w:rFonts w:hint="eastAsia" w:ascii="仿宋_GB2312" w:hAnsi="Times New Roman" w:eastAsia="仿宋_GB2312"/>
          <w:color w:val="000000"/>
          <w:kern w:val="2"/>
          <w:sz w:val="32"/>
          <w:szCs w:val="32"/>
          <w:u w:val="none"/>
        </w:rPr>
        <w:fldChar w:fldCharType="separate"/>
      </w:r>
      <w:r>
        <w:rPr>
          <w:rStyle w:val="15"/>
          <w:rFonts w:hint="default" w:ascii="Times New Roman" w:hAnsi="Times New Roman" w:eastAsia="仿宋_GB2312" w:cs="Times New Roman"/>
          <w:color w:val="000000"/>
          <w:kern w:val="2"/>
          <w:sz w:val="32"/>
          <w:szCs w:val="32"/>
          <w:u w:val="none"/>
        </w:rPr>
        <w:t>yzygc@wsjkw.gxzf.gov.cn</w:t>
      </w:r>
      <w:r>
        <w:rPr>
          <w:rStyle w:val="15"/>
          <w:rFonts w:hint="eastAsia" w:ascii="仿宋_GB2312" w:hAnsi="Times New Roman" w:eastAsia="仿宋_GB2312"/>
          <w:color w:val="000000"/>
          <w:kern w:val="2"/>
          <w:sz w:val="32"/>
          <w:szCs w:val="32"/>
          <w:u w:val="none"/>
        </w:rPr>
        <w:t>）。</w:t>
      </w:r>
      <w:r>
        <w:rPr>
          <w:rStyle w:val="15"/>
          <w:rFonts w:hint="eastAsia" w:ascii="仿宋_GB2312" w:hAnsi="Times New Roman" w:eastAsia="仿宋_GB2312"/>
          <w:color w:val="000000"/>
          <w:kern w:val="2"/>
          <w:sz w:val="32"/>
          <w:szCs w:val="32"/>
          <w:u w:val="none"/>
          <w:lang w:eastAsia="zh-CN"/>
        </w:rPr>
        <w:t>指导辖区内医疗机构落实相关工作要求，</w:t>
      </w:r>
      <w:r>
        <w:rPr>
          <w:rStyle w:val="15"/>
          <w:rFonts w:hint="eastAsia" w:ascii="仿宋_GB2312" w:hAnsi="Times New Roman" w:eastAsia="仿宋_GB2312"/>
          <w:color w:val="000000"/>
          <w:kern w:val="2"/>
          <w:sz w:val="32"/>
          <w:szCs w:val="32"/>
          <w:u w:val="none"/>
        </w:rPr>
        <w:t>并做好实施情况的动态监测与评估</w:t>
      </w:r>
      <w:r>
        <w:rPr>
          <w:rStyle w:val="15"/>
          <w:rFonts w:hint="eastAsia" w:ascii="仿宋_GB2312" w:hAnsi="Times New Roman" w:eastAsia="仿宋_GB2312"/>
          <w:color w:val="000000"/>
          <w:kern w:val="2"/>
          <w:sz w:val="32"/>
          <w:szCs w:val="32"/>
          <w:u w:val="none"/>
          <w:lang w:eastAsia="zh-CN"/>
        </w:rPr>
        <w:t>，及时总结经验并加强宣传交流，</w:t>
      </w:r>
      <w:r>
        <w:rPr>
          <w:rStyle w:val="15"/>
          <w:rFonts w:hint="eastAsia" w:ascii="仿宋_GB2312" w:hAnsi="Times New Roman" w:eastAsia="仿宋_GB2312"/>
          <w:color w:val="000000"/>
          <w:kern w:val="2"/>
          <w:sz w:val="32"/>
          <w:szCs w:val="32"/>
          <w:u w:val="none"/>
        </w:rPr>
        <w:t>适时向社会公布护理服务改善工作开展情况</w:t>
      </w:r>
      <w:r>
        <w:rPr>
          <w:rStyle w:val="15"/>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fldChar w:fldCharType="end"/>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Times New Roman" w:eastAsia="仿宋_GB2312"/>
          <w:color w:val="000000"/>
          <w:kern w:val="2"/>
          <w:sz w:val="32"/>
          <w:szCs w:val="32"/>
          <w:u w:val="none"/>
          <w:lang w:val="en-US" w:eastAsia="zh-CN"/>
        </w:rPr>
      </w:pPr>
      <w:r>
        <w:rPr>
          <w:rFonts w:hint="eastAsia" w:ascii="仿宋_GB2312" w:hAnsi="Times New Roman" w:eastAsia="仿宋_GB2312"/>
          <w:color w:val="000000"/>
          <w:kern w:val="2"/>
          <w:sz w:val="32"/>
          <w:szCs w:val="32"/>
          <w:u w:val="none"/>
          <w:lang w:eastAsia="zh-CN"/>
        </w:rPr>
        <w:t>各医疗</w:t>
      </w:r>
      <w:r>
        <w:rPr>
          <w:rFonts w:hint="eastAsia" w:ascii="仿宋_GB2312" w:hAnsi="Times New Roman" w:eastAsia="仿宋_GB2312"/>
          <w:color w:val="000000"/>
          <w:kern w:val="2"/>
          <w:sz w:val="32"/>
          <w:szCs w:val="32"/>
          <w:u w:val="none"/>
          <w:lang w:val="en-US" w:eastAsia="zh-CN"/>
        </w:rPr>
        <w:t>机构</w:t>
      </w:r>
      <w:r>
        <w:rPr>
          <w:rFonts w:hint="eastAsia" w:ascii="仿宋_GB2312" w:hAnsi="Times New Roman" w:eastAsia="仿宋_GB2312"/>
          <w:color w:val="000000"/>
          <w:kern w:val="2"/>
          <w:sz w:val="32"/>
          <w:szCs w:val="32"/>
          <w:u w:val="none"/>
          <w:lang w:eastAsia="zh-CN"/>
        </w:rPr>
        <w:t>结合本单位实际制定具体工作方案，完善</w:t>
      </w:r>
      <w:r>
        <w:rPr>
          <w:rFonts w:hint="eastAsia" w:ascii="仿宋_GB2312" w:hAnsi="Times New Roman" w:eastAsia="仿宋_GB2312"/>
          <w:color w:val="000000"/>
          <w:kern w:val="2"/>
          <w:sz w:val="32"/>
          <w:szCs w:val="32"/>
          <w:u w:val="none"/>
          <w:lang w:val="en-US" w:eastAsia="zh-CN"/>
        </w:rPr>
        <w:t>2023-2025年改善护理服务和</w:t>
      </w:r>
      <w:r>
        <w:rPr>
          <w:rFonts w:hint="eastAsia" w:ascii="仿宋_GB2312" w:hAnsi="Times New Roman" w:eastAsia="仿宋_GB2312"/>
          <w:color w:val="000000"/>
          <w:kern w:val="2"/>
          <w:sz w:val="32"/>
          <w:szCs w:val="32"/>
          <w:u w:val="none"/>
        </w:rPr>
        <w:t>提升</w:t>
      </w:r>
      <w:r>
        <w:rPr>
          <w:rFonts w:hint="eastAsia" w:ascii="仿宋_GB2312" w:hAnsi="Times New Roman" w:eastAsia="仿宋_GB2312"/>
          <w:color w:val="000000"/>
          <w:kern w:val="2"/>
          <w:sz w:val="32"/>
          <w:szCs w:val="32"/>
          <w:u w:val="none"/>
          <w:lang w:val="en-US" w:eastAsia="zh-CN"/>
        </w:rPr>
        <w:t>护理</w:t>
      </w:r>
      <w:r>
        <w:rPr>
          <w:rFonts w:hint="eastAsia" w:ascii="仿宋_GB2312" w:hAnsi="Times New Roman" w:eastAsia="仿宋_GB2312"/>
          <w:color w:val="000000"/>
          <w:kern w:val="2"/>
          <w:sz w:val="32"/>
          <w:szCs w:val="32"/>
          <w:u w:val="none"/>
        </w:rPr>
        <w:t>质量总体目标及年度工作计划</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每个季度召开改善护理服务推进工作会议</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落实各项具体工作任务</w:t>
      </w:r>
      <w:r>
        <w:rPr>
          <w:rFonts w:hint="eastAsia" w:ascii="仿宋_GB2312" w:hAnsi="Times New Roman" w:eastAsia="仿宋_GB2312"/>
          <w:color w:val="000000"/>
          <w:kern w:val="2"/>
          <w:sz w:val="32"/>
          <w:szCs w:val="32"/>
          <w:u w:val="none"/>
          <w:lang w:val="en-US" w:eastAsia="zh-CN"/>
        </w:rPr>
        <w:t>和目标</w:t>
      </w:r>
      <w:r>
        <w:rPr>
          <w:rFonts w:hint="eastAsia" w:ascii="仿宋_GB2312" w:hAnsi="Times New Roman" w:eastAsia="仿宋_GB2312"/>
          <w:color w:val="000000"/>
          <w:kern w:val="2"/>
          <w:sz w:val="32"/>
          <w:szCs w:val="32"/>
          <w:u w:val="none"/>
        </w:rPr>
        <w:t>，</w:t>
      </w:r>
      <w:r>
        <w:rPr>
          <w:rFonts w:hint="eastAsia" w:ascii="仿宋_GB2312" w:hAnsi="Times New Roman" w:eastAsia="仿宋_GB2312"/>
          <w:color w:val="000000"/>
          <w:kern w:val="2"/>
          <w:sz w:val="32"/>
          <w:szCs w:val="32"/>
          <w:u w:val="none"/>
          <w:lang w:val="en-US" w:eastAsia="zh-CN"/>
        </w:rPr>
        <w:t>及时做好</w:t>
      </w:r>
      <w:r>
        <w:rPr>
          <w:rFonts w:hint="eastAsia" w:ascii="仿宋_GB2312" w:hAnsi="Times New Roman" w:eastAsia="仿宋_GB2312"/>
          <w:color w:val="000000"/>
          <w:kern w:val="2"/>
          <w:sz w:val="32"/>
          <w:szCs w:val="32"/>
          <w:u w:val="none"/>
        </w:rPr>
        <w:t>评价工作，提升</w:t>
      </w:r>
      <w:r>
        <w:rPr>
          <w:rFonts w:hint="eastAsia" w:ascii="仿宋_GB2312" w:hAnsi="Times New Roman" w:eastAsia="仿宋_GB2312"/>
          <w:color w:val="000000"/>
          <w:kern w:val="2"/>
          <w:sz w:val="32"/>
          <w:szCs w:val="32"/>
          <w:u w:val="none"/>
          <w:lang w:val="en-US" w:eastAsia="zh-CN"/>
        </w:rPr>
        <w:t>护理</w:t>
      </w:r>
      <w:r>
        <w:rPr>
          <w:rFonts w:hint="eastAsia" w:ascii="仿宋_GB2312" w:hAnsi="Times New Roman" w:eastAsia="仿宋_GB2312"/>
          <w:color w:val="000000"/>
          <w:kern w:val="2"/>
          <w:sz w:val="32"/>
          <w:szCs w:val="32"/>
          <w:u w:val="none"/>
        </w:rPr>
        <w:t>质量水平。</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 w:eastAsia="楷体_GB2312"/>
          <w:color w:val="000000"/>
          <w:kern w:val="2"/>
          <w:sz w:val="32"/>
          <w:szCs w:val="32"/>
          <w:u w:val="none"/>
          <w:lang w:eastAsia="zh-CN"/>
        </w:rPr>
      </w:pPr>
      <w:r>
        <w:rPr>
          <w:rFonts w:hint="eastAsia" w:ascii="楷体_GB2312" w:hAnsi="楷体" w:eastAsia="楷体_GB2312"/>
          <w:color w:val="000000"/>
          <w:kern w:val="2"/>
          <w:sz w:val="32"/>
          <w:szCs w:val="32"/>
          <w:u w:val="none"/>
          <w:lang w:eastAsia="zh-CN"/>
        </w:rPr>
        <w:t>（</w:t>
      </w:r>
      <w:r>
        <w:rPr>
          <w:rFonts w:hint="eastAsia" w:ascii="楷体_GB2312" w:hAnsi="楷体" w:eastAsia="楷体_GB2312"/>
          <w:color w:val="000000"/>
          <w:kern w:val="2"/>
          <w:sz w:val="32"/>
          <w:szCs w:val="32"/>
          <w:u w:val="none"/>
        </w:rPr>
        <w:t>三</w:t>
      </w:r>
      <w:r>
        <w:rPr>
          <w:rFonts w:hint="eastAsia" w:ascii="楷体_GB2312" w:hAnsi="楷体" w:eastAsia="楷体_GB2312"/>
          <w:color w:val="000000"/>
          <w:kern w:val="2"/>
          <w:sz w:val="32"/>
          <w:szCs w:val="32"/>
          <w:u w:val="none"/>
          <w:lang w:eastAsia="zh-CN"/>
        </w:rPr>
        <w:t>）</w:t>
      </w:r>
      <w:r>
        <w:rPr>
          <w:rFonts w:hint="eastAsia" w:ascii="楷体_GB2312" w:hAnsi="楷体" w:eastAsia="楷体_GB2312"/>
          <w:color w:val="000000"/>
          <w:kern w:val="2"/>
          <w:sz w:val="32"/>
          <w:szCs w:val="32"/>
          <w:u w:val="none"/>
        </w:rPr>
        <w:t>总结评估阶段。</w:t>
      </w:r>
      <w:r>
        <w:rPr>
          <w:rFonts w:hint="eastAsia" w:ascii="楷体_GB2312" w:hAnsi="楷体" w:eastAsia="楷体_GB2312"/>
          <w:color w:val="000000"/>
          <w:kern w:val="2"/>
          <w:sz w:val="32"/>
          <w:szCs w:val="32"/>
          <w:u w:val="none"/>
          <w:lang w:eastAsia="zh-CN"/>
        </w:rPr>
        <w:t>（</w:t>
      </w:r>
      <w:r>
        <w:rPr>
          <w:rFonts w:hint="eastAsia" w:ascii="楷体_GB2312" w:hAnsi="楷体" w:eastAsia="楷体_GB2312"/>
          <w:color w:val="000000"/>
          <w:kern w:val="2"/>
          <w:sz w:val="32"/>
          <w:szCs w:val="32"/>
          <w:u w:val="none"/>
        </w:rPr>
        <w:t>2025年12月</w:t>
      </w:r>
      <w:r>
        <w:rPr>
          <w:rFonts w:hint="eastAsia" w:ascii="楷体_GB2312" w:hAnsi="楷体" w:eastAsia="楷体_GB2312"/>
          <w:color w:val="000000"/>
          <w:kern w:val="2"/>
          <w:sz w:val="32"/>
          <w:szCs w:val="32"/>
          <w:u w:val="none"/>
          <w:lang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仿宋_GB2312" w:hAnsi="Times New Roman" w:eastAsia="仿宋_GB2312"/>
          <w:color w:val="000000"/>
          <w:kern w:val="2"/>
          <w:sz w:val="32"/>
          <w:szCs w:val="32"/>
          <w:u w:val="none"/>
        </w:rPr>
        <w:t>各</w:t>
      </w:r>
      <w:r>
        <w:rPr>
          <w:rFonts w:hint="eastAsia" w:ascii="仿宋_GB2312" w:hAnsi="Times New Roman" w:eastAsia="仿宋_GB2312"/>
          <w:color w:val="000000"/>
          <w:kern w:val="2"/>
          <w:sz w:val="32"/>
          <w:szCs w:val="32"/>
          <w:u w:val="none"/>
          <w:lang w:val="en-US" w:eastAsia="zh-CN"/>
        </w:rPr>
        <w:t>市卫生健康委、中医药局和</w:t>
      </w:r>
      <w:r>
        <w:rPr>
          <w:rFonts w:hint="eastAsia" w:ascii="仿宋_GB2312" w:hAnsi="Times New Roman" w:eastAsia="仿宋_GB2312"/>
          <w:color w:val="000000"/>
          <w:kern w:val="2"/>
          <w:sz w:val="32"/>
          <w:szCs w:val="32"/>
          <w:u w:val="none"/>
        </w:rPr>
        <w:t>区直各医疗</w:t>
      </w:r>
      <w:r>
        <w:rPr>
          <w:rFonts w:hint="eastAsia" w:ascii="仿宋_GB2312" w:eastAsia="仿宋_GB2312"/>
          <w:color w:val="000000"/>
          <w:kern w:val="2"/>
          <w:sz w:val="32"/>
          <w:szCs w:val="32"/>
          <w:u w:val="none"/>
          <w:lang w:eastAsia="zh-CN"/>
        </w:rPr>
        <w:t>卫生</w:t>
      </w:r>
      <w:r>
        <w:rPr>
          <w:rFonts w:hint="eastAsia" w:ascii="仿宋_GB2312" w:hAnsi="Times New Roman" w:eastAsia="仿宋_GB2312"/>
          <w:color w:val="000000"/>
          <w:kern w:val="2"/>
          <w:sz w:val="32"/>
          <w:szCs w:val="32"/>
          <w:u w:val="none"/>
          <w:lang w:val="en-US" w:eastAsia="zh-CN"/>
        </w:rPr>
        <w:t>机构</w:t>
      </w:r>
      <w:r>
        <w:rPr>
          <w:rFonts w:hint="eastAsia" w:ascii="仿宋_GB2312" w:hAnsi="Times New Roman" w:eastAsia="仿宋_GB2312"/>
          <w:color w:val="000000"/>
          <w:kern w:val="2"/>
          <w:sz w:val="32"/>
          <w:szCs w:val="32"/>
          <w:u w:val="none"/>
        </w:rPr>
        <w:t>应</w:t>
      </w:r>
      <w:r>
        <w:rPr>
          <w:rFonts w:hint="eastAsia" w:ascii="仿宋_GB2312" w:hAnsi="Times New Roman" w:eastAsia="仿宋_GB2312"/>
          <w:color w:val="000000"/>
          <w:kern w:val="2"/>
          <w:sz w:val="32"/>
          <w:szCs w:val="32"/>
          <w:u w:val="none"/>
          <w:lang w:val="en-US" w:eastAsia="zh-CN"/>
        </w:rPr>
        <w:t>及时总结</w:t>
      </w:r>
      <w:r>
        <w:rPr>
          <w:rFonts w:hint="eastAsia" w:ascii="仿宋_GB2312" w:hAnsi="Times New Roman" w:eastAsia="仿宋_GB2312"/>
          <w:color w:val="000000"/>
          <w:kern w:val="2"/>
          <w:sz w:val="32"/>
          <w:szCs w:val="32"/>
          <w:u w:val="none"/>
        </w:rPr>
        <w:t>本辖区</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lang w:val="en-US" w:eastAsia="zh-CN"/>
        </w:rPr>
        <w:t>本单位</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改善护理服务工作实施情况，定期（每年6月10日、12月10日前）向</w:t>
      </w:r>
      <w:r>
        <w:rPr>
          <w:rFonts w:hint="eastAsia" w:ascii="仿宋_GB2312" w:hAnsi="Times New Roman" w:eastAsia="仿宋_GB2312"/>
          <w:color w:val="000000"/>
          <w:kern w:val="2"/>
          <w:sz w:val="32"/>
          <w:szCs w:val="32"/>
          <w:u w:val="none"/>
          <w:lang w:val="en-US" w:eastAsia="zh-CN"/>
        </w:rPr>
        <w:t>自治区卫生健康委、</w:t>
      </w:r>
      <w:r>
        <w:rPr>
          <w:rFonts w:hint="eastAsia" w:ascii="仿宋_GB2312" w:hAnsi="Times New Roman" w:eastAsia="仿宋_GB2312"/>
          <w:color w:val="000000"/>
          <w:kern w:val="2"/>
          <w:sz w:val="32"/>
          <w:szCs w:val="32"/>
          <w:u w:val="none"/>
        </w:rPr>
        <w:t>中医药局报送阶段性工作总结（包括</w:t>
      </w:r>
      <w:r>
        <w:rPr>
          <w:rFonts w:hint="eastAsia" w:ascii="仿宋_GB2312" w:hAnsi="Times New Roman" w:eastAsia="仿宋_GB2312"/>
          <w:color w:val="000000"/>
          <w:kern w:val="2"/>
          <w:sz w:val="32"/>
          <w:szCs w:val="32"/>
          <w:u w:val="none"/>
          <w:lang w:val="en-US" w:eastAsia="zh-CN"/>
        </w:rPr>
        <w:t>实施</w:t>
      </w:r>
      <w:r>
        <w:rPr>
          <w:rFonts w:hint="eastAsia" w:ascii="仿宋_GB2312" w:hAnsi="Times New Roman" w:eastAsia="仿宋_GB2312"/>
          <w:color w:val="000000"/>
          <w:kern w:val="2"/>
          <w:sz w:val="32"/>
          <w:szCs w:val="32"/>
          <w:u w:val="none"/>
        </w:rPr>
        <w:t>的情况、</w:t>
      </w:r>
      <w:r>
        <w:rPr>
          <w:rFonts w:hint="eastAsia" w:ascii="仿宋_GB2312" w:hAnsi="Times New Roman" w:eastAsia="仿宋_GB2312"/>
          <w:color w:val="000000"/>
          <w:kern w:val="2"/>
          <w:sz w:val="32"/>
          <w:szCs w:val="32"/>
          <w:u w:val="none"/>
          <w:lang w:val="en-US" w:eastAsia="zh-CN"/>
        </w:rPr>
        <w:t>工作</w:t>
      </w:r>
      <w:r>
        <w:rPr>
          <w:rFonts w:hint="eastAsia" w:ascii="仿宋_GB2312" w:hAnsi="Times New Roman" w:eastAsia="仿宋_GB2312"/>
          <w:color w:val="000000"/>
          <w:kern w:val="2"/>
          <w:sz w:val="32"/>
          <w:szCs w:val="32"/>
          <w:u w:val="none"/>
        </w:rPr>
        <w:t>成效、亮点、存在的问题、下一步工作</w:t>
      </w:r>
      <w:r>
        <w:rPr>
          <w:rFonts w:hint="eastAsia" w:ascii="仿宋_GB2312" w:hAnsi="Times New Roman" w:eastAsia="仿宋_GB2312"/>
          <w:color w:val="000000"/>
          <w:kern w:val="2"/>
          <w:sz w:val="32"/>
          <w:szCs w:val="32"/>
          <w:u w:val="none"/>
          <w:lang w:val="en-US" w:eastAsia="zh-CN"/>
        </w:rPr>
        <w:t>计划</w:t>
      </w:r>
      <w:r>
        <w:rPr>
          <w:rFonts w:hint="eastAsia" w:ascii="仿宋_GB2312" w:hAnsi="Times New Roman" w:eastAsia="仿宋_GB2312"/>
          <w:color w:val="000000"/>
          <w:kern w:val="2"/>
          <w:sz w:val="32"/>
          <w:szCs w:val="32"/>
          <w:u w:val="none"/>
        </w:rPr>
        <w:t>等）。自治区卫生健康</w:t>
      </w:r>
      <w:r>
        <w:rPr>
          <w:rFonts w:hint="eastAsia" w:ascii="仿宋_GB2312" w:hAnsi="Times New Roman" w:eastAsia="仿宋_GB2312"/>
          <w:color w:val="000000"/>
          <w:kern w:val="2"/>
          <w:sz w:val="32"/>
          <w:szCs w:val="32"/>
          <w:u w:val="none"/>
          <w:lang w:val="en-US" w:eastAsia="zh-CN"/>
        </w:rPr>
        <w:t>委、</w:t>
      </w:r>
      <w:r>
        <w:rPr>
          <w:rFonts w:hint="eastAsia" w:ascii="仿宋_GB2312" w:hAnsi="Times New Roman" w:eastAsia="仿宋_GB2312"/>
          <w:color w:val="000000"/>
          <w:kern w:val="2"/>
          <w:sz w:val="32"/>
          <w:szCs w:val="32"/>
          <w:u w:val="none"/>
        </w:rPr>
        <w:t>中医药局将于2025年12月中旬前开展终期评估，召开评估总结会，通报评估结果</w:t>
      </w:r>
      <w:r>
        <w:rPr>
          <w:rFonts w:hint="eastAsia" w:ascii="仿宋_GB2312" w:hAnsi="Times New Roman" w:eastAsia="仿宋_GB2312"/>
          <w:color w:val="000000"/>
          <w:kern w:val="2"/>
          <w:sz w:val="32"/>
          <w:szCs w:val="32"/>
          <w:u w:val="none"/>
          <w:lang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olor w:val="000000"/>
          <w:kern w:val="2"/>
          <w:sz w:val="32"/>
          <w:szCs w:val="32"/>
          <w:u w:val="none"/>
        </w:rPr>
      </w:pPr>
      <w:r>
        <w:rPr>
          <w:rFonts w:hint="eastAsia" w:ascii="黑体" w:hAnsi="黑体" w:eastAsia="黑体"/>
          <w:color w:val="000000"/>
          <w:kern w:val="2"/>
          <w:sz w:val="32"/>
          <w:szCs w:val="32"/>
          <w:u w:val="none"/>
        </w:rPr>
        <w:t>五、工作要求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楷体_GB2312" w:hAnsi="楷体" w:eastAsia="楷体_GB2312"/>
          <w:color w:val="000000"/>
          <w:kern w:val="2"/>
          <w:sz w:val="32"/>
          <w:szCs w:val="32"/>
          <w:u w:val="none"/>
        </w:rPr>
        <w:t>（一）加强组织领导。</w:t>
      </w:r>
      <w:r>
        <w:rPr>
          <w:rFonts w:hint="eastAsia" w:ascii="仿宋_GB2312" w:hAnsi="Times New Roman" w:eastAsia="仿宋_GB2312"/>
          <w:color w:val="000000"/>
          <w:kern w:val="2"/>
          <w:sz w:val="32"/>
          <w:szCs w:val="32"/>
          <w:u w:val="none"/>
        </w:rPr>
        <w:t>各市卫生健康</w:t>
      </w:r>
      <w:r>
        <w:rPr>
          <w:rFonts w:hint="eastAsia" w:ascii="仿宋_GB2312" w:hAnsi="Times New Roman" w:eastAsia="仿宋_GB2312"/>
          <w:color w:val="000000"/>
          <w:kern w:val="2"/>
          <w:sz w:val="32"/>
          <w:szCs w:val="32"/>
          <w:u w:val="none"/>
          <w:lang w:val="en-US" w:eastAsia="zh-CN"/>
        </w:rPr>
        <w:t>委、</w:t>
      </w:r>
      <w:r>
        <w:rPr>
          <w:rFonts w:hint="eastAsia" w:ascii="仿宋_GB2312" w:hAnsi="Times New Roman" w:eastAsia="仿宋_GB2312"/>
          <w:color w:val="000000"/>
          <w:kern w:val="2"/>
          <w:sz w:val="32"/>
          <w:szCs w:val="32"/>
          <w:u w:val="none"/>
        </w:rPr>
        <w:t>中医药局和医疗机构要充分认识改善护理服务工作对于推动医疗机构高质量发展、改善和保障民生的重要意义，主要负责同志</w:t>
      </w:r>
      <w:r>
        <w:rPr>
          <w:rFonts w:hint="eastAsia" w:ascii="仿宋_GB2312" w:hAnsi="Times New Roman" w:eastAsia="仿宋_GB2312"/>
          <w:color w:val="000000"/>
          <w:kern w:val="2"/>
          <w:sz w:val="32"/>
          <w:szCs w:val="32"/>
          <w:u w:val="none"/>
          <w:lang w:eastAsia="zh-CN"/>
        </w:rPr>
        <w:t>要</w:t>
      </w:r>
      <w:r>
        <w:rPr>
          <w:rFonts w:hint="eastAsia" w:ascii="仿宋_GB2312" w:hAnsi="Times New Roman" w:eastAsia="仿宋_GB2312"/>
          <w:color w:val="000000"/>
          <w:kern w:val="2"/>
          <w:sz w:val="32"/>
          <w:szCs w:val="32"/>
          <w:u w:val="none"/>
        </w:rPr>
        <w:t>亲自抓，根据本实施方案要求统筹部署</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lang w:val="en-US" w:eastAsia="zh-CN"/>
        </w:rPr>
        <w:t>认真组织实施。</w:t>
      </w:r>
      <w:r>
        <w:rPr>
          <w:rFonts w:hint="eastAsia" w:ascii="仿宋_GB2312" w:hAnsi="Times New Roman" w:eastAsia="仿宋_GB2312"/>
          <w:color w:val="000000"/>
          <w:kern w:val="2"/>
          <w:sz w:val="32"/>
          <w:szCs w:val="32"/>
          <w:u w:val="none"/>
        </w:rPr>
        <w:t>各市卫生健康</w:t>
      </w:r>
      <w:r>
        <w:rPr>
          <w:rFonts w:hint="eastAsia" w:ascii="仿宋_GB2312" w:hAnsi="Times New Roman" w:eastAsia="仿宋_GB2312"/>
          <w:color w:val="000000"/>
          <w:kern w:val="2"/>
          <w:sz w:val="32"/>
          <w:szCs w:val="32"/>
          <w:u w:val="none"/>
          <w:lang w:val="en-US" w:eastAsia="zh-CN"/>
        </w:rPr>
        <w:t>委、</w:t>
      </w:r>
      <w:r>
        <w:rPr>
          <w:rFonts w:hint="eastAsia" w:ascii="仿宋_GB2312" w:hAnsi="Times New Roman" w:eastAsia="仿宋_GB2312"/>
          <w:color w:val="000000"/>
          <w:kern w:val="2"/>
          <w:sz w:val="32"/>
          <w:szCs w:val="32"/>
          <w:u w:val="none"/>
        </w:rPr>
        <w:t>中医药局要指导和督促医疗机构不断改善护理服务，落实各项任务举措。医疗机构要按照统一部署，结合实际明确</w:t>
      </w:r>
      <w:r>
        <w:rPr>
          <w:rFonts w:hint="eastAsia" w:ascii="仿宋_GB2312" w:hAnsi="Times New Roman" w:eastAsia="仿宋_GB2312"/>
          <w:color w:val="000000"/>
          <w:kern w:val="2"/>
          <w:sz w:val="32"/>
          <w:szCs w:val="32"/>
          <w:u w:val="none"/>
          <w:lang w:val="en-US" w:eastAsia="zh-CN"/>
        </w:rPr>
        <w:t>本单位</w:t>
      </w:r>
      <w:r>
        <w:rPr>
          <w:rFonts w:hint="eastAsia" w:ascii="仿宋_GB2312" w:hAnsi="Times New Roman" w:eastAsia="仿宋_GB2312"/>
          <w:color w:val="000000"/>
          <w:kern w:val="2"/>
          <w:sz w:val="32"/>
          <w:szCs w:val="32"/>
          <w:u w:val="none"/>
        </w:rPr>
        <w:t>改善护理服务目标和任务并有效落实</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不断推进改善护理服务工作。</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楷体_GB2312" w:hAnsi="楷体" w:eastAsia="楷体_GB2312"/>
          <w:color w:val="000000"/>
          <w:kern w:val="2"/>
          <w:sz w:val="32"/>
          <w:szCs w:val="32"/>
          <w:u w:val="none"/>
        </w:rPr>
        <w:t>（二）强化监测评估。</w:t>
      </w:r>
      <w:r>
        <w:rPr>
          <w:rFonts w:hint="eastAsia" w:ascii="仿宋_GB2312" w:hAnsi="Times New Roman" w:eastAsia="仿宋_GB2312"/>
          <w:color w:val="000000"/>
          <w:kern w:val="2"/>
          <w:sz w:val="32"/>
          <w:szCs w:val="32"/>
          <w:u w:val="none"/>
        </w:rPr>
        <w:t>各市卫生健康</w:t>
      </w:r>
      <w:r>
        <w:rPr>
          <w:rFonts w:hint="eastAsia" w:ascii="仿宋_GB2312" w:hAnsi="Times New Roman" w:eastAsia="仿宋_GB2312"/>
          <w:color w:val="000000"/>
          <w:kern w:val="2"/>
          <w:sz w:val="32"/>
          <w:szCs w:val="32"/>
          <w:u w:val="none"/>
          <w:lang w:val="en-US" w:eastAsia="zh-CN"/>
        </w:rPr>
        <w:t>委、中医药局</w:t>
      </w:r>
      <w:r>
        <w:rPr>
          <w:rFonts w:hint="eastAsia" w:ascii="仿宋_GB2312" w:hAnsi="Times New Roman" w:eastAsia="仿宋_GB2312"/>
          <w:color w:val="000000"/>
          <w:kern w:val="2"/>
          <w:sz w:val="32"/>
          <w:szCs w:val="32"/>
          <w:u w:val="none"/>
        </w:rPr>
        <w:t>要结合本地区实际制定改善护理服务具体方案</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lang w:val="en-US" w:eastAsia="zh-CN"/>
        </w:rPr>
        <w:t>以市为单位</w:t>
      </w:r>
      <w:r>
        <w:rPr>
          <w:rFonts w:hint="eastAsia" w:ascii="仿宋_GB2312" w:hAnsi="Times New Roman" w:eastAsia="仿宋_GB2312"/>
          <w:color w:val="000000"/>
          <w:kern w:val="2"/>
          <w:sz w:val="32"/>
          <w:szCs w:val="32"/>
          <w:u w:val="none"/>
        </w:rPr>
        <w:t>报</w:t>
      </w:r>
      <w:r>
        <w:rPr>
          <w:rFonts w:hint="eastAsia" w:ascii="仿宋_GB2312" w:hAnsi="Times New Roman" w:eastAsia="仿宋_GB2312"/>
          <w:color w:val="000000"/>
          <w:kern w:val="2"/>
          <w:sz w:val="32"/>
          <w:szCs w:val="32"/>
          <w:u w:val="none"/>
          <w:lang w:val="en-US" w:eastAsia="zh-CN"/>
        </w:rPr>
        <w:t>自治区卫生健康委，同时做好</w:t>
      </w:r>
      <w:r>
        <w:rPr>
          <w:rFonts w:hint="eastAsia" w:ascii="仿宋_GB2312" w:hAnsi="Times New Roman" w:eastAsia="仿宋_GB2312"/>
          <w:color w:val="000000"/>
          <w:kern w:val="2"/>
          <w:sz w:val="32"/>
          <w:szCs w:val="32"/>
          <w:u w:val="none"/>
          <w:lang w:eastAsia="zh-CN"/>
        </w:rPr>
        <w:t>本</w:t>
      </w:r>
      <w:r>
        <w:rPr>
          <w:rFonts w:hint="eastAsia" w:ascii="仿宋_GB2312" w:hAnsi="Times New Roman" w:eastAsia="仿宋_GB2312"/>
          <w:color w:val="000000"/>
          <w:kern w:val="2"/>
          <w:sz w:val="32"/>
          <w:szCs w:val="32"/>
          <w:u w:val="none"/>
          <w:lang w:val="en-US" w:eastAsia="zh-CN"/>
        </w:rPr>
        <w:t>地区具体方案实施</w:t>
      </w:r>
      <w:r>
        <w:rPr>
          <w:rFonts w:hint="eastAsia" w:ascii="仿宋_GB2312" w:hAnsi="Times New Roman" w:eastAsia="仿宋_GB2312"/>
          <w:color w:val="000000"/>
          <w:kern w:val="2"/>
          <w:sz w:val="32"/>
          <w:szCs w:val="32"/>
          <w:u w:val="none"/>
        </w:rPr>
        <w:t>进展</w:t>
      </w:r>
      <w:r>
        <w:rPr>
          <w:rFonts w:hint="eastAsia" w:ascii="仿宋_GB2312" w:hAnsi="Times New Roman" w:eastAsia="仿宋_GB2312"/>
          <w:color w:val="000000"/>
          <w:kern w:val="2"/>
          <w:sz w:val="32"/>
          <w:szCs w:val="32"/>
          <w:u w:val="none"/>
          <w:lang w:val="en-US" w:eastAsia="zh-CN"/>
        </w:rPr>
        <w:t>情况</w:t>
      </w:r>
      <w:r>
        <w:rPr>
          <w:rFonts w:hint="eastAsia" w:ascii="仿宋_GB2312" w:hAnsi="Times New Roman" w:eastAsia="仿宋_GB2312"/>
          <w:color w:val="000000"/>
          <w:kern w:val="2"/>
          <w:sz w:val="32"/>
          <w:szCs w:val="32"/>
          <w:u w:val="none"/>
        </w:rPr>
        <w:t>的动态监测</w:t>
      </w:r>
      <w:r>
        <w:rPr>
          <w:rFonts w:hint="eastAsia" w:ascii="仿宋_GB2312" w:hAnsi="Times New Roman" w:eastAsia="仿宋_GB2312"/>
          <w:color w:val="000000"/>
          <w:kern w:val="2"/>
          <w:sz w:val="32"/>
          <w:szCs w:val="32"/>
          <w:u w:val="none"/>
          <w:lang w:val="en-US" w:eastAsia="zh-CN"/>
        </w:rPr>
        <w:t>和</w:t>
      </w:r>
      <w:r>
        <w:rPr>
          <w:rFonts w:hint="eastAsia" w:ascii="仿宋_GB2312" w:hAnsi="Times New Roman" w:eastAsia="仿宋_GB2312"/>
          <w:color w:val="000000"/>
          <w:kern w:val="2"/>
          <w:sz w:val="32"/>
          <w:szCs w:val="32"/>
          <w:u w:val="none"/>
        </w:rPr>
        <w:t>评估</w:t>
      </w:r>
      <w:r>
        <w:rPr>
          <w:rFonts w:hint="eastAsia" w:ascii="仿宋_GB2312" w:hAnsi="Times New Roman" w:eastAsia="仿宋_GB2312"/>
          <w:color w:val="000000"/>
          <w:kern w:val="2"/>
          <w:sz w:val="32"/>
          <w:szCs w:val="32"/>
          <w:u w:val="none"/>
          <w:lang w:val="en-US" w:eastAsia="zh-CN"/>
        </w:rPr>
        <w:t>工作</w:t>
      </w:r>
      <w:r>
        <w:rPr>
          <w:rFonts w:hint="eastAsia" w:ascii="仿宋_GB2312" w:hAnsi="Times New Roman" w:eastAsia="仿宋_GB2312"/>
          <w:color w:val="000000"/>
          <w:kern w:val="2"/>
          <w:sz w:val="32"/>
          <w:szCs w:val="32"/>
          <w:u w:val="none"/>
        </w:rPr>
        <w:t>，及时发现问题，</w:t>
      </w:r>
      <w:r>
        <w:rPr>
          <w:rFonts w:hint="eastAsia" w:ascii="仿宋_GB2312" w:hAnsi="Times New Roman" w:eastAsia="仿宋_GB2312"/>
          <w:color w:val="000000"/>
          <w:kern w:val="2"/>
          <w:sz w:val="32"/>
          <w:szCs w:val="32"/>
          <w:u w:val="none"/>
          <w:lang w:eastAsia="zh-CN"/>
        </w:rPr>
        <w:t>并</w:t>
      </w:r>
      <w:r>
        <w:rPr>
          <w:rFonts w:hint="eastAsia" w:ascii="仿宋_GB2312" w:hAnsi="Times New Roman" w:eastAsia="仿宋_GB2312"/>
          <w:color w:val="000000"/>
          <w:kern w:val="2"/>
          <w:sz w:val="32"/>
          <w:szCs w:val="32"/>
          <w:u w:val="none"/>
        </w:rPr>
        <w:t>采取解决措施，确保改善工作取得实效。</w:t>
      </w:r>
      <w:r>
        <w:rPr>
          <w:rFonts w:hint="eastAsia" w:ascii="仿宋_GB2312" w:hAnsi="Times New Roman" w:eastAsia="仿宋_GB2312"/>
          <w:color w:val="000000"/>
          <w:kern w:val="2"/>
          <w:sz w:val="32"/>
          <w:szCs w:val="32"/>
          <w:u w:val="none"/>
          <w:lang w:val="en-US" w:eastAsia="zh-CN"/>
        </w:rPr>
        <w:t>自治区</w:t>
      </w:r>
      <w:r>
        <w:rPr>
          <w:rFonts w:hint="eastAsia" w:ascii="仿宋_GB2312" w:hAnsi="Times New Roman" w:eastAsia="仿宋_GB2312"/>
          <w:color w:val="000000"/>
          <w:kern w:val="2"/>
          <w:sz w:val="32"/>
          <w:szCs w:val="32"/>
          <w:u w:val="none"/>
        </w:rPr>
        <w:t>卫生健康</w:t>
      </w:r>
      <w:r>
        <w:rPr>
          <w:rFonts w:hint="eastAsia" w:ascii="仿宋_GB2312" w:hAnsi="Times New Roman" w:eastAsia="仿宋_GB2312"/>
          <w:color w:val="000000"/>
          <w:kern w:val="2"/>
          <w:sz w:val="32"/>
          <w:szCs w:val="32"/>
          <w:u w:val="none"/>
          <w:lang w:val="en-US" w:eastAsia="zh-CN"/>
        </w:rPr>
        <w:t>委、</w:t>
      </w:r>
      <w:r>
        <w:rPr>
          <w:rFonts w:hint="eastAsia" w:ascii="仿宋_GB2312" w:hAnsi="Times New Roman" w:eastAsia="仿宋_GB2312"/>
          <w:color w:val="000000"/>
          <w:kern w:val="2"/>
          <w:sz w:val="32"/>
          <w:szCs w:val="32"/>
          <w:u w:val="none"/>
        </w:rPr>
        <w:t>中医药局将对各地实施</w:t>
      </w:r>
      <w:r>
        <w:rPr>
          <w:rFonts w:hint="eastAsia" w:ascii="仿宋_GB2312" w:hAnsi="Times New Roman" w:eastAsia="仿宋_GB2312"/>
          <w:color w:val="000000"/>
          <w:kern w:val="2"/>
          <w:sz w:val="32"/>
          <w:szCs w:val="32"/>
          <w:u w:val="none"/>
          <w:lang w:val="en-US" w:eastAsia="zh-CN"/>
        </w:rPr>
        <w:t>改善护理服务行动</w:t>
      </w:r>
      <w:r>
        <w:rPr>
          <w:rFonts w:hint="eastAsia" w:ascii="仿宋_GB2312" w:hAnsi="Times New Roman" w:eastAsia="仿宋_GB2312"/>
          <w:color w:val="000000"/>
          <w:kern w:val="2"/>
          <w:sz w:val="32"/>
          <w:szCs w:val="32"/>
          <w:u w:val="none"/>
        </w:rPr>
        <w:t>情况定期</w:t>
      </w:r>
      <w:r>
        <w:rPr>
          <w:rFonts w:hint="eastAsia" w:ascii="仿宋_GB2312" w:hAnsi="Times New Roman" w:eastAsia="仿宋_GB2312"/>
          <w:color w:val="000000"/>
          <w:kern w:val="2"/>
          <w:sz w:val="32"/>
          <w:szCs w:val="32"/>
          <w:u w:val="none"/>
          <w:lang w:val="en-US" w:eastAsia="zh-CN"/>
        </w:rPr>
        <w:t>开展</w:t>
      </w:r>
      <w:r>
        <w:rPr>
          <w:rFonts w:hint="eastAsia" w:ascii="仿宋_GB2312" w:hAnsi="Times New Roman" w:eastAsia="仿宋_GB2312"/>
          <w:color w:val="000000"/>
          <w:kern w:val="2"/>
          <w:sz w:val="32"/>
          <w:szCs w:val="32"/>
          <w:u w:val="none"/>
        </w:rPr>
        <w:t>跟踪评估</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lang w:val="en-US" w:eastAsia="zh-CN"/>
        </w:rPr>
        <w:t>及时总结</w:t>
      </w:r>
      <w:r>
        <w:rPr>
          <w:rFonts w:hint="eastAsia" w:ascii="仿宋_GB2312" w:hAnsi="Times New Roman" w:eastAsia="仿宋_GB2312"/>
          <w:color w:val="000000"/>
          <w:kern w:val="2"/>
          <w:sz w:val="32"/>
          <w:szCs w:val="32"/>
          <w:u w:val="none"/>
        </w:rPr>
        <w:t>通报</w:t>
      </w:r>
      <w:r>
        <w:rPr>
          <w:rFonts w:hint="eastAsia" w:ascii="仿宋_GB2312" w:hAnsi="Times New Roman" w:eastAsia="仿宋_GB2312"/>
          <w:color w:val="000000"/>
          <w:kern w:val="2"/>
          <w:sz w:val="32"/>
          <w:szCs w:val="32"/>
          <w:u w:val="none"/>
          <w:lang w:val="en-US" w:eastAsia="zh-CN"/>
        </w:rPr>
        <w:t>各地进展情况</w:t>
      </w:r>
      <w:r>
        <w:rPr>
          <w:rFonts w:hint="eastAsia" w:ascii="仿宋_GB2312" w:hAnsi="Times New Roman" w:eastAsia="仿宋_GB2312"/>
          <w:color w:val="000000"/>
          <w:kern w:val="2"/>
          <w:sz w:val="32"/>
          <w:szCs w:val="32"/>
          <w:u w:val="none"/>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 w:hAnsi="仿宋" w:eastAsia="仿宋" w:cs="微软雅黑"/>
          <w:color w:val="000000"/>
          <w:sz w:val="32"/>
          <w:szCs w:val="32"/>
          <w:u w:val="none"/>
        </w:rPr>
      </w:pPr>
      <w:r>
        <w:rPr>
          <w:rFonts w:hint="eastAsia" w:ascii="楷体_GB2312" w:hAnsi="楷体" w:eastAsia="楷体_GB2312"/>
          <w:color w:val="000000"/>
          <w:kern w:val="2"/>
          <w:sz w:val="32"/>
          <w:szCs w:val="32"/>
          <w:u w:val="none"/>
        </w:rPr>
        <w:t>（三）创造有利条件。</w:t>
      </w:r>
      <w:r>
        <w:rPr>
          <w:rFonts w:hint="eastAsia" w:ascii="仿宋_GB2312" w:hAnsi="Times New Roman" w:eastAsia="仿宋_GB2312"/>
          <w:color w:val="000000"/>
          <w:kern w:val="2"/>
          <w:sz w:val="32"/>
          <w:szCs w:val="32"/>
          <w:u w:val="none"/>
        </w:rPr>
        <w:t>各市卫生健康</w:t>
      </w:r>
      <w:r>
        <w:rPr>
          <w:rFonts w:hint="eastAsia" w:ascii="仿宋_GB2312" w:hAnsi="Times New Roman" w:eastAsia="仿宋_GB2312"/>
          <w:color w:val="000000"/>
          <w:kern w:val="2"/>
          <w:sz w:val="32"/>
          <w:szCs w:val="32"/>
          <w:u w:val="none"/>
          <w:lang w:val="en-US" w:eastAsia="zh-CN"/>
        </w:rPr>
        <w:t>委、</w:t>
      </w:r>
      <w:r>
        <w:rPr>
          <w:rFonts w:hint="eastAsia" w:ascii="仿宋_GB2312" w:hAnsi="Times New Roman" w:eastAsia="仿宋_GB2312"/>
          <w:color w:val="000000"/>
          <w:kern w:val="2"/>
          <w:sz w:val="32"/>
          <w:szCs w:val="32"/>
          <w:u w:val="none"/>
        </w:rPr>
        <w:t>中医药局</w:t>
      </w:r>
      <w:r>
        <w:rPr>
          <w:rFonts w:hint="eastAsia" w:ascii="仿宋_GB2312" w:hAnsi="Times New Roman" w:eastAsia="仿宋_GB2312"/>
          <w:color w:val="000000"/>
          <w:kern w:val="2"/>
          <w:sz w:val="32"/>
          <w:szCs w:val="32"/>
          <w:u w:val="none"/>
          <w:lang w:eastAsia="zh-CN"/>
        </w:rPr>
        <w:t>要</w:t>
      </w:r>
      <w:r>
        <w:rPr>
          <w:rFonts w:hint="eastAsia" w:ascii="仿宋_GB2312" w:hAnsi="Times New Roman" w:eastAsia="仿宋_GB2312"/>
          <w:color w:val="000000"/>
          <w:kern w:val="2"/>
          <w:sz w:val="32"/>
          <w:szCs w:val="32"/>
          <w:u w:val="none"/>
          <w:lang w:val="en-US" w:eastAsia="zh-CN"/>
        </w:rPr>
        <w:t>主动</w:t>
      </w:r>
      <w:r>
        <w:rPr>
          <w:rFonts w:hint="eastAsia" w:ascii="仿宋_GB2312" w:hAnsi="Times New Roman" w:eastAsia="仿宋_GB2312"/>
          <w:color w:val="000000"/>
          <w:kern w:val="2"/>
          <w:sz w:val="32"/>
          <w:szCs w:val="32"/>
          <w:u w:val="none"/>
        </w:rPr>
        <w:t>加强部门</w:t>
      </w:r>
      <w:r>
        <w:rPr>
          <w:rFonts w:hint="eastAsia" w:ascii="仿宋_GB2312" w:hAnsi="Times New Roman" w:eastAsia="仿宋_GB2312"/>
          <w:color w:val="000000"/>
          <w:kern w:val="2"/>
          <w:sz w:val="32"/>
          <w:szCs w:val="32"/>
          <w:u w:val="none"/>
          <w:lang w:eastAsia="zh-CN"/>
        </w:rPr>
        <w:t>间</w:t>
      </w:r>
      <w:r>
        <w:rPr>
          <w:rFonts w:hint="eastAsia" w:ascii="仿宋_GB2312" w:hAnsi="Times New Roman" w:eastAsia="仿宋_GB2312"/>
          <w:color w:val="000000"/>
          <w:kern w:val="2"/>
          <w:sz w:val="32"/>
          <w:szCs w:val="32"/>
          <w:u w:val="none"/>
        </w:rPr>
        <w:t>联动和上下协调，为实施改善护理服务行动计划创造有利政策条件</w:t>
      </w:r>
      <w:r>
        <w:rPr>
          <w:rFonts w:hint="eastAsia" w:ascii="仿宋_GB2312" w:hAnsi="Times New Roman" w:eastAsia="仿宋_GB2312"/>
          <w:color w:val="000000"/>
          <w:kern w:val="2"/>
          <w:sz w:val="32"/>
          <w:szCs w:val="32"/>
          <w:u w:val="none"/>
          <w:lang w:eastAsia="zh-CN"/>
        </w:rPr>
        <w:t>。</w:t>
      </w:r>
      <w:r>
        <w:rPr>
          <w:rFonts w:hint="eastAsia" w:ascii="仿宋_GB2312" w:hAnsi="Times New Roman" w:eastAsia="仿宋_GB2312"/>
          <w:color w:val="000000"/>
          <w:kern w:val="2"/>
          <w:sz w:val="32"/>
          <w:szCs w:val="32"/>
          <w:u w:val="none"/>
        </w:rPr>
        <w:t>积极协调落实护理服务价格调整有关政策要求，逐步理顺护理服务比价关系，体现护士技术劳动价值。持续深化公立医院薪酬制度改革，建立动态调整机制，合理确定护士薪酬水平。</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Times New Roman" w:eastAsia="仿宋_GB2312"/>
          <w:color w:val="000000"/>
          <w:kern w:val="2"/>
          <w:sz w:val="32"/>
          <w:szCs w:val="32"/>
          <w:u w:val="none"/>
        </w:rPr>
      </w:pPr>
      <w:r>
        <w:rPr>
          <w:rFonts w:hint="eastAsia" w:ascii="楷体_GB2312" w:hAnsi="楷体" w:eastAsia="楷体_GB2312"/>
          <w:color w:val="000000"/>
          <w:kern w:val="2"/>
          <w:sz w:val="32"/>
          <w:szCs w:val="32"/>
          <w:u w:val="none"/>
        </w:rPr>
        <w:t>（四）注重宣传引导。</w:t>
      </w:r>
      <w:r>
        <w:rPr>
          <w:rFonts w:hint="eastAsia" w:ascii="仿宋_GB2312" w:hAnsi="Times New Roman" w:eastAsia="仿宋_GB2312"/>
          <w:color w:val="000000"/>
          <w:kern w:val="2"/>
          <w:sz w:val="32"/>
          <w:szCs w:val="32"/>
          <w:u w:val="none"/>
        </w:rPr>
        <w:t>各市卫生健康</w:t>
      </w:r>
      <w:r>
        <w:rPr>
          <w:rFonts w:hint="eastAsia" w:ascii="仿宋_GB2312" w:hAnsi="Times New Roman" w:eastAsia="仿宋_GB2312"/>
          <w:color w:val="000000"/>
          <w:kern w:val="2"/>
          <w:sz w:val="32"/>
          <w:szCs w:val="32"/>
          <w:u w:val="none"/>
          <w:lang w:val="en-US" w:eastAsia="zh-CN"/>
        </w:rPr>
        <w:t>委、中医药局</w:t>
      </w:r>
      <w:r>
        <w:rPr>
          <w:rFonts w:hint="eastAsia" w:ascii="仿宋_GB2312" w:hAnsi="Times New Roman" w:eastAsia="仿宋_GB2312"/>
          <w:color w:val="000000"/>
          <w:kern w:val="2"/>
          <w:sz w:val="32"/>
          <w:szCs w:val="32"/>
          <w:u w:val="none"/>
        </w:rPr>
        <w:t>和医疗机构要充分利用广播、电视、报刊、互联网等新闻媒体形式，做好改善护理服务政策解读和舆论引导。充分挖掘和宣传改善护理服务典型经验，发挥先进带动和示范引领作用，营造推动工作发展的良好社会氛围。</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000000"/>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u w:val="none"/>
        </w:rPr>
      </w:pPr>
      <w:r>
        <w:rPr>
          <w:rFonts w:hint="eastAsia" w:ascii="仿宋_GB2312" w:hAnsi="Times New Roman" w:eastAsia="仿宋_GB2312" w:cs="Times New Roman"/>
          <w:color w:val="000000"/>
          <w:sz w:val="32"/>
          <w:szCs w:val="32"/>
          <w:u w:val="none"/>
        </w:rPr>
        <w:t>附件：</w:t>
      </w:r>
      <w:r>
        <w:rPr>
          <w:rFonts w:hint="eastAsia" w:ascii="仿宋_GB2312" w:hAnsi="Times New Roman" w:eastAsia="仿宋_GB2312" w:cs="Times New Roman"/>
          <w:color w:val="000000"/>
          <w:sz w:val="32"/>
          <w:szCs w:val="32"/>
          <w:u w:val="none"/>
          <w:lang w:eastAsia="zh-CN"/>
        </w:rPr>
        <w:t>广西</w:t>
      </w:r>
      <w:r>
        <w:rPr>
          <w:rFonts w:hint="eastAsia" w:ascii="仿宋_GB2312" w:hAnsi="Times New Roman" w:eastAsia="仿宋_GB2312" w:cs="Times New Roman"/>
          <w:color w:val="000000"/>
          <w:sz w:val="32"/>
          <w:szCs w:val="32"/>
          <w:u w:val="none"/>
        </w:rPr>
        <w:t>改善护理服务评估指标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u w:val="none"/>
        </w:rPr>
        <w:sectPr>
          <w:footerReference r:id="rId4" w:type="default"/>
          <w:pgSz w:w="11906" w:h="16838"/>
          <w:pgMar w:top="1701" w:right="1418" w:bottom="1417" w:left="1701" w:header="851" w:footer="992" w:gutter="0"/>
          <w:pgNumType w:fmt="decimal" w:start="2"/>
          <w:cols w:space="720" w:num="1"/>
          <w:rtlGutter w:val="0"/>
          <w:docGrid w:type="lines" w:linePitch="312" w:charSpace="0"/>
        </w:sectPr>
      </w:pPr>
    </w:p>
    <w:p>
      <w:pPr>
        <w:tabs>
          <w:tab w:val="left" w:pos="1027"/>
        </w:tabs>
        <w:jc w:val="left"/>
        <w:rPr>
          <w:rFonts w:hint="eastAsia" w:ascii="仿宋_GB2312" w:hAnsi="Times New Roman" w:eastAsia="仿宋_GB2312" w:cs="Times New Roman"/>
          <w:sz w:val="32"/>
          <w:szCs w:val="32"/>
          <w:u w:val="none"/>
        </w:rPr>
      </w:pPr>
      <w:r>
        <w:rPr>
          <w:rFonts w:hint="eastAsia" w:ascii="黑体" w:hAnsi="黑体" w:eastAsia="黑体" w:cs="黑体"/>
          <w:sz w:val="32"/>
          <w:szCs w:val="32"/>
          <w:u w:val="none"/>
        </w:rPr>
        <w:t xml:space="preserve">附件    </w:t>
      </w:r>
      <w:r>
        <w:rPr>
          <w:rFonts w:hint="eastAsia" w:ascii="仿宋_GB2312" w:hAnsi="Times New Roman" w:eastAsia="仿宋_GB2312" w:cs="Times New Roman"/>
          <w:sz w:val="32"/>
          <w:szCs w:val="32"/>
          <w:u w:val="none"/>
        </w:rPr>
        <w:t xml:space="preserve">      </w:t>
      </w:r>
    </w:p>
    <w:p>
      <w:pPr>
        <w:keepNext w:val="0"/>
        <w:keepLines w:val="0"/>
        <w:pageBreakBefore w:val="0"/>
        <w:widowControl w:val="0"/>
        <w:tabs>
          <w:tab w:val="left" w:pos="1027"/>
        </w:tabs>
        <w:kinsoku/>
        <w:wordWrap/>
        <w:overflowPunct/>
        <w:topLinePunct w:val="0"/>
        <w:autoSpaceDE/>
        <w:autoSpaceDN/>
        <w:bidi w:val="0"/>
        <w:adjustRightInd/>
        <w:snapToGrid/>
        <w:spacing w:after="313" w:afterLines="100" w:line="560" w:lineRule="exact"/>
        <w:jc w:val="center"/>
        <w:textAlignment w:val="auto"/>
        <w:rPr>
          <w:rFonts w:hint="eastAsia" w:ascii="方正小标宋简体" w:hAnsi="Times New Roman" w:eastAsia="方正小标宋简体" w:cs="Times New Roman"/>
          <w:sz w:val="44"/>
          <w:szCs w:val="44"/>
          <w:u w:val="none"/>
        </w:rPr>
      </w:pPr>
      <w:r>
        <w:rPr>
          <w:rFonts w:hint="eastAsia" w:ascii="方正小标宋简体" w:hAnsi="Times New Roman" w:eastAsia="方正小标宋简体" w:cs="Times New Roman"/>
          <w:sz w:val="44"/>
          <w:szCs w:val="44"/>
          <w:u w:val="none"/>
          <w:lang w:eastAsia="zh-CN"/>
        </w:rPr>
        <w:t>广西</w:t>
      </w:r>
      <w:r>
        <w:rPr>
          <w:rFonts w:hint="eastAsia" w:ascii="方正小标宋简体" w:hAnsi="Times New Roman" w:eastAsia="方正小标宋简体" w:cs="Times New Roman"/>
          <w:sz w:val="44"/>
          <w:szCs w:val="44"/>
          <w:u w:val="none"/>
        </w:rPr>
        <w:t>改善护理服务评估指标</w:t>
      </w:r>
    </w:p>
    <w:tbl>
      <w:tblPr>
        <w:tblStyle w:val="11"/>
        <w:tblW w:w="14075" w:type="dxa"/>
        <w:jc w:val="center"/>
        <w:tblLayout w:type="fixed"/>
        <w:tblCellMar>
          <w:top w:w="0" w:type="dxa"/>
          <w:left w:w="108" w:type="dxa"/>
          <w:bottom w:w="0" w:type="dxa"/>
          <w:right w:w="108" w:type="dxa"/>
        </w:tblCellMar>
      </w:tblPr>
      <w:tblGrid>
        <w:gridCol w:w="940"/>
        <w:gridCol w:w="1515"/>
        <w:gridCol w:w="5980"/>
        <w:gridCol w:w="1420"/>
        <w:gridCol w:w="1420"/>
        <w:gridCol w:w="1420"/>
        <w:gridCol w:w="1380"/>
      </w:tblGrid>
      <w:tr>
        <w:tblPrEx>
          <w:tblCellMar>
            <w:top w:w="0" w:type="dxa"/>
            <w:left w:w="108" w:type="dxa"/>
            <w:bottom w:w="0" w:type="dxa"/>
            <w:right w:w="108" w:type="dxa"/>
          </w:tblCellMar>
        </w:tblPrEx>
        <w:trPr>
          <w:trHeight w:val="578" w:hRule="atLeast"/>
          <w:tblHeader/>
          <w:jc w:val="center"/>
        </w:trPr>
        <w:tc>
          <w:tcPr>
            <w:tcW w:w="940" w:type="dxa"/>
            <w:tcBorders>
              <w:top w:val="single" w:color="000000" w:sz="4" w:space="0"/>
              <w:left w:val="single" w:color="000000" w:sz="4" w:space="0"/>
              <w:bottom w:val="nil"/>
              <w:right w:val="single" w:color="000000" w:sz="4" w:space="0"/>
            </w:tcBorders>
            <w:shd w:val="clear" w:color="auto" w:fill="FFFFFF"/>
            <w:noWrap w:val="0"/>
            <w:vAlign w:val="center"/>
          </w:tcPr>
          <w:p>
            <w:pPr>
              <w:widowControl/>
              <w:spacing w:line="500" w:lineRule="exact"/>
              <w:jc w:val="center"/>
              <w:textAlignment w:val="center"/>
              <w:rPr>
                <w:rFonts w:ascii="黑体" w:hAnsi="黑体" w:eastAsia="黑体" w:cs="黑体"/>
                <w:color w:val="000000"/>
                <w:sz w:val="28"/>
                <w:szCs w:val="28"/>
                <w:u w:val="none"/>
              </w:rPr>
            </w:pPr>
            <w:r>
              <w:rPr>
                <w:rFonts w:hint="eastAsia" w:ascii="黑体" w:hAnsi="黑体" w:eastAsia="黑体" w:cs="黑体"/>
                <w:color w:val="000000"/>
                <w:kern w:val="0"/>
                <w:sz w:val="28"/>
                <w:szCs w:val="28"/>
                <w:u w:val="none"/>
              </w:rPr>
              <w:t>序号</w:t>
            </w:r>
          </w:p>
        </w:tc>
        <w:tc>
          <w:tcPr>
            <w:tcW w:w="7495" w:type="dxa"/>
            <w:gridSpan w:val="2"/>
            <w:tcBorders>
              <w:top w:val="single" w:color="000000" w:sz="4" w:space="0"/>
              <w:left w:val="single" w:color="000000" w:sz="4" w:space="0"/>
              <w:bottom w:val="nil"/>
              <w:right w:val="single" w:color="000000" w:sz="4" w:space="0"/>
            </w:tcBorders>
            <w:shd w:val="clear" w:color="auto" w:fill="FFFFFF"/>
            <w:noWrap w:val="0"/>
            <w:vAlign w:val="center"/>
          </w:tcPr>
          <w:p>
            <w:pPr>
              <w:widowControl/>
              <w:spacing w:line="500" w:lineRule="exact"/>
              <w:jc w:val="center"/>
              <w:textAlignment w:val="center"/>
              <w:rPr>
                <w:rFonts w:hint="eastAsia" w:ascii="黑体" w:hAnsi="黑体" w:eastAsia="黑体" w:cs="黑体"/>
                <w:color w:val="000000"/>
                <w:sz w:val="28"/>
                <w:szCs w:val="28"/>
                <w:u w:val="none"/>
                <w:lang w:val="en-US" w:eastAsia="zh-CN"/>
              </w:rPr>
            </w:pPr>
            <w:r>
              <w:rPr>
                <w:rFonts w:hint="eastAsia" w:ascii="黑体" w:hAnsi="黑体" w:eastAsia="黑体" w:cs="黑体"/>
                <w:color w:val="000000"/>
                <w:kern w:val="0"/>
                <w:sz w:val="28"/>
                <w:szCs w:val="28"/>
                <w:u w:val="none"/>
              </w:rPr>
              <w:t>指标</w:t>
            </w:r>
            <w:r>
              <w:rPr>
                <w:rFonts w:hint="eastAsia" w:ascii="黑体" w:hAnsi="黑体" w:eastAsia="黑体" w:cs="黑体"/>
                <w:color w:val="000000"/>
                <w:kern w:val="0"/>
                <w:sz w:val="28"/>
                <w:szCs w:val="28"/>
                <w:u w:val="none"/>
                <w:lang w:val="en-US" w:eastAsia="zh-CN"/>
              </w:rPr>
              <w:t>内容</w:t>
            </w:r>
          </w:p>
        </w:tc>
        <w:tc>
          <w:tcPr>
            <w:tcW w:w="1420" w:type="dxa"/>
            <w:tcBorders>
              <w:top w:val="single" w:color="000000" w:sz="4" w:space="0"/>
              <w:left w:val="single" w:color="000000" w:sz="4" w:space="0"/>
              <w:bottom w:val="nil"/>
              <w:right w:val="single" w:color="000000" w:sz="4" w:space="0"/>
            </w:tcBorders>
            <w:shd w:val="clear" w:color="auto" w:fill="FFFFFF"/>
            <w:noWrap w:val="0"/>
            <w:vAlign w:val="center"/>
          </w:tcPr>
          <w:p>
            <w:pPr>
              <w:widowControl/>
              <w:spacing w:line="500" w:lineRule="exact"/>
              <w:jc w:val="center"/>
              <w:textAlignment w:val="center"/>
              <w:rPr>
                <w:rFonts w:hint="default" w:ascii="黑体" w:hAnsi="黑体" w:eastAsia="黑体" w:cs="黑体"/>
                <w:color w:val="000000"/>
                <w:kern w:val="0"/>
                <w:sz w:val="28"/>
                <w:szCs w:val="28"/>
                <w:u w:val="none"/>
                <w:lang w:val="en-US" w:eastAsia="zh-CN"/>
              </w:rPr>
            </w:pPr>
            <w:r>
              <w:rPr>
                <w:rFonts w:hint="eastAsia" w:ascii="黑体" w:hAnsi="黑体" w:eastAsia="黑体" w:cs="黑体"/>
                <w:color w:val="000000"/>
                <w:kern w:val="0"/>
                <w:sz w:val="28"/>
                <w:szCs w:val="28"/>
                <w:u w:val="none"/>
                <w:lang w:val="en-US" w:eastAsia="zh-CN"/>
              </w:rPr>
              <w:t>2023年</w:t>
            </w:r>
          </w:p>
        </w:tc>
        <w:tc>
          <w:tcPr>
            <w:tcW w:w="1420" w:type="dxa"/>
            <w:tcBorders>
              <w:top w:val="single" w:color="000000" w:sz="4" w:space="0"/>
              <w:left w:val="single" w:color="000000" w:sz="4" w:space="0"/>
              <w:bottom w:val="nil"/>
              <w:right w:val="single" w:color="000000" w:sz="4" w:space="0"/>
            </w:tcBorders>
            <w:shd w:val="clear" w:color="auto" w:fill="FFFFFF"/>
            <w:noWrap w:val="0"/>
            <w:vAlign w:val="center"/>
          </w:tcPr>
          <w:p>
            <w:pPr>
              <w:widowControl/>
              <w:spacing w:line="500" w:lineRule="exact"/>
              <w:jc w:val="center"/>
              <w:textAlignment w:val="center"/>
              <w:rPr>
                <w:rFonts w:hint="default" w:ascii="黑体" w:hAnsi="黑体" w:eastAsia="黑体" w:cs="黑体"/>
                <w:color w:val="000000"/>
                <w:kern w:val="0"/>
                <w:sz w:val="28"/>
                <w:szCs w:val="28"/>
                <w:u w:val="none"/>
                <w:lang w:val="en-US" w:eastAsia="zh-CN"/>
              </w:rPr>
            </w:pPr>
            <w:r>
              <w:rPr>
                <w:rFonts w:hint="eastAsia" w:ascii="黑体" w:hAnsi="黑体" w:eastAsia="黑体" w:cs="黑体"/>
                <w:color w:val="000000"/>
                <w:kern w:val="0"/>
                <w:sz w:val="28"/>
                <w:szCs w:val="28"/>
                <w:u w:val="none"/>
                <w:lang w:val="en-US" w:eastAsia="zh-CN"/>
              </w:rPr>
              <w:t>2024年</w:t>
            </w:r>
          </w:p>
        </w:tc>
        <w:tc>
          <w:tcPr>
            <w:tcW w:w="1420" w:type="dxa"/>
            <w:tcBorders>
              <w:top w:val="single" w:color="000000" w:sz="4" w:space="0"/>
              <w:left w:val="single" w:color="000000" w:sz="4" w:space="0"/>
              <w:bottom w:val="nil"/>
              <w:right w:val="single" w:color="000000" w:sz="4" w:space="0"/>
            </w:tcBorders>
            <w:shd w:val="clear" w:color="auto" w:fill="FFFFFF"/>
            <w:noWrap w:val="0"/>
            <w:vAlign w:val="center"/>
          </w:tcPr>
          <w:p>
            <w:pPr>
              <w:widowControl/>
              <w:spacing w:line="500" w:lineRule="exact"/>
              <w:jc w:val="center"/>
              <w:textAlignment w:val="center"/>
              <w:rPr>
                <w:rFonts w:ascii="黑体" w:hAnsi="黑体" w:eastAsia="黑体" w:cs="黑体"/>
                <w:color w:val="000000"/>
                <w:kern w:val="0"/>
                <w:sz w:val="28"/>
                <w:szCs w:val="28"/>
                <w:u w:val="none"/>
              </w:rPr>
            </w:pPr>
            <w:r>
              <w:rPr>
                <w:rFonts w:hint="eastAsia" w:ascii="黑体" w:hAnsi="黑体" w:eastAsia="黑体" w:cs="黑体"/>
                <w:color w:val="000000"/>
                <w:kern w:val="0"/>
                <w:sz w:val="28"/>
                <w:szCs w:val="28"/>
                <w:u w:val="none"/>
              </w:rPr>
              <w:t>2025年</w:t>
            </w:r>
          </w:p>
        </w:tc>
        <w:tc>
          <w:tcPr>
            <w:tcW w:w="1380" w:type="dxa"/>
            <w:tcBorders>
              <w:top w:val="single" w:color="000000" w:sz="4" w:space="0"/>
              <w:left w:val="single" w:color="000000" w:sz="4" w:space="0"/>
              <w:bottom w:val="nil"/>
              <w:right w:val="single" w:color="000000" w:sz="4" w:space="0"/>
            </w:tcBorders>
            <w:shd w:val="clear" w:color="auto" w:fill="FFFFFF"/>
            <w:noWrap w:val="0"/>
            <w:vAlign w:val="center"/>
          </w:tcPr>
          <w:p>
            <w:pPr>
              <w:widowControl/>
              <w:spacing w:line="500" w:lineRule="exact"/>
              <w:jc w:val="center"/>
              <w:textAlignment w:val="center"/>
              <w:rPr>
                <w:rFonts w:hint="eastAsia" w:ascii="黑体" w:hAnsi="黑体" w:eastAsia="黑体" w:cs="黑体"/>
                <w:color w:val="000000"/>
                <w:kern w:val="0"/>
                <w:sz w:val="28"/>
                <w:szCs w:val="28"/>
                <w:u w:val="none"/>
                <w:lang w:val="en-US" w:eastAsia="zh-CN"/>
              </w:rPr>
            </w:pPr>
            <w:r>
              <w:rPr>
                <w:rFonts w:hint="eastAsia" w:ascii="黑体" w:hAnsi="黑体" w:eastAsia="黑体" w:cs="黑体"/>
                <w:color w:val="000000"/>
                <w:kern w:val="0"/>
                <w:sz w:val="28"/>
                <w:szCs w:val="28"/>
                <w:u w:val="none"/>
                <w:lang w:val="en-US" w:eastAsia="zh-CN"/>
              </w:rPr>
              <w:t>性质</w:t>
            </w:r>
          </w:p>
        </w:tc>
      </w:tr>
      <w:tr>
        <w:tblPrEx>
          <w:tblCellMar>
            <w:top w:w="0" w:type="dxa"/>
            <w:left w:w="108" w:type="dxa"/>
            <w:bottom w:w="0" w:type="dxa"/>
            <w:right w:w="108" w:type="dxa"/>
          </w:tblCellMar>
        </w:tblPrEx>
        <w:trPr>
          <w:trHeight w:val="220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1</w:t>
            </w:r>
          </w:p>
        </w:tc>
        <w:tc>
          <w:tcPr>
            <w:tcW w:w="1515" w:type="dxa"/>
            <w:vMerge w:val="restart"/>
            <w:tcBorders>
              <w:top w:val="single" w:color="000000" w:sz="4" w:space="0"/>
              <w:left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护士人力资源</w:t>
            </w:r>
          </w:p>
        </w:tc>
        <w:tc>
          <w:tcPr>
            <w:tcW w:w="5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三级综合医院、部分三级专科医院</w:t>
            </w: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（肿瘤、儿童、妇产、心血管病专科医院）：</w:t>
            </w: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全院护士与实际开放床位比</w:t>
            </w:r>
          </w:p>
          <w:p>
            <w:pPr>
              <w:widowControl/>
              <w:spacing w:line="480" w:lineRule="exact"/>
              <w:jc w:val="center"/>
              <w:textAlignment w:val="center"/>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rPr>
              <w:t>全院病区护士与实际开放床位比</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80" w:lineRule="exact"/>
              <w:jc w:val="center"/>
              <w:textAlignment w:val="center"/>
              <w:rPr>
                <w:rFonts w:hint="eastAsia" w:ascii="仿宋_GB2312" w:hAnsi="Times New Roman" w:eastAsia="仿宋_GB2312"/>
                <w:sz w:val="28"/>
                <w:szCs w:val="28"/>
                <w:u w:val="none"/>
              </w:rPr>
            </w:pPr>
          </w:p>
          <w:p>
            <w:pPr>
              <w:widowControl/>
              <w:spacing w:line="480" w:lineRule="exact"/>
              <w:jc w:val="center"/>
              <w:textAlignment w:val="center"/>
              <w:rPr>
                <w:rFonts w:hint="eastAsia" w:ascii="仿宋_GB2312" w:hAnsi="Times New Roman" w:eastAsia="仿宋_GB2312"/>
                <w:sz w:val="28"/>
                <w:szCs w:val="28"/>
                <w:u w:val="none"/>
              </w:rPr>
            </w:pPr>
          </w:p>
          <w:p>
            <w:pPr>
              <w:widowControl/>
              <w:spacing w:line="480" w:lineRule="exact"/>
              <w:jc w:val="center"/>
              <w:textAlignment w:val="center"/>
              <w:rPr>
                <w:rFonts w:hint="eastAsia" w:ascii="仿宋_GB2312" w:hAnsi="Times New Roman" w:eastAsia="仿宋_GB2312"/>
                <w:sz w:val="28"/>
                <w:szCs w:val="28"/>
                <w:u w:val="none"/>
              </w:rPr>
            </w:pPr>
            <w:r>
              <w:rPr>
                <w:rFonts w:hint="eastAsia" w:ascii="仿宋_GB2312" w:hAnsi="Times New Roman" w:eastAsia="仿宋_GB2312"/>
                <w:sz w:val="28"/>
                <w:szCs w:val="28"/>
                <w:u w:val="none"/>
              </w:rPr>
              <w:t>0.69：1</w:t>
            </w: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sz w:val="28"/>
                <w:szCs w:val="28"/>
                <w:u w:val="none"/>
              </w:rPr>
              <w:t>0.51：1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80" w:lineRule="exact"/>
              <w:jc w:val="center"/>
              <w:textAlignment w:val="center"/>
              <w:rPr>
                <w:rFonts w:hint="eastAsia" w:ascii="仿宋_GB2312" w:hAnsi="Times New Roman" w:eastAsia="仿宋_GB2312"/>
                <w:sz w:val="28"/>
                <w:szCs w:val="28"/>
                <w:u w:val="none"/>
              </w:rPr>
            </w:pPr>
          </w:p>
          <w:p>
            <w:pPr>
              <w:widowControl/>
              <w:spacing w:line="480" w:lineRule="exact"/>
              <w:jc w:val="center"/>
              <w:textAlignment w:val="center"/>
              <w:rPr>
                <w:rFonts w:hint="eastAsia" w:ascii="仿宋_GB2312" w:hAnsi="Times New Roman" w:eastAsia="仿宋_GB2312"/>
                <w:sz w:val="28"/>
                <w:szCs w:val="28"/>
                <w:u w:val="none"/>
              </w:rPr>
            </w:pPr>
          </w:p>
          <w:p>
            <w:pPr>
              <w:widowControl/>
              <w:spacing w:line="480" w:lineRule="exact"/>
              <w:jc w:val="center"/>
              <w:textAlignment w:val="center"/>
              <w:rPr>
                <w:rFonts w:hint="eastAsia" w:ascii="仿宋_GB2312" w:hAnsi="Times New Roman" w:eastAsia="仿宋_GB2312"/>
                <w:sz w:val="28"/>
                <w:szCs w:val="28"/>
                <w:u w:val="none"/>
              </w:rPr>
            </w:pPr>
            <w:r>
              <w:rPr>
                <w:rFonts w:hint="eastAsia" w:ascii="仿宋_GB2312" w:hAnsi="Times New Roman" w:eastAsia="仿宋_GB2312"/>
                <w:sz w:val="28"/>
                <w:szCs w:val="28"/>
                <w:u w:val="none"/>
              </w:rPr>
              <w:t>0.</w:t>
            </w:r>
            <w:r>
              <w:rPr>
                <w:rFonts w:hint="eastAsia" w:ascii="仿宋_GB2312" w:hAnsi="Times New Roman" w:eastAsia="仿宋_GB2312"/>
                <w:sz w:val="28"/>
                <w:szCs w:val="28"/>
                <w:u w:val="none"/>
                <w:lang w:eastAsia="zh-CN"/>
              </w:rPr>
              <w:t>7</w:t>
            </w:r>
            <w:r>
              <w:rPr>
                <w:rFonts w:hint="eastAsia" w:ascii="仿宋_GB2312" w:hAnsi="Times New Roman" w:eastAsia="仿宋_GB2312"/>
                <w:sz w:val="28"/>
                <w:szCs w:val="28"/>
                <w:u w:val="none"/>
                <w:lang w:val="en-US" w:eastAsia="zh-CN"/>
              </w:rPr>
              <w:t>5</w:t>
            </w:r>
            <w:r>
              <w:rPr>
                <w:rFonts w:hint="eastAsia" w:ascii="仿宋_GB2312" w:hAnsi="Times New Roman" w:eastAsia="仿宋_GB2312"/>
                <w:sz w:val="28"/>
                <w:szCs w:val="28"/>
                <w:u w:val="none"/>
              </w:rPr>
              <w:t>：1</w:t>
            </w: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sz w:val="28"/>
                <w:szCs w:val="28"/>
                <w:u w:val="none"/>
              </w:rPr>
              <w:t>0.</w:t>
            </w:r>
            <w:r>
              <w:rPr>
                <w:rFonts w:hint="eastAsia" w:ascii="仿宋_GB2312" w:hAnsi="Times New Roman" w:eastAsia="仿宋_GB2312"/>
                <w:sz w:val="28"/>
                <w:szCs w:val="28"/>
                <w:u w:val="none"/>
                <w:lang w:eastAsia="zh-CN"/>
              </w:rPr>
              <w:t>6</w:t>
            </w:r>
            <w:r>
              <w:rPr>
                <w:rFonts w:hint="eastAsia" w:ascii="仿宋_GB2312" w:hAnsi="Times New Roman" w:eastAsia="仿宋_GB2312"/>
                <w:sz w:val="28"/>
                <w:szCs w:val="28"/>
                <w:u w:val="none"/>
                <w:lang w:val="en-US" w:eastAsia="zh-CN"/>
              </w:rPr>
              <w:t>0</w:t>
            </w:r>
            <w:r>
              <w:rPr>
                <w:rFonts w:hint="eastAsia" w:ascii="仿宋_GB2312" w:hAnsi="Times New Roman" w:eastAsia="仿宋_GB2312"/>
                <w:sz w:val="28"/>
                <w:szCs w:val="28"/>
                <w:u w:val="none"/>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80" w:lineRule="exact"/>
              <w:jc w:val="center"/>
              <w:textAlignment w:val="center"/>
              <w:rPr>
                <w:rFonts w:hint="eastAsia" w:ascii="仿宋_GB2312" w:hAnsi="Times New Roman" w:eastAsia="仿宋_GB2312" w:cs="Times New Roman"/>
                <w:sz w:val="28"/>
                <w:szCs w:val="28"/>
                <w:u w:val="none"/>
              </w:rPr>
            </w:pPr>
          </w:p>
          <w:p>
            <w:pPr>
              <w:widowControl/>
              <w:spacing w:line="480" w:lineRule="exact"/>
              <w:jc w:val="center"/>
              <w:textAlignment w:val="center"/>
              <w:rPr>
                <w:rFonts w:hint="eastAsia" w:ascii="仿宋_GB2312" w:hAnsi="Times New Roman" w:eastAsia="仿宋_GB2312" w:cs="Times New Roman"/>
                <w:sz w:val="28"/>
                <w:szCs w:val="28"/>
                <w:u w:val="none"/>
              </w:rPr>
            </w:pP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0.85：1</w:t>
            </w:r>
          </w:p>
          <w:p>
            <w:pPr>
              <w:widowControl/>
              <w:spacing w:line="480" w:lineRule="exact"/>
              <w:jc w:val="center"/>
              <w:textAlignment w:val="center"/>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rPr>
              <w:t>0.65：1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80" w:lineRule="exact"/>
              <w:jc w:val="both"/>
              <w:textAlignment w:val="center"/>
              <w:rPr>
                <w:rFonts w:hint="eastAsia" w:ascii="仿宋_GB2312" w:hAnsi="Times New Roman" w:eastAsia="仿宋_GB2312" w:cs="Times New Roman"/>
                <w:sz w:val="28"/>
                <w:szCs w:val="28"/>
                <w:u w:val="none"/>
                <w:lang w:val="en-US" w:eastAsia="zh-CN"/>
              </w:rPr>
            </w:pPr>
          </w:p>
          <w:p>
            <w:pPr>
              <w:widowControl/>
              <w:spacing w:line="480" w:lineRule="exact"/>
              <w:jc w:val="both"/>
              <w:textAlignment w:val="center"/>
              <w:rPr>
                <w:rFonts w:hint="eastAsia" w:ascii="仿宋_GB2312" w:hAnsi="Times New Roman" w:eastAsia="仿宋_GB2312" w:cs="Times New Roman"/>
                <w:sz w:val="28"/>
                <w:szCs w:val="28"/>
                <w:u w:val="none"/>
                <w:lang w:val="en-US" w:eastAsia="zh-CN"/>
              </w:rPr>
            </w:pPr>
          </w:p>
          <w:p>
            <w:pPr>
              <w:widowControl/>
              <w:spacing w:line="480" w:lineRule="exact"/>
              <w:jc w:val="both"/>
              <w:textAlignment w:val="center"/>
              <w:rPr>
                <w:rFonts w:hint="eastAsia"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约束性</w:t>
            </w:r>
          </w:p>
        </w:tc>
      </w:tr>
      <w:tr>
        <w:tblPrEx>
          <w:tblCellMar>
            <w:top w:w="0" w:type="dxa"/>
            <w:left w:w="108" w:type="dxa"/>
            <w:bottom w:w="0" w:type="dxa"/>
            <w:right w:w="108" w:type="dxa"/>
          </w:tblCellMar>
        </w:tblPrEx>
        <w:trPr>
          <w:trHeight w:val="233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2</w:t>
            </w:r>
          </w:p>
        </w:tc>
        <w:tc>
          <w:tcPr>
            <w:tcW w:w="1515" w:type="dxa"/>
            <w:vMerge w:val="continue"/>
            <w:tcBorders>
              <w:left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lang w:val="en-US" w:eastAsia="zh-CN"/>
              </w:rPr>
            </w:pPr>
          </w:p>
        </w:tc>
        <w:tc>
          <w:tcPr>
            <w:tcW w:w="5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二级综合医院、部分二级专科医院</w:t>
            </w: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（肿瘤、儿童、妇产、心病专科医院）：</w:t>
            </w: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全院护士与实际开放床位比</w:t>
            </w: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全院病区护士与实际开放床位比</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80" w:lineRule="exact"/>
              <w:jc w:val="center"/>
              <w:textAlignment w:val="center"/>
              <w:rPr>
                <w:rFonts w:hint="eastAsia" w:ascii="仿宋_GB2312" w:hAnsi="Times New Roman" w:eastAsia="仿宋_GB2312"/>
                <w:sz w:val="28"/>
                <w:szCs w:val="28"/>
                <w:u w:val="none"/>
              </w:rPr>
            </w:pPr>
          </w:p>
          <w:p>
            <w:pPr>
              <w:widowControl/>
              <w:spacing w:line="480" w:lineRule="exact"/>
              <w:jc w:val="center"/>
              <w:textAlignment w:val="center"/>
              <w:rPr>
                <w:rFonts w:hint="eastAsia" w:ascii="仿宋_GB2312" w:hAnsi="Times New Roman" w:eastAsia="仿宋_GB2312"/>
                <w:sz w:val="28"/>
                <w:szCs w:val="28"/>
                <w:u w:val="none"/>
              </w:rPr>
            </w:pPr>
          </w:p>
          <w:p>
            <w:pPr>
              <w:widowControl/>
              <w:spacing w:line="480" w:lineRule="exact"/>
              <w:jc w:val="center"/>
              <w:textAlignment w:val="center"/>
              <w:rPr>
                <w:rFonts w:hint="eastAsia" w:ascii="仿宋_GB2312" w:hAnsi="Times New Roman" w:eastAsia="仿宋_GB2312"/>
                <w:sz w:val="28"/>
                <w:szCs w:val="28"/>
                <w:u w:val="none"/>
              </w:rPr>
            </w:pPr>
            <w:r>
              <w:rPr>
                <w:rFonts w:hint="eastAsia" w:ascii="仿宋_GB2312" w:hAnsi="Times New Roman" w:eastAsia="仿宋_GB2312"/>
                <w:sz w:val="28"/>
                <w:szCs w:val="28"/>
                <w:u w:val="none"/>
              </w:rPr>
              <w:t>0.61：1</w:t>
            </w: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sz w:val="28"/>
                <w:szCs w:val="28"/>
                <w:u w:val="none"/>
              </w:rPr>
              <w:t>0.41：1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80" w:lineRule="exact"/>
              <w:jc w:val="center"/>
              <w:textAlignment w:val="center"/>
              <w:rPr>
                <w:rFonts w:hint="eastAsia" w:ascii="仿宋_GB2312" w:hAnsi="Times New Roman" w:eastAsia="仿宋_GB2312" w:cs="Times New Roman"/>
                <w:sz w:val="28"/>
                <w:szCs w:val="28"/>
                <w:u w:val="none"/>
              </w:rPr>
            </w:pPr>
          </w:p>
          <w:p>
            <w:pPr>
              <w:widowControl/>
              <w:spacing w:line="480" w:lineRule="exact"/>
              <w:jc w:val="center"/>
              <w:textAlignment w:val="center"/>
              <w:rPr>
                <w:rFonts w:hint="eastAsia" w:ascii="仿宋_GB2312" w:hAnsi="Times New Roman" w:eastAsia="仿宋_GB2312" w:cs="Times New Roman"/>
                <w:sz w:val="28"/>
                <w:szCs w:val="28"/>
                <w:u w:val="none"/>
              </w:rPr>
            </w:pP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0.7</w:t>
            </w:r>
            <w:r>
              <w:rPr>
                <w:rFonts w:hint="eastAsia" w:ascii="仿宋_GB2312" w:hAnsi="Times New Roman" w:eastAsia="仿宋_GB2312" w:cs="Times New Roman"/>
                <w:sz w:val="28"/>
                <w:szCs w:val="28"/>
                <w:u w:val="none"/>
                <w:lang w:val="en-US" w:eastAsia="zh-CN"/>
              </w:rPr>
              <w:t>0</w:t>
            </w:r>
            <w:r>
              <w:rPr>
                <w:rFonts w:hint="eastAsia" w:ascii="仿宋_GB2312" w:hAnsi="Times New Roman" w:eastAsia="仿宋_GB2312" w:cs="Times New Roman"/>
                <w:sz w:val="28"/>
                <w:szCs w:val="28"/>
                <w:u w:val="none"/>
              </w:rPr>
              <w:t>：1</w:t>
            </w:r>
          </w:p>
          <w:p>
            <w:pPr>
              <w:widowControl/>
              <w:spacing w:line="480" w:lineRule="exact"/>
              <w:jc w:val="center"/>
              <w:textAlignment w:val="center"/>
              <w:rPr>
                <w:rFonts w:hint="eastAsia" w:ascii="仿宋_GB2312" w:hAnsi="Times New Roman" w:eastAsia="仿宋_GB2312"/>
                <w:sz w:val="28"/>
                <w:szCs w:val="28"/>
                <w:u w:val="none"/>
              </w:rPr>
            </w:pPr>
            <w:r>
              <w:rPr>
                <w:rFonts w:hint="eastAsia" w:ascii="仿宋_GB2312" w:hAnsi="Times New Roman" w:eastAsia="仿宋_GB2312" w:cs="Times New Roman"/>
                <w:sz w:val="28"/>
                <w:szCs w:val="28"/>
                <w:u w:val="none"/>
              </w:rPr>
              <w:t>0.5</w:t>
            </w:r>
            <w:r>
              <w:rPr>
                <w:rFonts w:hint="eastAsia" w:ascii="仿宋_GB2312" w:hAnsi="Times New Roman" w:eastAsia="仿宋_GB2312" w:cs="Times New Roman"/>
                <w:sz w:val="28"/>
                <w:szCs w:val="28"/>
                <w:u w:val="none"/>
                <w:lang w:val="en-US" w:eastAsia="zh-CN"/>
              </w:rPr>
              <w:t>0</w:t>
            </w:r>
            <w:r>
              <w:rPr>
                <w:rFonts w:hint="eastAsia" w:ascii="仿宋_GB2312" w:hAnsi="Times New Roman" w:eastAsia="仿宋_GB2312" w:cs="Times New Roman"/>
                <w:sz w:val="28"/>
                <w:szCs w:val="28"/>
                <w:u w:val="none"/>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80" w:lineRule="exact"/>
              <w:jc w:val="center"/>
              <w:textAlignment w:val="center"/>
              <w:rPr>
                <w:rFonts w:hint="eastAsia" w:ascii="仿宋_GB2312" w:hAnsi="Times New Roman" w:eastAsia="仿宋_GB2312" w:cs="Times New Roman"/>
                <w:sz w:val="28"/>
                <w:szCs w:val="28"/>
                <w:u w:val="none"/>
              </w:rPr>
            </w:pPr>
          </w:p>
          <w:p>
            <w:pPr>
              <w:widowControl/>
              <w:spacing w:line="480" w:lineRule="exact"/>
              <w:jc w:val="center"/>
              <w:textAlignment w:val="center"/>
              <w:rPr>
                <w:rFonts w:hint="eastAsia" w:ascii="仿宋_GB2312" w:hAnsi="Times New Roman" w:eastAsia="仿宋_GB2312" w:cs="Times New Roman"/>
                <w:sz w:val="28"/>
                <w:szCs w:val="28"/>
                <w:u w:val="none"/>
              </w:rPr>
            </w:pP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0.75：1</w:t>
            </w:r>
          </w:p>
          <w:p>
            <w:pPr>
              <w:widowControl/>
              <w:spacing w:line="48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0.55：1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80" w:lineRule="exact"/>
              <w:jc w:val="both"/>
              <w:textAlignment w:val="center"/>
              <w:rPr>
                <w:rFonts w:hint="eastAsia" w:ascii="仿宋_GB2312" w:hAnsi="Times New Roman" w:eastAsia="仿宋_GB2312"/>
                <w:sz w:val="28"/>
                <w:szCs w:val="28"/>
                <w:u w:val="none"/>
              </w:rPr>
            </w:pPr>
          </w:p>
          <w:p>
            <w:pPr>
              <w:widowControl/>
              <w:spacing w:line="480" w:lineRule="exact"/>
              <w:jc w:val="both"/>
              <w:textAlignment w:val="center"/>
              <w:rPr>
                <w:rFonts w:hint="eastAsia" w:ascii="仿宋_GB2312" w:hAnsi="Times New Roman" w:eastAsia="仿宋_GB2312"/>
                <w:sz w:val="28"/>
                <w:szCs w:val="28"/>
                <w:u w:val="none"/>
              </w:rPr>
            </w:pPr>
          </w:p>
          <w:p>
            <w:pPr>
              <w:widowControl/>
              <w:spacing w:line="480" w:lineRule="exact"/>
              <w:jc w:val="both"/>
              <w:textAlignment w:val="center"/>
              <w:rPr>
                <w:rFonts w:hint="eastAsia" w:ascii="仿宋_GB2312" w:hAnsi="Times New Roman" w:eastAsia="仿宋_GB2312" w:cs="Times New Roman"/>
                <w:sz w:val="28"/>
                <w:szCs w:val="28"/>
                <w:u w:val="none"/>
                <w:lang w:val="en-US" w:eastAsia="zh-CN"/>
              </w:rPr>
            </w:pPr>
            <w:r>
              <w:rPr>
                <w:rFonts w:hint="eastAsia" w:ascii="仿宋_GB2312" w:hAnsi="Times New Roman" w:eastAsia="仿宋_GB2312"/>
                <w:sz w:val="28"/>
                <w:szCs w:val="28"/>
                <w:u w:val="none"/>
              </w:rPr>
              <w:t>约束性</w:t>
            </w:r>
          </w:p>
        </w:tc>
      </w:tr>
      <w:tr>
        <w:tblPrEx>
          <w:tblCellMar>
            <w:top w:w="0" w:type="dxa"/>
            <w:left w:w="108" w:type="dxa"/>
            <w:bottom w:w="0" w:type="dxa"/>
            <w:right w:w="108" w:type="dxa"/>
          </w:tblCellMar>
        </w:tblPrEx>
        <w:trPr>
          <w:trHeight w:val="72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3</w:t>
            </w:r>
          </w:p>
        </w:tc>
        <w:tc>
          <w:tcPr>
            <w:tcW w:w="1515" w:type="dxa"/>
            <w:vMerge w:val="continue"/>
            <w:tcBorders>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lang w:val="en-US" w:eastAsia="zh-CN"/>
              </w:rPr>
            </w:pPr>
          </w:p>
        </w:tc>
        <w:tc>
          <w:tcPr>
            <w:tcW w:w="5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rPr>
              <w:t>临床护理岗位护士数量占全院护士</w:t>
            </w:r>
            <w:r>
              <w:rPr>
                <w:rFonts w:hint="eastAsia" w:ascii="仿宋_GB2312" w:hAnsi="Times New Roman" w:eastAsia="仿宋_GB2312" w:cs="Times New Roman"/>
                <w:sz w:val="28"/>
                <w:szCs w:val="28"/>
                <w:u w:val="none"/>
                <w:lang w:val="en-US" w:eastAsia="zh-CN"/>
              </w:rPr>
              <w:t>总量的</w:t>
            </w:r>
            <w:r>
              <w:rPr>
                <w:rFonts w:hint="eastAsia" w:ascii="仿宋_GB2312" w:hAnsi="Times New Roman" w:eastAsia="仿宋_GB2312" w:cs="Times New Roman"/>
                <w:sz w:val="28"/>
                <w:szCs w:val="28"/>
                <w:u w:val="none"/>
              </w:rPr>
              <w:t>比例</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sz w:val="28"/>
                <w:szCs w:val="28"/>
                <w:u w:val="none"/>
              </w:rPr>
              <w:t>9</w:t>
            </w:r>
            <w:r>
              <w:rPr>
                <w:rFonts w:hint="eastAsia" w:ascii="仿宋_GB2312" w:hAnsi="Times New Roman" w:eastAsia="仿宋_GB2312"/>
                <w:sz w:val="28"/>
                <w:szCs w:val="28"/>
                <w:u w:val="none"/>
                <w:lang w:val="en-US" w:eastAsia="zh-CN"/>
              </w:rPr>
              <w:t>0</w:t>
            </w:r>
            <w:r>
              <w:rPr>
                <w:rFonts w:hint="eastAsia" w:ascii="仿宋_GB2312" w:hAnsi="Times New Roman" w:eastAsia="仿宋_GB2312"/>
                <w:sz w:val="28"/>
                <w:szCs w:val="28"/>
                <w:u w:val="none"/>
              </w:rPr>
              <w:t>%</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9</w:t>
            </w:r>
            <w:r>
              <w:rPr>
                <w:rFonts w:hint="eastAsia" w:ascii="仿宋_GB2312" w:hAnsi="Times New Roman" w:eastAsia="仿宋_GB2312" w:cs="Times New Roman"/>
                <w:sz w:val="28"/>
                <w:szCs w:val="28"/>
                <w:u w:val="none"/>
                <w:lang w:val="en-US" w:eastAsia="zh-CN"/>
              </w:rPr>
              <w:t>3</w:t>
            </w:r>
            <w:r>
              <w:rPr>
                <w:rFonts w:hint="eastAsia" w:ascii="仿宋_GB2312" w:hAnsi="Times New Roman" w:eastAsia="仿宋_GB2312" w:cs="Times New Roman"/>
                <w:sz w:val="28"/>
                <w:szCs w:val="28"/>
                <w:u w:val="none"/>
              </w:rPr>
              <w:t>%</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rPr>
              <w:t>95%</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预期性</w:t>
            </w:r>
          </w:p>
        </w:tc>
      </w:tr>
      <w:tr>
        <w:tblPrEx>
          <w:tblCellMar>
            <w:top w:w="0" w:type="dxa"/>
            <w:left w:w="108" w:type="dxa"/>
            <w:bottom w:w="0" w:type="dxa"/>
            <w:right w:w="108" w:type="dxa"/>
          </w:tblCellMar>
        </w:tblPrEx>
        <w:trPr>
          <w:trHeight w:val="60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lang w:eastAsia="zh-CN"/>
              </w:rPr>
            </w:pPr>
            <w:r>
              <w:rPr>
                <w:rFonts w:hint="eastAsia" w:ascii="仿宋_GB2312" w:hAnsi="Times New Roman" w:eastAsia="仿宋_GB2312" w:cs="Times New Roman"/>
                <w:sz w:val="28"/>
                <w:szCs w:val="28"/>
                <w:u w:val="none"/>
                <w:lang w:val="en-US" w:eastAsia="zh-CN"/>
              </w:rPr>
              <w:t>4</w:t>
            </w:r>
          </w:p>
        </w:tc>
        <w:tc>
          <w:tcPr>
            <w:tcW w:w="1515" w:type="dxa"/>
            <w:vMerge w:val="restart"/>
            <w:tcBorders>
              <w:top w:val="single" w:color="000000" w:sz="4" w:space="0"/>
              <w:left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lang w:val="en-US" w:eastAsia="zh-CN"/>
              </w:rPr>
              <w:t>护士队伍能力建设</w:t>
            </w:r>
          </w:p>
        </w:tc>
        <w:tc>
          <w:tcPr>
            <w:tcW w:w="5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二级以上医院新入职护士培训率</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sz w:val="28"/>
                <w:szCs w:val="28"/>
                <w:u w:val="none"/>
              </w:rPr>
              <w:t>9</w:t>
            </w:r>
            <w:r>
              <w:rPr>
                <w:rFonts w:hint="eastAsia" w:ascii="仿宋_GB2312" w:hAnsi="Times New Roman" w:eastAsia="仿宋_GB2312"/>
                <w:sz w:val="28"/>
                <w:szCs w:val="28"/>
                <w:u w:val="none"/>
                <w:lang w:val="en-US" w:eastAsia="zh-CN"/>
              </w:rPr>
              <w:t>0</w:t>
            </w:r>
            <w:r>
              <w:rPr>
                <w:rFonts w:hint="eastAsia" w:ascii="仿宋_GB2312" w:hAnsi="Times New Roman" w:eastAsia="仿宋_GB2312"/>
                <w:sz w:val="28"/>
                <w:szCs w:val="28"/>
                <w:u w:val="none"/>
              </w:rPr>
              <w:t>%</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sz w:val="28"/>
                <w:szCs w:val="28"/>
                <w:u w:val="none"/>
              </w:rPr>
              <w:t>9</w:t>
            </w:r>
            <w:r>
              <w:rPr>
                <w:rFonts w:hint="eastAsia" w:ascii="仿宋_GB2312" w:hAnsi="Times New Roman" w:eastAsia="仿宋_GB2312"/>
                <w:sz w:val="28"/>
                <w:szCs w:val="28"/>
                <w:u w:val="none"/>
                <w:lang w:val="en-US" w:eastAsia="zh-CN"/>
              </w:rPr>
              <w:t>5</w:t>
            </w:r>
            <w:r>
              <w:rPr>
                <w:rFonts w:hint="eastAsia" w:ascii="仿宋_GB2312" w:hAnsi="Times New Roman" w:eastAsia="仿宋_GB2312"/>
                <w:sz w:val="28"/>
                <w:szCs w:val="28"/>
                <w:u w:val="none"/>
              </w:rPr>
              <w:t>%</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b/>
                <w:bCs/>
                <w:sz w:val="28"/>
                <w:szCs w:val="28"/>
                <w:u w:val="none"/>
              </w:rPr>
            </w:pPr>
            <w:r>
              <w:rPr>
                <w:rFonts w:hint="eastAsia" w:ascii="仿宋_GB2312" w:hAnsi="Times New Roman" w:eastAsia="仿宋_GB2312" w:cs="Times New Roman"/>
                <w:sz w:val="28"/>
                <w:szCs w:val="28"/>
                <w:u w:val="none"/>
                <w:lang w:val="en-US" w:eastAsia="zh-CN"/>
              </w:rPr>
              <w:t>预期性</w:t>
            </w:r>
          </w:p>
        </w:tc>
      </w:tr>
      <w:tr>
        <w:tblPrEx>
          <w:tblCellMar>
            <w:top w:w="0" w:type="dxa"/>
            <w:left w:w="108" w:type="dxa"/>
            <w:bottom w:w="0" w:type="dxa"/>
            <w:right w:w="108" w:type="dxa"/>
          </w:tblCellMar>
        </w:tblPrEx>
        <w:trPr>
          <w:trHeight w:val="70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5</w:t>
            </w:r>
          </w:p>
        </w:tc>
        <w:tc>
          <w:tcPr>
            <w:tcW w:w="1515" w:type="dxa"/>
            <w:vMerge w:val="continue"/>
            <w:tcBorders>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rPr>
            </w:pPr>
          </w:p>
        </w:tc>
        <w:tc>
          <w:tcPr>
            <w:tcW w:w="5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相关紧缺护理专业护士参加</w:t>
            </w:r>
            <w:r>
              <w:rPr>
                <w:rFonts w:hint="eastAsia" w:ascii="仿宋_GB2312" w:hAnsi="Times New Roman" w:eastAsia="仿宋_GB2312" w:cs="Times New Roman"/>
                <w:sz w:val="28"/>
                <w:szCs w:val="28"/>
                <w:u w:val="none"/>
                <w:lang w:val="en-US" w:eastAsia="zh-CN"/>
              </w:rPr>
              <w:t>专业</w:t>
            </w:r>
            <w:r>
              <w:rPr>
                <w:rFonts w:hint="eastAsia" w:ascii="仿宋_GB2312" w:hAnsi="Times New Roman" w:eastAsia="仿宋_GB2312" w:cs="Times New Roman"/>
                <w:sz w:val="28"/>
                <w:szCs w:val="28"/>
                <w:u w:val="none"/>
              </w:rPr>
              <w:t>培训比例</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sz w:val="28"/>
                <w:szCs w:val="28"/>
                <w:u w:val="none"/>
              </w:rPr>
              <w:t>9</w:t>
            </w:r>
            <w:r>
              <w:rPr>
                <w:rFonts w:hint="eastAsia" w:ascii="仿宋_GB2312" w:hAnsi="Times New Roman" w:eastAsia="仿宋_GB2312"/>
                <w:sz w:val="28"/>
                <w:szCs w:val="28"/>
                <w:u w:val="none"/>
                <w:lang w:val="en-US" w:eastAsia="zh-CN"/>
              </w:rPr>
              <w:t>1</w:t>
            </w:r>
            <w:r>
              <w:rPr>
                <w:rFonts w:hint="eastAsia" w:ascii="仿宋_GB2312" w:hAnsi="Times New Roman" w:eastAsia="仿宋_GB2312"/>
                <w:sz w:val="28"/>
                <w:szCs w:val="28"/>
                <w:u w:val="none"/>
              </w:rPr>
              <w:t>%</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sz w:val="28"/>
                <w:szCs w:val="28"/>
                <w:u w:val="none"/>
              </w:rPr>
              <w:t>9</w:t>
            </w:r>
            <w:r>
              <w:rPr>
                <w:rFonts w:hint="eastAsia" w:ascii="仿宋_GB2312" w:hAnsi="Times New Roman" w:eastAsia="仿宋_GB2312"/>
                <w:sz w:val="28"/>
                <w:szCs w:val="28"/>
                <w:u w:val="none"/>
                <w:lang w:val="en-US" w:eastAsia="zh-CN"/>
              </w:rPr>
              <w:t>3</w:t>
            </w:r>
            <w:r>
              <w:rPr>
                <w:rFonts w:hint="eastAsia" w:ascii="仿宋_GB2312" w:hAnsi="Times New Roman" w:eastAsia="仿宋_GB2312"/>
                <w:sz w:val="28"/>
                <w:szCs w:val="28"/>
                <w:u w:val="none"/>
              </w:rPr>
              <w:t>%</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lang w:val="en-US" w:eastAsia="zh-CN"/>
              </w:rPr>
              <w:t>95</w:t>
            </w:r>
            <w:r>
              <w:rPr>
                <w:rFonts w:hint="eastAsia" w:ascii="仿宋_GB2312" w:hAnsi="Times New Roman" w:eastAsia="仿宋_GB2312" w:cs="Times New Roman"/>
                <w:sz w:val="28"/>
                <w:szCs w:val="28"/>
                <w:u w:val="none"/>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lang w:val="en-US" w:eastAsia="zh-CN"/>
              </w:rPr>
              <w:t>预期性</w:t>
            </w:r>
          </w:p>
        </w:tc>
      </w:tr>
      <w:tr>
        <w:tblPrEx>
          <w:tblCellMar>
            <w:top w:w="0" w:type="dxa"/>
            <w:left w:w="108" w:type="dxa"/>
            <w:bottom w:w="0" w:type="dxa"/>
            <w:right w:w="108" w:type="dxa"/>
          </w:tblCellMar>
        </w:tblPrEx>
        <w:trPr>
          <w:trHeight w:val="61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lang w:eastAsia="zh-CN"/>
              </w:rPr>
            </w:pPr>
            <w:r>
              <w:rPr>
                <w:rFonts w:hint="eastAsia" w:ascii="仿宋_GB2312" w:hAnsi="Times New Roman" w:eastAsia="仿宋_GB2312" w:cs="Times New Roman"/>
                <w:sz w:val="28"/>
                <w:szCs w:val="28"/>
                <w:u w:val="none"/>
                <w:lang w:val="en-US" w:eastAsia="zh-CN"/>
              </w:rPr>
              <w:t>6</w:t>
            </w:r>
          </w:p>
        </w:tc>
        <w:tc>
          <w:tcPr>
            <w:tcW w:w="1515"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500" w:lineRule="exact"/>
              <w:jc w:val="center"/>
              <w:textAlignment w:val="center"/>
              <w:rPr>
                <w:rFonts w:hint="eastAsia"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优质护理</w:t>
            </w:r>
          </w:p>
          <w:p>
            <w:pPr>
              <w:widowControl/>
              <w:spacing w:line="500" w:lineRule="exact"/>
              <w:jc w:val="center"/>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服务</w:t>
            </w:r>
          </w:p>
        </w:tc>
        <w:tc>
          <w:tcPr>
            <w:tcW w:w="5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00" w:lineRule="exact"/>
              <w:jc w:val="both"/>
              <w:textAlignment w:val="center"/>
              <w:rPr>
                <w:rFonts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lang w:val="en-US" w:eastAsia="zh-CN"/>
              </w:rPr>
              <w:t>医疗机构</w:t>
            </w:r>
            <w:r>
              <w:rPr>
                <w:rFonts w:hint="eastAsia" w:ascii="仿宋_GB2312" w:hAnsi="Times New Roman" w:eastAsia="仿宋_GB2312" w:cs="Times New Roman"/>
                <w:sz w:val="28"/>
                <w:szCs w:val="28"/>
                <w:u w:val="none"/>
              </w:rPr>
              <w:t>开展责任制整体护理的病区占比</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00" w:lineRule="exact"/>
              <w:jc w:val="center"/>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98%</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00" w:lineRule="exact"/>
              <w:jc w:val="center"/>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99%</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00" w:lineRule="exact"/>
              <w:jc w:val="center"/>
              <w:textAlignment w:val="center"/>
              <w:rPr>
                <w:rFonts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rPr>
              <w:t>1</w:t>
            </w:r>
            <w:r>
              <w:rPr>
                <w:rFonts w:ascii="仿宋_GB2312" w:hAnsi="Times New Roman" w:eastAsia="仿宋_GB2312" w:cs="Times New Roman"/>
                <w:sz w:val="28"/>
                <w:szCs w:val="28"/>
                <w:u w:val="none"/>
              </w:rPr>
              <w:t>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00" w:lineRule="exact"/>
              <w:jc w:val="both"/>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lang w:val="en-US" w:eastAsia="zh-CN"/>
              </w:rPr>
              <w:t>预期性</w:t>
            </w:r>
          </w:p>
        </w:tc>
      </w:tr>
      <w:tr>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7</w:t>
            </w:r>
          </w:p>
        </w:tc>
        <w:tc>
          <w:tcPr>
            <w:tcW w:w="1515" w:type="dxa"/>
            <w:vMerge w:val="continue"/>
            <w:tcBorders>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lang w:val="en-US" w:eastAsia="zh-CN"/>
              </w:rPr>
            </w:pPr>
          </w:p>
        </w:tc>
        <w:tc>
          <w:tcPr>
            <w:tcW w:w="5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sz w:val="28"/>
                <w:szCs w:val="28"/>
                <w:u w:val="none"/>
              </w:rPr>
              <w:t>医疗机构</w:t>
            </w:r>
            <w:r>
              <w:rPr>
                <w:rFonts w:hint="eastAsia" w:ascii="仿宋_GB2312" w:hAnsi="Times New Roman" w:eastAsia="仿宋_GB2312" w:cs="Times New Roman"/>
                <w:sz w:val="28"/>
                <w:szCs w:val="28"/>
                <w:u w:val="none"/>
              </w:rPr>
              <w:t>提供延续性护理服务的病区占比</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逐年提高</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lang w:val="en-US" w:eastAsia="zh-CN"/>
              </w:rPr>
              <w:t>预期性</w:t>
            </w:r>
          </w:p>
        </w:tc>
      </w:tr>
      <w:tr>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8</w:t>
            </w:r>
          </w:p>
        </w:tc>
        <w:tc>
          <w:tcPr>
            <w:tcW w:w="1515" w:type="dxa"/>
            <w:vMerge w:val="restart"/>
            <w:tcBorders>
              <w:left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sz w:val="28"/>
                <w:szCs w:val="28"/>
                <w:u w:val="none"/>
                <w:lang w:val="en-US" w:eastAsia="zh-CN"/>
              </w:rPr>
            </w:pPr>
            <w:r>
              <w:rPr>
                <w:rFonts w:hint="eastAsia" w:ascii="仿宋_GB2312" w:hAnsi="Times New Roman" w:eastAsia="仿宋_GB2312"/>
                <w:sz w:val="28"/>
                <w:szCs w:val="28"/>
                <w:u w:val="none"/>
              </w:rPr>
              <w:t>“互联网+护理服务</w:t>
            </w:r>
            <w:r>
              <w:rPr>
                <w:rFonts w:hint="eastAsia" w:ascii="仿宋_GB2312" w:hAnsi="Times New Roman" w:eastAsia="仿宋_GB2312"/>
                <w:sz w:val="28"/>
                <w:szCs w:val="28"/>
                <w:u w:val="none"/>
                <w:lang w:eastAsia="zh-CN"/>
              </w:rPr>
              <w:t>”</w:t>
            </w:r>
          </w:p>
        </w:tc>
        <w:tc>
          <w:tcPr>
            <w:tcW w:w="5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lang w:val="en-US" w:eastAsia="zh-CN"/>
              </w:rPr>
              <w:t>设区市</w:t>
            </w:r>
            <w:r>
              <w:rPr>
                <w:rFonts w:hint="eastAsia" w:ascii="仿宋_GB2312" w:hAnsi="Times New Roman" w:eastAsia="仿宋_GB2312" w:cs="Times New Roman"/>
                <w:sz w:val="28"/>
                <w:szCs w:val="28"/>
                <w:u w:val="none"/>
              </w:rPr>
              <w:t>开展“互联网+护理服务”机构数量</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rPr>
              <w:t>逐年增加</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lang w:val="en-US" w:eastAsia="zh-CN"/>
              </w:rPr>
              <w:t>预期性</w:t>
            </w:r>
          </w:p>
        </w:tc>
      </w:tr>
      <w:tr>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9</w:t>
            </w:r>
          </w:p>
        </w:tc>
        <w:tc>
          <w:tcPr>
            <w:tcW w:w="1515" w:type="dxa"/>
            <w:vMerge w:val="continue"/>
            <w:tcBorders>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lang w:val="en-US" w:eastAsia="zh-CN"/>
              </w:rPr>
            </w:pPr>
          </w:p>
        </w:tc>
        <w:tc>
          <w:tcPr>
            <w:tcW w:w="5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lang w:val="en-US" w:eastAsia="zh-CN"/>
              </w:rPr>
              <w:t>医疗机构开展</w:t>
            </w:r>
            <w:r>
              <w:rPr>
                <w:rFonts w:hint="eastAsia" w:ascii="仿宋_GB2312" w:hAnsi="Times New Roman" w:eastAsia="仿宋_GB2312" w:cs="Times New Roman"/>
                <w:sz w:val="28"/>
                <w:szCs w:val="28"/>
                <w:u w:val="none"/>
              </w:rPr>
              <w:t>上门护理服务项目数量</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rPr>
              <w:t>逐年增加</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sz w:val="28"/>
                <w:szCs w:val="28"/>
                <w:u w:val="none"/>
                <w:lang w:val="en-US" w:eastAsia="zh-CN"/>
              </w:rPr>
              <w:t>预期性</w:t>
            </w:r>
          </w:p>
        </w:tc>
      </w:tr>
      <w:tr>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10</w:t>
            </w:r>
          </w:p>
        </w:tc>
        <w:tc>
          <w:tcPr>
            <w:tcW w:w="7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门诊及住院患者满意度</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逐年提高</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lang w:val="en-US" w:eastAsia="zh-CN"/>
              </w:rPr>
              <w:t>预期性</w:t>
            </w:r>
          </w:p>
        </w:tc>
      </w:tr>
      <w:tr>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11</w:t>
            </w:r>
          </w:p>
        </w:tc>
        <w:tc>
          <w:tcPr>
            <w:tcW w:w="7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住院患者跌倒</w:t>
            </w:r>
            <w:r>
              <w:rPr>
                <w:rFonts w:hint="eastAsia" w:ascii="仿宋_GB2312" w:hAnsi="Times New Roman" w:eastAsia="仿宋_GB2312"/>
                <w:sz w:val="28"/>
                <w:szCs w:val="28"/>
                <w:u w:val="none"/>
              </w:rPr>
              <w:t>（坠床）发生率</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逐年降低</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lang w:val="en-US" w:eastAsia="zh-CN"/>
              </w:rPr>
              <w:t>预期性</w:t>
            </w:r>
          </w:p>
        </w:tc>
      </w:tr>
      <w:tr>
        <w:tblPrEx>
          <w:tblCellMar>
            <w:top w:w="0" w:type="dxa"/>
            <w:left w:w="108" w:type="dxa"/>
            <w:bottom w:w="0" w:type="dxa"/>
            <w:right w:w="108" w:type="dxa"/>
          </w:tblCellMar>
        </w:tblPrEx>
        <w:trPr>
          <w:trHeight w:val="46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12</w:t>
            </w:r>
          </w:p>
        </w:tc>
        <w:tc>
          <w:tcPr>
            <w:tcW w:w="74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sz w:val="28"/>
                <w:szCs w:val="28"/>
                <w:u w:val="none"/>
              </w:rPr>
              <w:t>住院患者2期及以上院内压力性损伤发生率</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eastAsia" w:ascii="仿宋_GB2312" w:hAnsi="Times New Roman" w:eastAsia="仿宋_GB2312" w:cs="Times New Roman"/>
                <w:sz w:val="28"/>
                <w:szCs w:val="28"/>
                <w:u w:val="none"/>
              </w:rPr>
            </w:pPr>
            <w:r>
              <w:rPr>
                <w:rFonts w:hint="eastAsia" w:ascii="仿宋_GB2312" w:hAnsi="Times New Roman" w:eastAsia="仿宋_GB2312"/>
                <w:sz w:val="28"/>
                <w:szCs w:val="28"/>
                <w:u w:val="none"/>
              </w:rPr>
              <w:t>逐年降低</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both"/>
              <w:textAlignment w:val="center"/>
              <w:rPr>
                <w:rFonts w:hint="eastAsia" w:ascii="仿宋_GB2312" w:hAnsi="Times New Roman" w:eastAsia="仿宋_GB2312"/>
                <w:sz w:val="28"/>
                <w:szCs w:val="28"/>
                <w:u w:val="none"/>
              </w:rPr>
            </w:pPr>
            <w:r>
              <w:rPr>
                <w:rFonts w:hint="eastAsia" w:ascii="仿宋_GB2312" w:hAnsi="Times New Roman" w:eastAsia="仿宋_GB2312" w:cs="Times New Roman"/>
                <w:sz w:val="28"/>
                <w:szCs w:val="28"/>
                <w:u w:val="none"/>
                <w:lang w:val="en-US" w:eastAsia="zh-CN"/>
              </w:rPr>
              <w:t>预期性</w:t>
            </w:r>
          </w:p>
        </w:tc>
      </w:tr>
      <w:tr>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500" w:lineRule="exact"/>
              <w:jc w:val="center"/>
              <w:textAlignment w:val="center"/>
              <w:rPr>
                <w:rFonts w:hint="default" w:ascii="仿宋_GB2312" w:hAnsi="Times New Roman" w:eastAsia="仿宋_GB2312" w:cs="Times New Roman"/>
                <w:sz w:val="28"/>
                <w:szCs w:val="28"/>
                <w:u w:val="none"/>
                <w:lang w:val="en-US" w:eastAsia="zh-CN"/>
              </w:rPr>
            </w:pPr>
            <w:r>
              <w:rPr>
                <w:rFonts w:hint="eastAsia" w:ascii="仿宋_GB2312" w:hAnsi="Times New Roman" w:eastAsia="仿宋_GB2312" w:cs="Times New Roman"/>
                <w:sz w:val="28"/>
                <w:szCs w:val="28"/>
                <w:u w:val="none"/>
                <w:lang w:val="en-US" w:eastAsia="zh-CN"/>
              </w:rPr>
              <w:t>13</w:t>
            </w:r>
          </w:p>
        </w:tc>
        <w:tc>
          <w:tcPr>
            <w:tcW w:w="74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00" w:lineRule="exact"/>
              <w:jc w:val="both"/>
              <w:rPr>
                <w:rFonts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*护理信息系统智能功能</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00" w:lineRule="exact"/>
              <w:jc w:val="center"/>
              <w:rPr>
                <w:rFonts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rPr>
              <w:t>逐年增加</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00" w:lineRule="exact"/>
              <w:jc w:val="both"/>
              <w:rPr>
                <w:rFonts w:hint="eastAsia" w:ascii="仿宋_GB2312" w:hAnsi="Times New Roman" w:eastAsia="仿宋_GB2312" w:cs="Times New Roman"/>
                <w:sz w:val="28"/>
                <w:szCs w:val="28"/>
                <w:u w:val="none"/>
              </w:rPr>
            </w:pPr>
            <w:r>
              <w:rPr>
                <w:rFonts w:hint="eastAsia" w:ascii="仿宋_GB2312" w:hAnsi="Times New Roman" w:eastAsia="仿宋_GB2312" w:cs="Times New Roman"/>
                <w:sz w:val="28"/>
                <w:szCs w:val="28"/>
                <w:u w:val="none"/>
                <w:lang w:val="en-US" w:eastAsia="zh-CN"/>
              </w:rPr>
              <w:t>预期性</w:t>
            </w:r>
          </w:p>
        </w:tc>
      </w:tr>
      <w:tr>
        <w:tblPrEx>
          <w:tblCellMar>
            <w:top w:w="0" w:type="dxa"/>
            <w:left w:w="108" w:type="dxa"/>
            <w:bottom w:w="0" w:type="dxa"/>
            <w:right w:w="108" w:type="dxa"/>
          </w:tblCellMar>
        </w:tblPrEx>
        <w:trPr>
          <w:trHeight w:val="2280" w:hRule="atLeast"/>
          <w:jc w:val="center"/>
        </w:trPr>
        <w:tc>
          <w:tcPr>
            <w:tcW w:w="14075"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40" w:lineRule="exact"/>
              <w:jc w:val="both"/>
              <w:rPr>
                <w:rFonts w:hint="eastAsia" w:ascii="仿宋_GB2312" w:hAnsi="Times New Roman" w:eastAsia="仿宋_GB2312"/>
                <w:sz w:val="28"/>
                <w:szCs w:val="28"/>
                <w:u w:val="none"/>
              </w:rPr>
            </w:pPr>
            <w:r>
              <w:rPr>
                <w:rFonts w:hint="eastAsia" w:ascii="仿宋_GB2312" w:hAnsi="Times New Roman" w:eastAsia="仿宋_GB2312"/>
                <w:sz w:val="28"/>
                <w:szCs w:val="28"/>
                <w:u w:val="none"/>
              </w:rPr>
              <w:t>注：相关紧缺护理专业护士包括：老年护理、儿科护理、重症监护护、传染病护理、急诊急救、康复护理、中医护理、血液净化专业护士。</w:t>
            </w:r>
          </w:p>
          <w:p>
            <w:pPr>
              <w:widowControl/>
              <w:spacing w:line="440" w:lineRule="exact"/>
              <w:jc w:val="both"/>
              <w:rPr>
                <w:rFonts w:hint="eastAsia" w:ascii="仿宋_GB2312" w:hAnsi="Times New Roman" w:eastAsia="仿宋_GB2312" w:cs="Times New Roman"/>
                <w:sz w:val="28"/>
                <w:szCs w:val="28"/>
                <w:u w:val="none"/>
                <w:lang w:val="en-US" w:eastAsia="zh-CN"/>
              </w:rPr>
            </w:pPr>
            <w:r>
              <w:rPr>
                <w:rFonts w:hint="eastAsia" w:ascii="仿宋_GB2312" w:hAnsi="Times New Roman" w:eastAsia="仿宋_GB2312"/>
                <w:sz w:val="28"/>
                <w:szCs w:val="28"/>
                <w:u w:val="none"/>
              </w:rPr>
              <w:t xml:space="preserve">标注*指标包括护理记录智能录入、智能生成、护理评估、随访计划、随访量表制定、随访跟踪、随访记录、随访数据与临床数据整合、随访工作量分析、信息引用、电子签名、智能提醒、模板管理、临床护理知识库、护理病历质控整改等功能。  </w:t>
            </w:r>
          </w:p>
        </w:tc>
      </w:tr>
    </w:tbl>
    <w:p>
      <w:pPr>
        <w:tabs>
          <w:tab w:val="left" w:pos="1027"/>
        </w:tabs>
        <w:jc w:val="both"/>
        <w:rPr>
          <w:sz w:val="28"/>
          <w:szCs w:val="28"/>
          <w:u w:val="none"/>
        </w:rPr>
      </w:pPr>
    </w:p>
    <w:p>
      <w:pPr>
        <w:pStyle w:val="2"/>
        <w:rPr>
          <w:u w:val="none"/>
        </w:rPr>
        <w:sectPr>
          <w:headerReference r:id="rId5" w:type="default"/>
          <w:footerReference r:id="rId6" w:type="default"/>
          <w:pgSz w:w="16838" w:h="11906" w:orient="landscape"/>
          <w:pgMar w:top="1701" w:right="1417" w:bottom="1417" w:left="1417" w:header="851" w:footer="992" w:gutter="0"/>
          <w:paperSrc/>
          <w:pgNumType w:fmt="decimal" w:start="13"/>
          <w:cols w:space="720" w:num="1"/>
          <w:rtlGutter w:val="0"/>
          <w:docGrid w:type="lines" w:linePitch="312" w:charSpace="0"/>
        </w:sectPr>
      </w:pPr>
    </w:p>
    <w:p>
      <w:pPr>
        <w:pStyle w:val="3"/>
        <w:ind w:left="0" w:leftChars="0" w:firstLine="0" w:firstLineChars="0"/>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pStyle w:val="2"/>
        <w:rPr>
          <w:rFonts w:hint="eastAsia" w:ascii="仿宋_GB2312" w:hAnsi="仿宋_GB2312" w:eastAsia="仿宋_GB2312" w:cs="仿宋_GB2312"/>
          <w:sz w:val="32"/>
          <w:szCs w:val="32"/>
          <w:u w:val="none"/>
        </w:rPr>
      </w:pPr>
    </w:p>
    <w:p>
      <w:pPr>
        <w:pStyle w:val="3"/>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pStyle w:val="2"/>
        <w:rPr>
          <w:rFonts w:hint="eastAsia" w:ascii="仿宋_GB2312" w:hAnsi="仿宋_GB2312" w:eastAsia="仿宋_GB2312" w:cs="仿宋_GB2312"/>
          <w:sz w:val="32"/>
          <w:szCs w:val="32"/>
          <w:u w:val="none"/>
        </w:rPr>
      </w:pPr>
    </w:p>
    <w:p>
      <w:pPr>
        <w:pStyle w:val="3"/>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pStyle w:val="2"/>
        <w:rPr>
          <w:rFonts w:hint="eastAsia" w:ascii="仿宋_GB2312" w:hAnsi="仿宋_GB2312" w:eastAsia="仿宋_GB2312" w:cs="仿宋_GB2312"/>
          <w:sz w:val="32"/>
          <w:szCs w:val="32"/>
          <w:u w:val="none"/>
        </w:rPr>
      </w:pPr>
    </w:p>
    <w:p>
      <w:pPr>
        <w:pStyle w:val="3"/>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pStyle w:val="2"/>
        <w:rPr>
          <w:rFonts w:hint="eastAsia" w:ascii="仿宋_GB2312" w:hAnsi="仿宋_GB2312" w:eastAsia="仿宋_GB2312" w:cs="仿宋_GB2312"/>
          <w:sz w:val="32"/>
          <w:szCs w:val="32"/>
          <w:u w:val="none"/>
        </w:rPr>
      </w:pPr>
    </w:p>
    <w:p>
      <w:pPr>
        <w:pStyle w:val="3"/>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pStyle w:val="2"/>
        <w:rPr>
          <w:rFonts w:hint="eastAsia" w:ascii="仿宋_GB2312" w:hAnsi="仿宋_GB2312" w:eastAsia="仿宋_GB2312" w:cs="仿宋_GB2312"/>
          <w:sz w:val="32"/>
          <w:szCs w:val="32"/>
          <w:u w:val="none"/>
        </w:rPr>
      </w:pPr>
    </w:p>
    <w:p>
      <w:pPr>
        <w:pStyle w:val="3"/>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pStyle w:val="2"/>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信息公开形式：主动公开</w:t>
      </w:r>
    </w:p>
    <w:p>
      <w:pPr>
        <w:pStyle w:val="2"/>
        <w:keepNext w:val="0"/>
        <w:keepLines w:val="0"/>
        <w:pageBreakBefore w:val="0"/>
        <w:widowControl w:val="0"/>
        <w:kinsoku/>
        <w:wordWrap/>
        <w:overflowPunct/>
        <w:topLinePunct w:val="0"/>
        <w:autoSpaceDE/>
        <w:autoSpaceDN/>
        <w:bidi w:val="0"/>
        <w:adjustRightInd/>
        <w:snapToGrid/>
        <w:spacing w:line="640" w:lineRule="exact"/>
        <w:ind w:firstLine="280" w:firstLineChars="100"/>
        <w:jc w:val="both"/>
        <w:textAlignment w:val="auto"/>
        <w:rPr>
          <w:rFonts w:hint="default"/>
          <w:sz w:val="28"/>
          <w:szCs w:val="28"/>
          <w:u w:val="none"/>
          <w:lang w:val="en-US" w:eastAsia="zh-CN"/>
        </w:rPr>
      </w:pPr>
      <w:r>
        <w:rPr>
          <w:sz w:val="28"/>
          <w:u w:val="none"/>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458470</wp:posOffset>
                </wp:positionV>
                <wp:extent cx="5537200" cy="635"/>
                <wp:effectExtent l="0" t="0" r="0" b="0"/>
                <wp:wrapNone/>
                <wp:docPr id="2" name="直线 5"/>
                <wp:cNvGraphicFramePr/>
                <a:graphic xmlns:a="http://schemas.openxmlformats.org/drawingml/2006/main">
                  <a:graphicData uri="http://schemas.microsoft.com/office/word/2010/wordprocessingShape">
                    <wps:wsp>
                      <wps:cNvSpPr/>
                      <wps:spPr>
                        <a:xfrm flipV="1">
                          <a:off x="0" y="0"/>
                          <a:ext cx="5537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0.4pt;margin-top:36.1pt;height:0.05pt;width:436pt;z-index:251660288;mso-width-relative:page;mso-height-relative:page;" filled="f" stroked="t" coordsize="21600,21600" o:gfxdata="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YmFL&#10;CNQAAAAHAQAADwAAAAAAAAABACAAAAA4AAAAZHJzL2Rvd25yZXYueG1sUEsBAhQAFAAAAAgAh07i&#10;QPutU0XXAQAAmQMAAA4AAAAAAAAAAQAgAAAAOQEAAGRycy9lMm9Eb2MueG1sUEsFBgAAAAAGAAYA&#10;WQEAAIIFAAAAAA==&#10;">
                <v:fill on="f" focussize="0,0"/>
                <v:stroke color="#000000" joinstyle="round"/>
                <v:imagedata o:title=""/>
                <o:lock v:ext="edit" aspectratio="f"/>
              </v:line>
            </w:pict>
          </mc:Fallback>
        </mc:AlternateContent>
      </w:r>
      <w:r>
        <w:rPr>
          <w:sz w:val="28"/>
          <w:u w:val="none"/>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64770</wp:posOffset>
                </wp:positionV>
                <wp:extent cx="5537200" cy="635"/>
                <wp:effectExtent l="0" t="0" r="0" b="0"/>
                <wp:wrapNone/>
                <wp:docPr id="1" name="直线 4"/>
                <wp:cNvGraphicFramePr/>
                <a:graphic xmlns:a="http://schemas.openxmlformats.org/drawingml/2006/main">
                  <a:graphicData uri="http://schemas.microsoft.com/office/word/2010/wordprocessingShape">
                    <wps:wsp>
                      <wps:cNvSpPr/>
                      <wps:spPr>
                        <a:xfrm flipV="1">
                          <a:off x="0" y="0"/>
                          <a:ext cx="5537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4pt;margin-top:5.1pt;height:0.05pt;width:436pt;z-index:251659264;mso-width-relative:page;mso-height-relative:page;" filled="f" stroked="t" coordsize="21600,21600" o:gfxdata="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Jk6+XXTAAAA&#10;BwEAAA8AAAAAAAAAAQAgAAAAOAAAAGRycy9kb3ducmV2LnhtbFBLAQIUABQAAAAIAIdO4kD+gskd&#10;0wEAAJkDAAAOAAAAAAAAAAEAIAAAADg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u w:val="none"/>
          <w:lang w:eastAsia="zh-CN"/>
        </w:rPr>
        <w:t>广西壮族自治区卫生健康委办公室</w:t>
      </w:r>
      <w:r>
        <w:rPr>
          <w:rFonts w:hint="eastAsia" w:ascii="仿宋_GB2312" w:hAnsi="仿宋_GB2312" w:eastAsia="仿宋_GB2312" w:cs="仿宋_GB2312"/>
          <w:sz w:val="28"/>
          <w:szCs w:val="28"/>
          <w:u w:val="none"/>
          <w:lang w:val="en-US" w:eastAsia="zh-CN"/>
        </w:rPr>
        <w:t xml:space="preserve">        2023年9月22日印发</w:t>
      </w:r>
      <w:bookmarkStart w:id="0" w:name="_GoBack"/>
      <w:bookmarkEnd w:id="0"/>
    </w:p>
    <w:sectPr>
      <w:footerReference r:id="rId7" w:type="default"/>
      <w:pgSz w:w="11906" w:h="16838"/>
      <w:pgMar w:top="1701" w:right="1417" w:bottom="1417" w:left="1701" w:header="851" w:footer="992" w:gutter="0"/>
      <w:paperSrc/>
      <w:pgNumType w:fmt="decimal" w:start="1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swiss"/>
    <w:pitch w:val="default"/>
    <w:sig w:usb0="80000287" w:usb1="2ACF3C50" w:usb2="00000016" w:usb3="00000000" w:csb0="0004001F" w:csb1="00000000"/>
  </w:font>
  <w:font w:name="仿宋">
    <w:altName w:val="方正仿宋_GBK"/>
    <w:panose1 w:val="02010609060101010101"/>
    <w:charset w:val="00"/>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Aks8GQwgEAAHADAAAOAAAAAAAAAAEAIAAA&#10;ADQBAABkcnMvZTJvRG9jLnhtbFBLBQYAAAAABgAGAFkBAABo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宋体" w:hAnsi="宋体" w:eastAsia="宋体" w:cs="宋体"/>
                              <w:sz w:val="28"/>
                              <w:szCs w:val="44"/>
                            </w:rPr>
                          </w:pPr>
                          <w:r>
                            <w:rPr>
                              <w:rFonts w:ascii="宋体" w:hAnsi="宋体" w:cs="宋体"/>
                              <w:sz w:val="28"/>
                              <w:szCs w:val="44"/>
                            </w:rPr>
                            <w:t xml:space="preserve">— </w:t>
                          </w:r>
                          <w:r>
                            <w:rPr>
                              <w:rFonts w:ascii="宋体" w:hAnsi="宋体" w:cs="宋体"/>
                              <w:sz w:val="28"/>
                              <w:szCs w:val="44"/>
                            </w:rPr>
                            <w:fldChar w:fldCharType="begin"/>
                          </w:r>
                          <w:r>
                            <w:rPr>
                              <w:rFonts w:ascii="宋体" w:hAnsi="宋体" w:cs="宋体"/>
                              <w:sz w:val="28"/>
                              <w:szCs w:val="44"/>
                            </w:rPr>
                            <w:instrText xml:space="preserve"> PAGE  \* MERGEFORMAT </w:instrText>
                          </w:r>
                          <w:r>
                            <w:rPr>
                              <w:rFonts w:ascii="宋体" w:hAnsi="宋体" w:cs="宋体"/>
                              <w:sz w:val="28"/>
                              <w:szCs w:val="44"/>
                            </w:rPr>
                            <w:fldChar w:fldCharType="separate"/>
                          </w:r>
                          <w:r>
                            <w:rPr>
                              <w:rFonts w:ascii="宋体" w:hAnsi="宋体" w:cs="宋体"/>
                              <w:sz w:val="28"/>
                              <w:szCs w:val="44"/>
                            </w:rPr>
                            <w:t>2</w:t>
                          </w:r>
                          <w:r>
                            <w:rPr>
                              <w:rFonts w:ascii="宋体" w:hAnsi="宋体" w:cs="宋体"/>
                              <w:sz w:val="28"/>
                              <w:szCs w:val="44"/>
                            </w:rPr>
                            <w:fldChar w:fldCharType="end"/>
                          </w:r>
                          <w:r>
                            <w:rPr>
                              <w:rFonts w:ascii="宋体" w:hAnsi="宋体" w:cs="宋体"/>
                              <w:sz w:val="28"/>
                              <w:szCs w:val="44"/>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CE9WL2wgEAAHADAAAOAAAAAAAAAAEAIAAA&#10;ADQBAABkcnMvZTJvRG9jLnhtbFBLBQYAAAAABgAGAFkBAABoBQAAAAA=&#10;">
              <v:fill on="f" focussize="0,0"/>
              <v:stroke on="f"/>
              <v:imagedata o:title=""/>
              <o:lock v:ext="edit" aspectratio="f"/>
              <v:textbox inset="0mm,0mm,0mm,0mm" style="mso-fit-shape-to-text:t;">
                <w:txbxContent>
                  <w:p>
                    <w:pPr>
                      <w:pStyle w:val="6"/>
                      <w:rPr>
                        <w:rFonts w:ascii="宋体" w:hAnsi="宋体" w:eastAsia="宋体" w:cs="宋体"/>
                        <w:sz w:val="28"/>
                        <w:szCs w:val="44"/>
                      </w:rPr>
                    </w:pPr>
                    <w:r>
                      <w:rPr>
                        <w:rFonts w:ascii="宋体" w:hAnsi="宋体" w:cs="宋体"/>
                        <w:sz w:val="28"/>
                        <w:szCs w:val="44"/>
                      </w:rPr>
                      <w:t xml:space="preserve">— </w:t>
                    </w:r>
                    <w:r>
                      <w:rPr>
                        <w:rFonts w:ascii="宋体" w:hAnsi="宋体" w:cs="宋体"/>
                        <w:sz w:val="28"/>
                        <w:szCs w:val="44"/>
                      </w:rPr>
                      <w:fldChar w:fldCharType="begin"/>
                    </w:r>
                    <w:r>
                      <w:rPr>
                        <w:rFonts w:ascii="宋体" w:hAnsi="宋体" w:cs="宋体"/>
                        <w:sz w:val="28"/>
                        <w:szCs w:val="44"/>
                      </w:rPr>
                      <w:instrText xml:space="preserve"> PAGE  \* MERGEFORMAT </w:instrText>
                    </w:r>
                    <w:r>
                      <w:rPr>
                        <w:rFonts w:ascii="宋体" w:hAnsi="宋体" w:cs="宋体"/>
                        <w:sz w:val="28"/>
                        <w:szCs w:val="44"/>
                      </w:rPr>
                      <w:fldChar w:fldCharType="separate"/>
                    </w:r>
                    <w:r>
                      <w:rPr>
                        <w:rFonts w:ascii="宋体" w:hAnsi="宋体" w:cs="宋体"/>
                        <w:sz w:val="28"/>
                        <w:szCs w:val="44"/>
                      </w:rPr>
                      <w:t>2</w:t>
                    </w:r>
                    <w:r>
                      <w:rPr>
                        <w:rFonts w:ascii="宋体" w:hAnsi="宋体" w:cs="宋体"/>
                        <w:sz w:val="28"/>
                        <w:szCs w:val="44"/>
                      </w:rPr>
                      <w:fldChar w:fldCharType="end"/>
                    </w:r>
                    <w:r>
                      <w:rPr>
                        <w:rFonts w:ascii="宋体" w:hAnsi="宋体" w:cs="宋体"/>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宋体" w:hAnsi="宋体" w:eastAsia="宋体" w:cs="宋体"/>
                              <w:sz w:val="28"/>
                              <w:szCs w:val="44"/>
                            </w:rPr>
                          </w:pPr>
                          <w:r>
                            <w:rPr>
                              <w:rFonts w:ascii="宋体" w:hAnsi="宋体" w:cs="宋体"/>
                              <w:sz w:val="28"/>
                              <w:szCs w:val="44"/>
                            </w:rPr>
                            <w:t xml:space="preserve">— </w:t>
                          </w:r>
                          <w:r>
                            <w:rPr>
                              <w:rFonts w:ascii="宋体" w:hAnsi="宋体" w:cs="宋体"/>
                              <w:sz w:val="28"/>
                              <w:szCs w:val="44"/>
                            </w:rPr>
                            <w:fldChar w:fldCharType="begin"/>
                          </w:r>
                          <w:r>
                            <w:rPr>
                              <w:rFonts w:ascii="宋体" w:hAnsi="宋体" w:cs="宋体"/>
                              <w:sz w:val="28"/>
                              <w:szCs w:val="44"/>
                            </w:rPr>
                            <w:instrText xml:space="preserve"> PAGE  \* MERGEFORMAT </w:instrText>
                          </w:r>
                          <w:r>
                            <w:rPr>
                              <w:rFonts w:ascii="宋体" w:hAnsi="宋体" w:cs="宋体"/>
                              <w:sz w:val="28"/>
                              <w:szCs w:val="44"/>
                            </w:rPr>
                            <w:fldChar w:fldCharType="separate"/>
                          </w:r>
                          <w:r>
                            <w:rPr>
                              <w:rFonts w:ascii="宋体" w:hAnsi="宋体" w:cs="宋体"/>
                              <w:sz w:val="28"/>
                              <w:szCs w:val="44"/>
                            </w:rPr>
                            <w:t>13</w:t>
                          </w:r>
                          <w:r>
                            <w:rPr>
                              <w:rFonts w:ascii="宋体" w:hAnsi="宋体" w:cs="宋体"/>
                              <w:sz w:val="28"/>
                              <w:szCs w:val="44"/>
                            </w:rPr>
                            <w:fldChar w:fldCharType="end"/>
                          </w:r>
                          <w:r>
                            <w:rPr>
                              <w:rFonts w:ascii="宋体" w:hAnsi="宋体" w:cs="宋体"/>
                              <w:sz w:val="28"/>
                              <w:szCs w:val="44"/>
                            </w:rPr>
                            <w:t xml:space="preserve"> —</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Cvu/13wgEAAHADAAAOAAAAAAAAAAEAIAAA&#10;ADQBAABkcnMvZTJvRG9jLnhtbFBLBQYAAAAABgAGAFkBAABoBQAAAAA=&#10;">
              <v:fill on="f" focussize="0,0"/>
              <v:stroke on="f"/>
              <v:imagedata o:title=""/>
              <o:lock v:ext="edit" aspectratio="f"/>
              <v:textbox inset="0mm,0mm,0mm,0mm" style="mso-fit-shape-to-text:t;">
                <w:txbxContent>
                  <w:p>
                    <w:pPr>
                      <w:pStyle w:val="6"/>
                      <w:rPr>
                        <w:rFonts w:ascii="宋体" w:hAnsi="宋体" w:eastAsia="宋体" w:cs="宋体"/>
                        <w:sz w:val="28"/>
                        <w:szCs w:val="44"/>
                      </w:rPr>
                    </w:pPr>
                    <w:r>
                      <w:rPr>
                        <w:rFonts w:ascii="宋体" w:hAnsi="宋体" w:cs="宋体"/>
                        <w:sz w:val="28"/>
                        <w:szCs w:val="44"/>
                      </w:rPr>
                      <w:t xml:space="preserve">— </w:t>
                    </w:r>
                    <w:r>
                      <w:rPr>
                        <w:rFonts w:ascii="宋体" w:hAnsi="宋体" w:cs="宋体"/>
                        <w:sz w:val="28"/>
                        <w:szCs w:val="44"/>
                      </w:rPr>
                      <w:fldChar w:fldCharType="begin"/>
                    </w:r>
                    <w:r>
                      <w:rPr>
                        <w:rFonts w:ascii="宋体" w:hAnsi="宋体" w:cs="宋体"/>
                        <w:sz w:val="28"/>
                        <w:szCs w:val="44"/>
                      </w:rPr>
                      <w:instrText xml:space="preserve"> PAGE  \* MERGEFORMAT </w:instrText>
                    </w:r>
                    <w:r>
                      <w:rPr>
                        <w:rFonts w:ascii="宋体" w:hAnsi="宋体" w:cs="宋体"/>
                        <w:sz w:val="28"/>
                        <w:szCs w:val="44"/>
                      </w:rPr>
                      <w:fldChar w:fldCharType="separate"/>
                    </w:r>
                    <w:r>
                      <w:rPr>
                        <w:rFonts w:ascii="宋体" w:hAnsi="宋体" w:cs="宋体"/>
                        <w:sz w:val="28"/>
                        <w:szCs w:val="44"/>
                      </w:rPr>
                      <w:t>13</w:t>
                    </w:r>
                    <w:r>
                      <w:rPr>
                        <w:rFonts w:ascii="宋体" w:hAnsi="宋体" w:cs="宋体"/>
                        <w:sz w:val="28"/>
                        <w:szCs w:val="44"/>
                      </w:rPr>
                      <w:fldChar w:fldCharType="end"/>
                    </w:r>
                    <w:r>
                      <w:rPr>
                        <w:rFonts w:ascii="宋体" w:hAnsi="宋体" w:cs="宋体"/>
                        <w:sz w:val="28"/>
                        <w:szCs w:val="4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9"/>
  <w:displayHorizontalDrawingGridEvery w:val="1"/>
  <w:displayVerticalDrawingGridEvery w:val="2"/>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83"/>
    <w:rsid w:val="00065637"/>
    <w:rsid w:val="0009404B"/>
    <w:rsid w:val="000A0000"/>
    <w:rsid w:val="000E0257"/>
    <w:rsid w:val="00164F2B"/>
    <w:rsid w:val="0018005F"/>
    <w:rsid w:val="001B5EE4"/>
    <w:rsid w:val="001C0C5A"/>
    <w:rsid w:val="001D0193"/>
    <w:rsid w:val="001D73B5"/>
    <w:rsid w:val="0021375E"/>
    <w:rsid w:val="0022372B"/>
    <w:rsid w:val="002C3C8F"/>
    <w:rsid w:val="003CBBE0"/>
    <w:rsid w:val="003E71B8"/>
    <w:rsid w:val="003E77B7"/>
    <w:rsid w:val="00454825"/>
    <w:rsid w:val="00553A2B"/>
    <w:rsid w:val="0055DA61"/>
    <w:rsid w:val="00597FC4"/>
    <w:rsid w:val="00655765"/>
    <w:rsid w:val="00665EAE"/>
    <w:rsid w:val="0068791E"/>
    <w:rsid w:val="006B37C3"/>
    <w:rsid w:val="00754868"/>
    <w:rsid w:val="00762808"/>
    <w:rsid w:val="00766202"/>
    <w:rsid w:val="007B4F40"/>
    <w:rsid w:val="007C72C5"/>
    <w:rsid w:val="008B5B61"/>
    <w:rsid w:val="008D3137"/>
    <w:rsid w:val="00900FCB"/>
    <w:rsid w:val="00913562"/>
    <w:rsid w:val="0095062E"/>
    <w:rsid w:val="009BF45F"/>
    <w:rsid w:val="00AE2140"/>
    <w:rsid w:val="00B5812E"/>
    <w:rsid w:val="00BA7CA7"/>
    <w:rsid w:val="00BB3BDC"/>
    <w:rsid w:val="00C3718D"/>
    <w:rsid w:val="00D61156"/>
    <w:rsid w:val="00D95075"/>
    <w:rsid w:val="00EA0B95"/>
    <w:rsid w:val="013E61E2"/>
    <w:rsid w:val="019E28A6"/>
    <w:rsid w:val="020A4EE9"/>
    <w:rsid w:val="020F2EC0"/>
    <w:rsid w:val="02160F77"/>
    <w:rsid w:val="028EAD15"/>
    <w:rsid w:val="02F6660C"/>
    <w:rsid w:val="0306761C"/>
    <w:rsid w:val="03152461"/>
    <w:rsid w:val="03A24781"/>
    <w:rsid w:val="03AE46F4"/>
    <w:rsid w:val="03EE0EF6"/>
    <w:rsid w:val="03F51773"/>
    <w:rsid w:val="04136C05"/>
    <w:rsid w:val="04227261"/>
    <w:rsid w:val="042913CB"/>
    <w:rsid w:val="046ABCE0"/>
    <w:rsid w:val="04A689C2"/>
    <w:rsid w:val="04C80694"/>
    <w:rsid w:val="04DF5241"/>
    <w:rsid w:val="04FECD3A"/>
    <w:rsid w:val="050D4849"/>
    <w:rsid w:val="05173E7D"/>
    <w:rsid w:val="05176914"/>
    <w:rsid w:val="051A1756"/>
    <w:rsid w:val="05233089"/>
    <w:rsid w:val="054364BD"/>
    <w:rsid w:val="05714345"/>
    <w:rsid w:val="0585D287"/>
    <w:rsid w:val="05A88C0A"/>
    <w:rsid w:val="05CF7786"/>
    <w:rsid w:val="061D670C"/>
    <w:rsid w:val="06604E4C"/>
    <w:rsid w:val="06C4F5F4"/>
    <w:rsid w:val="06CD509A"/>
    <w:rsid w:val="06D01FD2"/>
    <w:rsid w:val="06FC0970"/>
    <w:rsid w:val="07164F98"/>
    <w:rsid w:val="072746AC"/>
    <w:rsid w:val="0732BACF"/>
    <w:rsid w:val="0740B61E"/>
    <w:rsid w:val="0769AA53"/>
    <w:rsid w:val="077E39D7"/>
    <w:rsid w:val="07B47AC6"/>
    <w:rsid w:val="07BFC336"/>
    <w:rsid w:val="07D433FC"/>
    <w:rsid w:val="07D4527E"/>
    <w:rsid w:val="07EED186"/>
    <w:rsid w:val="07FA3C53"/>
    <w:rsid w:val="08151B95"/>
    <w:rsid w:val="088A20B8"/>
    <w:rsid w:val="08A87EC4"/>
    <w:rsid w:val="08E59AA4"/>
    <w:rsid w:val="08ED1415"/>
    <w:rsid w:val="091D7C2C"/>
    <w:rsid w:val="0985D3C8"/>
    <w:rsid w:val="09B72FD5"/>
    <w:rsid w:val="0A68044A"/>
    <w:rsid w:val="0ACC0D02"/>
    <w:rsid w:val="0AE4BEB5"/>
    <w:rsid w:val="0B166D51"/>
    <w:rsid w:val="0B4A0F5A"/>
    <w:rsid w:val="0B8BEEE1"/>
    <w:rsid w:val="0C3A5390"/>
    <w:rsid w:val="0C5CDDD7"/>
    <w:rsid w:val="0C764AB8"/>
    <w:rsid w:val="0C787E9B"/>
    <w:rsid w:val="0C79253B"/>
    <w:rsid w:val="0C97B368"/>
    <w:rsid w:val="0D38EA71"/>
    <w:rsid w:val="0D3B0F0F"/>
    <w:rsid w:val="0D3E3CE2"/>
    <w:rsid w:val="0DA931DE"/>
    <w:rsid w:val="0DDEC760"/>
    <w:rsid w:val="0DEF5FA6"/>
    <w:rsid w:val="0E0F1632"/>
    <w:rsid w:val="0E26473C"/>
    <w:rsid w:val="0E3CA3F1"/>
    <w:rsid w:val="0E63ABF2"/>
    <w:rsid w:val="0E7A4242"/>
    <w:rsid w:val="0E82E077"/>
    <w:rsid w:val="0EBF2E48"/>
    <w:rsid w:val="0EDBF0E4"/>
    <w:rsid w:val="0EEC0C3F"/>
    <w:rsid w:val="0F27E9A4"/>
    <w:rsid w:val="0F475706"/>
    <w:rsid w:val="0F6754CF"/>
    <w:rsid w:val="0FAA478E"/>
    <w:rsid w:val="0FC3699B"/>
    <w:rsid w:val="10505F32"/>
    <w:rsid w:val="10922838"/>
    <w:rsid w:val="10C01785"/>
    <w:rsid w:val="10DA361B"/>
    <w:rsid w:val="10DEBB13"/>
    <w:rsid w:val="10EB9355"/>
    <w:rsid w:val="113E0E96"/>
    <w:rsid w:val="114E261E"/>
    <w:rsid w:val="11B3376B"/>
    <w:rsid w:val="11B6212F"/>
    <w:rsid w:val="1235D1D5"/>
    <w:rsid w:val="123CF505"/>
    <w:rsid w:val="12A83E03"/>
    <w:rsid w:val="12BCF762"/>
    <w:rsid w:val="12C0CF3D"/>
    <w:rsid w:val="12F7AB33"/>
    <w:rsid w:val="13564A3B"/>
    <w:rsid w:val="1359A42F"/>
    <w:rsid w:val="135C76FC"/>
    <w:rsid w:val="13AC5D7B"/>
    <w:rsid w:val="1454ED13"/>
    <w:rsid w:val="145A737F"/>
    <w:rsid w:val="14784A9B"/>
    <w:rsid w:val="147CAA3F"/>
    <w:rsid w:val="14B20F69"/>
    <w:rsid w:val="14C236BF"/>
    <w:rsid w:val="14EF7A1A"/>
    <w:rsid w:val="14F153FB"/>
    <w:rsid w:val="14FCC948"/>
    <w:rsid w:val="154749A7"/>
    <w:rsid w:val="155F7604"/>
    <w:rsid w:val="1562FB8A"/>
    <w:rsid w:val="1571F640"/>
    <w:rsid w:val="15D73C01"/>
    <w:rsid w:val="16A3587A"/>
    <w:rsid w:val="16E81169"/>
    <w:rsid w:val="173760EA"/>
    <w:rsid w:val="177C7B4C"/>
    <w:rsid w:val="17C2C21D"/>
    <w:rsid w:val="17CD85DF"/>
    <w:rsid w:val="17F05ADE"/>
    <w:rsid w:val="181C1742"/>
    <w:rsid w:val="182E6B59"/>
    <w:rsid w:val="18D61DD5"/>
    <w:rsid w:val="18FA3AAC"/>
    <w:rsid w:val="1910625E"/>
    <w:rsid w:val="1935B98C"/>
    <w:rsid w:val="196C60B3"/>
    <w:rsid w:val="19B1359D"/>
    <w:rsid w:val="19B36BE0"/>
    <w:rsid w:val="19D0740C"/>
    <w:rsid w:val="19D379B8"/>
    <w:rsid w:val="19F93196"/>
    <w:rsid w:val="1A5F73B4"/>
    <w:rsid w:val="1A8C0798"/>
    <w:rsid w:val="1A99C2F7"/>
    <w:rsid w:val="1ADF84B5"/>
    <w:rsid w:val="1AF61D9F"/>
    <w:rsid w:val="1B1A0091"/>
    <w:rsid w:val="1B506DE6"/>
    <w:rsid w:val="1B5BF058"/>
    <w:rsid w:val="1BF462F4"/>
    <w:rsid w:val="1C0167A4"/>
    <w:rsid w:val="1C1EAD71"/>
    <w:rsid w:val="1C89ECA5"/>
    <w:rsid w:val="1CCC4B92"/>
    <w:rsid w:val="1D183933"/>
    <w:rsid w:val="1D20B409"/>
    <w:rsid w:val="1D532BBD"/>
    <w:rsid w:val="1DBA39E3"/>
    <w:rsid w:val="1E1F5CD4"/>
    <w:rsid w:val="1E8830A0"/>
    <w:rsid w:val="1EC052BE"/>
    <w:rsid w:val="1ED32C7A"/>
    <w:rsid w:val="1F032D68"/>
    <w:rsid w:val="1F3C92F1"/>
    <w:rsid w:val="1F3DED3F"/>
    <w:rsid w:val="1F795874"/>
    <w:rsid w:val="1F9697D9"/>
    <w:rsid w:val="1FB38B12"/>
    <w:rsid w:val="1FC8F402"/>
    <w:rsid w:val="1FEB790F"/>
    <w:rsid w:val="1FF22B62"/>
    <w:rsid w:val="200A7B0D"/>
    <w:rsid w:val="20523AFF"/>
    <w:rsid w:val="20672DC6"/>
    <w:rsid w:val="207D067D"/>
    <w:rsid w:val="20EE3240"/>
    <w:rsid w:val="20FCA78B"/>
    <w:rsid w:val="213D532B"/>
    <w:rsid w:val="214E6266"/>
    <w:rsid w:val="21556294"/>
    <w:rsid w:val="21A17AB5"/>
    <w:rsid w:val="21CDF960"/>
    <w:rsid w:val="21DD3849"/>
    <w:rsid w:val="21DE15EF"/>
    <w:rsid w:val="21DE20A6"/>
    <w:rsid w:val="2242DBFC"/>
    <w:rsid w:val="226C2DA8"/>
    <w:rsid w:val="22A94777"/>
    <w:rsid w:val="22E9198C"/>
    <w:rsid w:val="22EF73B1"/>
    <w:rsid w:val="22FFB567"/>
    <w:rsid w:val="230159BB"/>
    <w:rsid w:val="2317B5AB"/>
    <w:rsid w:val="2354671D"/>
    <w:rsid w:val="23609000"/>
    <w:rsid w:val="23865A9B"/>
    <w:rsid w:val="23D497FC"/>
    <w:rsid w:val="2405F488"/>
    <w:rsid w:val="24627498"/>
    <w:rsid w:val="246B857C"/>
    <w:rsid w:val="25141186"/>
    <w:rsid w:val="257F09F3"/>
    <w:rsid w:val="25801073"/>
    <w:rsid w:val="258CCE02"/>
    <w:rsid w:val="25DA6708"/>
    <w:rsid w:val="260A05A1"/>
    <w:rsid w:val="261C26E6"/>
    <w:rsid w:val="262E0722"/>
    <w:rsid w:val="269331EB"/>
    <w:rsid w:val="269A360B"/>
    <w:rsid w:val="26B9C952"/>
    <w:rsid w:val="26BFEA15"/>
    <w:rsid w:val="26D72348"/>
    <w:rsid w:val="26E6ACF7"/>
    <w:rsid w:val="27016452"/>
    <w:rsid w:val="27A44741"/>
    <w:rsid w:val="27EE0802"/>
    <w:rsid w:val="27FD5941"/>
    <w:rsid w:val="28076C4C"/>
    <w:rsid w:val="2856A022"/>
    <w:rsid w:val="288E7C2C"/>
    <w:rsid w:val="28A95D87"/>
    <w:rsid w:val="28B12403"/>
    <w:rsid w:val="29271329"/>
    <w:rsid w:val="292A3AA3"/>
    <w:rsid w:val="29D0E360"/>
    <w:rsid w:val="29E634BC"/>
    <w:rsid w:val="29E9305F"/>
    <w:rsid w:val="29F8727E"/>
    <w:rsid w:val="2A3E118E"/>
    <w:rsid w:val="2AD0D86E"/>
    <w:rsid w:val="2AF5354F"/>
    <w:rsid w:val="2B19D7DF"/>
    <w:rsid w:val="2B1A02D2"/>
    <w:rsid w:val="2BA07916"/>
    <w:rsid w:val="2BF24FDC"/>
    <w:rsid w:val="2C2C679F"/>
    <w:rsid w:val="2C2F02F7"/>
    <w:rsid w:val="2C551632"/>
    <w:rsid w:val="2C7E2251"/>
    <w:rsid w:val="2CE37ABA"/>
    <w:rsid w:val="2CEF798A"/>
    <w:rsid w:val="2CF5BE19"/>
    <w:rsid w:val="2D0B0DBF"/>
    <w:rsid w:val="2D279AE7"/>
    <w:rsid w:val="2D4EBB37"/>
    <w:rsid w:val="2D8D4352"/>
    <w:rsid w:val="2D931E0B"/>
    <w:rsid w:val="2DF67353"/>
    <w:rsid w:val="2E165AF9"/>
    <w:rsid w:val="2E271E31"/>
    <w:rsid w:val="2E2A8151"/>
    <w:rsid w:val="2E4F43FC"/>
    <w:rsid w:val="2E76EF64"/>
    <w:rsid w:val="2EB7E717"/>
    <w:rsid w:val="2EB8CA66"/>
    <w:rsid w:val="2EC0DB4B"/>
    <w:rsid w:val="2ED438FE"/>
    <w:rsid w:val="2EE5271E"/>
    <w:rsid w:val="2EE7D050"/>
    <w:rsid w:val="2F931227"/>
    <w:rsid w:val="2F994DA8"/>
    <w:rsid w:val="30271A44"/>
    <w:rsid w:val="303A20E7"/>
    <w:rsid w:val="30503CEC"/>
    <w:rsid w:val="306C677D"/>
    <w:rsid w:val="30934E27"/>
    <w:rsid w:val="30F112E4"/>
    <w:rsid w:val="31002918"/>
    <w:rsid w:val="310C0A5C"/>
    <w:rsid w:val="317DBA1F"/>
    <w:rsid w:val="31D17E14"/>
    <w:rsid w:val="31F75BE8"/>
    <w:rsid w:val="33337885"/>
    <w:rsid w:val="337857EE"/>
    <w:rsid w:val="338A924C"/>
    <w:rsid w:val="33CE5B5D"/>
    <w:rsid w:val="33F15932"/>
    <w:rsid w:val="341FCBF9"/>
    <w:rsid w:val="345A63B7"/>
    <w:rsid w:val="34909B25"/>
    <w:rsid w:val="35043749"/>
    <w:rsid w:val="352D3C75"/>
    <w:rsid w:val="354ACDEA"/>
    <w:rsid w:val="355157DD"/>
    <w:rsid w:val="357C767A"/>
    <w:rsid w:val="357E1ADA"/>
    <w:rsid w:val="35A91DB5"/>
    <w:rsid w:val="361940DD"/>
    <w:rsid w:val="36C000C7"/>
    <w:rsid w:val="36D9C4C4"/>
    <w:rsid w:val="36E15CD6"/>
    <w:rsid w:val="36FF6C94"/>
    <w:rsid w:val="37217B5C"/>
    <w:rsid w:val="37233DAF"/>
    <w:rsid w:val="374C067F"/>
    <w:rsid w:val="377E3AD8"/>
    <w:rsid w:val="3787E1F0"/>
    <w:rsid w:val="38306189"/>
    <w:rsid w:val="383CB498"/>
    <w:rsid w:val="3908F399"/>
    <w:rsid w:val="39123D9B"/>
    <w:rsid w:val="3947D0AA"/>
    <w:rsid w:val="394967B1"/>
    <w:rsid w:val="394C8CB2"/>
    <w:rsid w:val="395987E3"/>
    <w:rsid w:val="397855D8"/>
    <w:rsid w:val="3985C86D"/>
    <w:rsid w:val="39A70BF2"/>
    <w:rsid w:val="39BD1F51"/>
    <w:rsid w:val="39CECA24"/>
    <w:rsid w:val="39D734F3"/>
    <w:rsid w:val="3A0B0650"/>
    <w:rsid w:val="3A5C01C7"/>
    <w:rsid w:val="3A8C3DF1"/>
    <w:rsid w:val="3A973B8B"/>
    <w:rsid w:val="3AA69E28"/>
    <w:rsid w:val="3AC57480"/>
    <w:rsid w:val="3BC626A0"/>
    <w:rsid w:val="3BD01B51"/>
    <w:rsid w:val="3BDE0CCA"/>
    <w:rsid w:val="3BDE92A1"/>
    <w:rsid w:val="3BF0D7E6"/>
    <w:rsid w:val="3BF6B1E3"/>
    <w:rsid w:val="3C63545D"/>
    <w:rsid w:val="3C841CFF"/>
    <w:rsid w:val="3CBE77DC"/>
    <w:rsid w:val="3CCF58D1"/>
    <w:rsid w:val="3CEC3242"/>
    <w:rsid w:val="3CF719D1"/>
    <w:rsid w:val="3D386167"/>
    <w:rsid w:val="3DAA72CE"/>
    <w:rsid w:val="3DB43DC7"/>
    <w:rsid w:val="3E0472BD"/>
    <w:rsid w:val="3E46434D"/>
    <w:rsid w:val="3E52473C"/>
    <w:rsid w:val="3E903F17"/>
    <w:rsid w:val="3EC2FFBA"/>
    <w:rsid w:val="3ED58FDC"/>
    <w:rsid w:val="3EDB132B"/>
    <w:rsid w:val="3EEC3343"/>
    <w:rsid w:val="3EF04643"/>
    <w:rsid w:val="3F052A21"/>
    <w:rsid w:val="3F228303"/>
    <w:rsid w:val="3F2A64CF"/>
    <w:rsid w:val="3F424B14"/>
    <w:rsid w:val="3F6F8BD2"/>
    <w:rsid w:val="3F7487B5"/>
    <w:rsid w:val="3F7D470E"/>
    <w:rsid w:val="3FB5717E"/>
    <w:rsid w:val="3FE8BE9E"/>
    <w:rsid w:val="4036FFD5"/>
    <w:rsid w:val="40716B94"/>
    <w:rsid w:val="40C52B6D"/>
    <w:rsid w:val="40C6B81F"/>
    <w:rsid w:val="40D588FF"/>
    <w:rsid w:val="40EA1C0C"/>
    <w:rsid w:val="40F313D3"/>
    <w:rsid w:val="4123A28E"/>
    <w:rsid w:val="413466DE"/>
    <w:rsid w:val="41D7A949"/>
    <w:rsid w:val="41D93BE5"/>
    <w:rsid w:val="42235003"/>
    <w:rsid w:val="422BB7A3"/>
    <w:rsid w:val="424317AC"/>
    <w:rsid w:val="424C3B14"/>
    <w:rsid w:val="426DABF1"/>
    <w:rsid w:val="42937195"/>
    <w:rsid w:val="42AEBA92"/>
    <w:rsid w:val="42E44134"/>
    <w:rsid w:val="432FCC82"/>
    <w:rsid w:val="433C7CB5"/>
    <w:rsid w:val="43630E60"/>
    <w:rsid w:val="43716276"/>
    <w:rsid w:val="43AB45E9"/>
    <w:rsid w:val="442F4CEF"/>
    <w:rsid w:val="448D0442"/>
    <w:rsid w:val="44B518E4"/>
    <w:rsid w:val="44C1C3F8"/>
    <w:rsid w:val="44C5E168"/>
    <w:rsid w:val="44CE91E2"/>
    <w:rsid w:val="44DA4B82"/>
    <w:rsid w:val="44FC1C5A"/>
    <w:rsid w:val="45047B1F"/>
    <w:rsid w:val="455C6B0D"/>
    <w:rsid w:val="45686241"/>
    <w:rsid w:val="4580491A"/>
    <w:rsid w:val="458115EA"/>
    <w:rsid w:val="45C37135"/>
    <w:rsid w:val="45E3A163"/>
    <w:rsid w:val="45FAE656"/>
    <w:rsid w:val="4602728A"/>
    <w:rsid w:val="465DE0DC"/>
    <w:rsid w:val="46962DC5"/>
    <w:rsid w:val="46B35F60"/>
    <w:rsid w:val="475AD921"/>
    <w:rsid w:val="476C0266"/>
    <w:rsid w:val="47756568"/>
    <w:rsid w:val="47AF2977"/>
    <w:rsid w:val="4823FD14"/>
    <w:rsid w:val="485A3AD7"/>
    <w:rsid w:val="48633A9E"/>
    <w:rsid w:val="487103D1"/>
    <w:rsid w:val="4893DB7C"/>
    <w:rsid w:val="48CED627"/>
    <w:rsid w:val="48E05F01"/>
    <w:rsid w:val="49843F7B"/>
    <w:rsid w:val="499B58DA"/>
    <w:rsid w:val="499D6E0A"/>
    <w:rsid w:val="49B760FE"/>
    <w:rsid w:val="4A323E91"/>
    <w:rsid w:val="4A442959"/>
    <w:rsid w:val="4A61D4AF"/>
    <w:rsid w:val="4A7E09CA"/>
    <w:rsid w:val="4A82395F"/>
    <w:rsid w:val="4ACCB223"/>
    <w:rsid w:val="4AF10BBF"/>
    <w:rsid w:val="4AF35C81"/>
    <w:rsid w:val="4B00FF13"/>
    <w:rsid w:val="4B021A1F"/>
    <w:rsid w:val="4B1E3227"/>
    <w:rsid w:val="4B1F2C5B"/>
    <w:rsid w:val="4B3B68BB"/>
    <w:rsid w:val="4B5A03BC"/>
    <w:rsid w:val="4BA6642B"/>
    <w:rsid w:val="4BB8C97D"/>
    <w:rsid w:val="4BFF2C08"/>
    <w:rsid w:val="4C4D626A"/>
    <w:rsid w:val="4C831D18"/>
    <w:rsid w:val="4C89919B"/>
    <w:rsid w:val="4CE7F37A"/>
    <w:rsid w:val="4D3BD660"/>
    <w:rsid w:val="4D54AF35"/>
    <w:rsid w:val="4D6C0FAE"/>
    <w:rsid w:val="4D824B3D"/>
    <w:rsid w:val="4DBE5CB3"/>
    <w:rsid w:val="4E0E23CD"/>
    <w:rsid w:val="4E147424"/>
    <w:rsid w:val="4E240359"/>
    <w:rsid w:val="4E95D152"/>
    <w:rsid w:val="4EF272A7"/>
    <w:rsid w:val="4F2F88FF"/>
    <w:rsid w:val="4FCFD921"/>
    <w:rsid w:val="50A909D3"/>
    <w:rsid w:val="50BC224C"/>
    <w:rsid w:val="50D7394E"/>
    <w:rsid w:val="50DE0415"/>
    <w:rsid w:val="51387BBE"/>
    <w:rsid w:val="515A9B08"/>
    <w:rsid w:val="51A66F90"/>
    <w:rsid w:val="525EBAC3"/>
    <w:rsid w:val="52673C4B"/>
    <w:rsid w:val="5277C470"/>
    <w:rsid w:val="52AFFC62"/>
    <w:rsid w:val="52E6BC6B"/>
    <w:rsid w:val="531EC65C"/>
    <w:rsid w:val="53266DF5"/>
    <w:rsid w:val="53B03160"/>
    <w:rsid w:val="53C102A5"/>
    <w:rsid w:val="5457AE4F"/>
    <w:rsid w:val="54BF6638"/>
    <w:rsid w:val="54F9F726"/>
    <w:rsid w:val="5547EAEF"/>
    <w:rsid w:val="558D0CD5"/>
    <w:rsid w:val="55CD2C30"/>
    <w:rsid w:val="55CE6CAA"/>
    <w:rsid w:val="55DE69AA"/>
    <w:rsid w:val="56156687"/>
    <w:rsid w:val="5631B228"/>
    <w:rsid w:val="5642F7D5"/>
    <w:rsid w:val="564C7BCE"/>
    <w:rsid w:val="56CC0E9C"/>
    <w:rsid w:val="56FB186C"/>
    <w:rsid w:val="571F9A4E"/>
    <w:rsid w:val="572E6147"/>
    <w:rsid w:val="57B68C1D"/>
    <w:rsid w:val="57B7891F"/>
    <w:rsid w:val="57BE8452"/>
    <w:rsid w:val="57EFBDA7"/>
    <w:rsid w:val="57FF21B1"/>
    <w:rsid w:val="580CFFE3"/>
    <w:rsid w:val="58BBE972"/>
    <w:rsid w:val="5901744A"/>
    <w:rsid w:val="590C34F9"/>
    <w:rsid w:val="595AC03E"/>
    <w:rsid w:val="5970E412"/>
    <w:rsid w:val="5977B631"/>
    <w:rsid w:val="597E40A9"/>
    <w:rsid w:val="599975CF"/>
    <w:rsid w:val="599F75AB"/>
    <w:rsid w:val="59BB5153"/>
    <w:rsid w:val="59C7413C"/>
    <w:rsid w:val="59CAA15D"/>
    <w:rsid w:val="5A15DFCC"/>
    <w:rsid w:val="5AA8C438"/>
    <w:rsid w:val="5AB7789B"/>
    <w:rsid w:val="5AC4067B"/>
    <w:rsid w:val="5AD7215D"/>
    <w:rsid w:val="5B013796"/>
    <w:rsid w:val="5B0ACF9A"/>
    <w:rsid w:val="5B666992"/>
    <w:rsid w:val="5B883103"/>
    <w:rsid w:val="5B9637BE"/>
    <w:rsid w:val="5B9EA302"/>
    <w:rsid w:val="5C875E04"/>
    <w:rsid w:val="5C8AEC8C"/>
    <w:rsid w:val="5CF39871"/>
    <w:rsid w:val="5CFFB5F6"/>
    <w:rsid w:val="5D2ABA7B"/>
    <w:rsid w:val="5DEB5FDE"/>
    <w:rsid w:val="5DF23751"/>
    <w:rsid w:val="5E34EF89"/>
    <w:rsid w:val="5E47C5E5"/>
    <w:rsid w:val="5E53BABC"/>
    <w:rsid w:val="5EBC1C56"/>
    <w:rsid w:val="5ED16E7C"/>
    <w:rsid w:val="5EEE97B2"/>
    <w:rsid w:val="5EEE97CF"/>
    <w:rsid w:val="5EF4122E"/>
    <w:rsid w:val="5F14CC00"/>
    <w:rsid w:val="5F335AED"/>
    <w:rsid w:val="5F393FAB"/>
    <w:rsid w:val="5F6E242C"/>
    <w:rsid w:val="5F7350DB"/>
    <w:rsid w:val="5F7973A8"/>
    <w:rsid w:val="5FCEAD1D"/>
    <w:rsid w:val="5FCF98A3"/>
    <w:rsid w:val="5FFD85A4"/>
    <w:rsid w:val="5FFDCC30"/>
    <w:rsid w:val="60041243"/>
    <w:rsid w:val="60085882"/>
    <w:rsid w:val="60237A3B"/>
    <w:rsid w:val="602A278E"/>
    <w:rsid w:val="603C4E75"/>
    <w:rsid w:val="606BE2DC"/>
    <w:rsid w:val="6099D120"/>
    <w:rsid w:val="60BD01C5"/>
    <w:rsid w:val="60F03C0B"/>
    <w:rsid w:val="60F92D5F"/>
    <w:rsid w:val="60FFD550"/>
    <w:rsid w:val="610E4D9D"/>
    <w:rsid w:val="611C60B1"/>
    <w:rsid w:val="613BC5AA"/>
    <w:rsid w:val="614DBDB7"/>
    <w:rsid w:val="6151A78E"/>
    <w:rsid w:val="6155B8EA"/>
    <w:rsid w:val="61A649A6"/>
    <w:rsid w:val="61C05E73"/>
    <w:rsid w:val="61CD3E96"/>
    <w:rsid w:val="61E35677"/>
    <w:rsid w:val="61E8454B"/>
    <w:rsid w:val="62020F30"/>
    <w:rsid w:val="62168DD8"/>
    <w:rsid w:val="6216FE7F"/>
    <w:rsid w:val="627617F9"/>
    <w:rsid w:val="627C183B"/>
    <w:rsid w:val="62A9C298"/>
    <w:rsid w:val="62BA09A8"/>
    <w:rsid w:val="62E08A69"/>
    <w:rsid w:val="62F398FC"/>
    <w:rsid w:val="62FF7029"/>
    <w:rsid w:val="630589C7"/>
    <w:rsid w:val="6363D2C2"/>
    <w:rsid w:val="6364AD4E"/>
    <w:rsid w:val="63740259"/>
    <w:rsid w:val="6396F48B"/>
    <w:rsid w:val="63D2BCA6"/>
    <w:rsid w:val="63EA7CD7"/>
    <w:rsid w:val="6425747F"/>
    <w:rsid w:val="645716C8"/>
    <w:rsid w:val="647F41B9"/>
    <w:rsid w:val="64FF5503"/>
    <w:rsid w:val="64FFEE3A"/>
    <w:rsid w:val="65266370"/>
    <w:rsid w:val="652A7EBE"/>
    <w:rsid w:val="652CBAEF"/>
    <w:rsid w:val="653C728F"/>
    <w:rsid w:val="6599EF93"/>
    <w:rsid w:val="65BA3EB5"/>
    <w:rsid w:val="65BF6138"/>
    <w:rsid w:val="65D8777F"/>
    <w:rsid w:val="65FFC87A"/>
    <w:rsid w:val="66287D10"/>
    <w:rsid w:val="6694B160"/>
    <w:rsid w:val="669B5389"/>
    <w:rsid w:val="66B436D4"/>
    <w:rsid w:val="67193AFD"/>
    <w:rsid w:val="675A44DC"/>
    <w:rsid w:val="678F1FD2"/>
    <w:rsid w:val="67CDAFAD"/>
    <w:rsid w:val="68541B47"/>
    <w:rsid w:val="688856AB"/>
    <w:rsid w:val="689E8AF8"/>
    <w:rsid w:val="68BE6BE1"/>
    <w:rsid w:val="68BFE6DC"/>
    <w:rsid w:val="69343A7B"/>
    <w:rsid w:val="693764BC"/>
    <w:rsid w:val="694A1939"/>
    <w:rsid w:val="69533C06"/>
    <w:rsid w:val="69C42E19"/>
    <w:rsid w:val="6A4150AF"/>
    <w:rsid w:val="6A594B38"/>
    <w:rsid w:val="6A7C75DA"/>
    <w:rsid w:val="6AE508C6"/>
    <w:rsid w:val="6AEE1146"/>
    <w:rsid w:val="6B736E6B"/>
    <w:rsid w:val="6B7B3906"/>
    <w:rsid w:val="6B9660DC"/>
    <w:rsid w:val="6BB1D126"/>
    <w:rsid w:val="6BC41AB0"/>
    <w:rsid w:val="6C40F01A"/>
    <w:rsid w:val="6C97A312"/>
    <w:rsid w:val="6CE47B47"/>
    <w:rsid w:val="6D406E84"/>
    <w:rsid w:val="6DA38C20"/>
    <w:rsid w:val="6DD44130"/>
    <w:rsid w:val="6E5CC0EE"/>
    <w:rsid w:val="6E8C1058"/>
    <w:rsid w:val="6F2F101B"/>
    <w:rsid w:val="6F3074BE"/>
    <w:rsid w:val="6F4167A4"/>
    <w:rsid w:val="6F5F1535"/>
    <w:rsid w:val="6F89DE14"/>
    <w:rsid w:val="6F9C52CB"/>
    <w:rsid w:val="6FA27298"/>
    <w:rsid w:val="6FBF92F4"/>
    <w:rsid w:val="6FDE842D"/>
    <w:rsid w:val="70032BA7"/>
    <w:rsid w:val="70041D30"/>
    <w:rsid w:val="703D3F4C"/>
    <w:rsid w:val="70685CF4"/>
    <w:rsid w:val="70B477C0"/>
    <w:rsid w:val="70FC24C5"/>
    <w:rsid w:val="71312DDF"/>
    <w:rsid w:val="7144888E"/>
    <w:rsid w:val="716F2C97"/>
    <w:rsid w:val="71771B4C"/>
    <w:rsid w:val="71986713"/>
    <w:rsid w:val="71AB5C99"/>
    <w:rsid w:val="71EC078C"/>
    <w:rsid w:val="71F39710"/>
    <w:rsid w:val="7242BC6A"/>
    <w:rsid w:val="7346A76D"/>
    <w:rsid w:val="73BA04F4"/>
    <w:rsid w:val="73CB617F"/>
    <w:rsid w:val="73F5FB17"/>
    <w:rsid w:val="73FAC24E"/>
    <w:rsid w:val="74235F0C"/>
    <w:rsid w:val="742A1558"/>
    <w:rsid w:val="742F5B33"/>
    <w:rsid w:val="744A248C"/>
    <w:rsid w:val="748F3650"/>
    <w:rsid w:val="74B762FD"/>
    <w:rsid w:val="75407BAF"/>
    <w:rsid w:val="75455BBE"/>
    <w:rsid w:val="7572440E"/>
    <w:rsid w:val="75A6B299"/>
    <w:rsid w:val="75E22D9C"/>
    <w:rsid w:val="76142220"/>
    <w:rsid w:val="7634062C"/>
    <w:rsid w:val="767CE747"/>
    <w:rsid w:val="769CF24F"/>
    <w:rsid w:val="76C0D69D"/>
    <w:rsid w:val="7737F640"/>
    <w:rsid w:val="776B6451"/>
    <w:rsid w:val="7776002F"/>
    <w:rsid w:val="777600B8"/>
    <w:rsid w:val="7791A96A"/>
    <w:rsid w:val="77DE32F8"/>
    <w:rsid w:val="77EFE271"/>
    <w:rsid w:val="77F74AE4"/>
    <w:rsid w:val="77FA5621"/>
    <w:rsid w:val="783F04BC"/>
    <w:rsid w:val="78D43D28"/>
    <w:rsid w:val="795E1E96"/>
    <w:rsid w:val="79FE9246"/>
    <w:rsid w:val="7A7B50B2"/>
    <w:rsid w:val="7A9D8EEB"/>
    <w:rsid w:val="7AC07FE5"/>
    <w:rsid w:val="7ACF47A6"/>
    <w:rsid w:val="7AD0C878"/>
    <w:rsid w:val="7B14C227"/>
    <w:rsid w:val="7B4CE568"/>
    <w:rsid w:val="7B4FF638"/>
    <w:rsid w:val="7B87AE0D"/>
    <w:rsid w:val="7BCC50F8"/>
    <w:rsid w:val="7BEA293B"/>
    <w:rsid w:val="7C03154E"/>
    <w:rsid w:val="7C115A49"/>
    <w:rsid w:val="7CDC5098"/>
    <w:rsid w:val="7D24EC4B"/>
    <w:rsid w:val="7D637E12"/>
    <w:rsid w:val="7D842081"/>
    <w:rsid w:val="7DE02EBA"/>
    <w:rsid w:val="7DFBA1FE"/>
    <w:rsid w:val="7E0429B9"/>
    <w:rsid w:val="7E58E45C"/>
    <w:rsid w:val="7EAAE1D5"/>
    <w:rsid w:val="7EB40646"/>
    <w:rsid w:val="7EC42148"/>
    <w:rsid w:val="7ECCD0BE"/>
    <w:rsid w:val="7ED423B2"/>
    <w:rsid w:val="7EDA708F"/>
    <w:rsid w:val="7F126AF6"/>
    <w:rsid w:val="7F240605"/>
    <w:rsid w:val="7F923FCB"/>
    <w:rsid w:val="7FA5ACD6"/>
    <w:rsid w:val="7FB74300"/>
    <w:rsid w:val="7FCBF115"/>
    <w:rsid w:val="7FDF3623"/>
    <w:rsid w:val="7FDFCD92"/>
    <w:rsid w:val="7FEE23E1"/>
    <w:rsid w:val="7FEF040C"/>
    <w:rsid w:val="805161F5"/>
    <w:rsid w:val="80901C63"/>
    <w:rsid w:val="813C5FDF"/>
    <w:rsid w:val="81A6ECCA"/>
    <w:rsid w:val="8204A2C5"/>
    <w:rsid w:val="821D1FC0"/>
    <w:rsid w:val="823F50CA"/>
    <w:rsid w:val="8245DD34"/>
    <w:rsid w:val="824AE139"/>
    <w:rsid w:val="827FCD24"/>
    <w:rsid w:val="83361DB4"/>
    <w:rsid w:val="836C3C25"/>
    <w:rsid w:val="83958917"/>
    <w:rsid w:val="839F9196"/>
    <w:rsid w:val="83AAC70D"/>
    <w:rsid w:val="84844FD9"/>
    <w:rsid w:val="84C93478"/>
    <w:rsid w:val="84ED436B"/>
    <w:rsid w:val="84F767B0"/>
    <w:rsid w:val="855040A2"/>
    <w:rsid w:val="8593EDF4"/>
    <w:rsid w:val="85A3B921"/>
    <w:rsid w:val="85E5E24C"/>
    <w:rsid w:val="85EDF318"/>
    <w:rsid w:val="85EEEC46"/>
    <w:rsid w:val="8602C90E"/>
    <w:rsid w:val="866DEDA5"/>
    <w:rsid w:val="8682EABE"/>
    <w:rsid w:val="86B47BC3"/>
    <w:rsid w:val="86DA3B30"/>
    <w:rsid w:val="87279407"/>
    <w:rsid w:val="873DC57A"/>
    <w:rsid w:val="874A965F"/>
    <w:rsid w:val="87CC7773"/>
    <w:rsid w:val="87E6236F"/>
    <w:rsid w:val="87E7C314"/>
    <w:rsid w:val="881E09D9"/>
    <w:rsid w:val="8827F8E1"/>
    <w:rsid w:val="889AE5F3"/>
    <w:rsid w:val="88A62E1C"/>
    <w:rsid w:val="88A75FED"/>
    <w:rsid w:val="88D4CEBC"/>
    <w:rsid w:val="89ACF796"/>
    <w:rsid w:val="89FE1F22"/>
    <w:rsid w:val="8A60B5E2"/>
    <w:rsid w:val="8A6A238F"/>
    <w:rsid w:val="8A6C0F01"/>
    <w:rsid w:val="8A6F86A3"/>
    <w:rsid w:val="8AA7C54C"/>
    <w:rsid w:val="8ABCA2A0"/>
    <w:rsid w:val="8AD5C0F9"/>
    <w:rsid w:val="8AFC1E2C"/>
    <w:rsid w:val="8B839091"/>
    <w:rsid w:val="8BCDF6AC"/>
    <w:rsid w:val="8BFAC74B"/>
    <w:rsid w:val="8C0B7847"/>
    <w:rsid w:val="8C21B885"/>
    <w:rsid w:val="8C63CD20"/>
    <w:rsid w:val="8C74822D"/>
    <w:rsid w:val="8C862373"/>
    <w:rsid w:val="8CAE2121"/>
    <w:rsid w:val="8D147553"/>
    <w:rsid w:val="8E76AADD"/>
    <w:rsid w:val="8E81B5F3"/>
    <w:rsid w:val="8E85B3B6"/>
    <w:rsid w:val="8E8BCDC3"/>
    <w:rsid w:val="8F424CB2"/>
    <w:rsid w:val="8FAF75FA"/>
    <w:rsid w:val="90AD66E2"/>
    <w:rsid w:val="90AFE984"/>
    <w:rsid w:val="90C2AC0C"/>
    <w:rsid w:val="90F291C7"/>
    <w:rsid w:val="9128299E"/>
    <w:rsid w:val="9140FE3D"/>
    <w:rsid w:val="9163B555"/>
    <w:rsid w:val="917761A1"/>
    <w:rsid w:val="9182041F"/>
    <w:rsid w:val="929E911A"/>
    <w:rsid w:val="92AEF6E9"/>
    <w:rsid w:val="9370CA51"/>
    <w:rsid w:val="9374968D"/>
    <w:rsid w:val="938E33BE"/>
    <w:rsid w:val="93E041B0"/>
    <w:rsid w:val="9471E7C8"/>
    <w:rsid w:val="952581E9"/>
    <w:rsid w:val="95AC3B5B"/>
    <w:rsid w:val="96052A97"/>
    <w:rsid w:val="9650CFBE"/>
    <w:rsid w:val="96AD469B"/>
    <w:rsid w:val="96AFBE8A"/>
    <w:rsid w:val="96F7ED6D"/>
    <w:rsid w:val="97140036"/>
    <w:rsid w:val="97795CF3"/>
    <w:rsid w:val="97BB7ED6"/>
    <w:rsid w:val="97D9A68D"/>
    <w:rsid w:val="99F05CC6"/>
    <w:rsid w:val="9A30A619"/>
    <w:rsid w:val="9AB2FFD9"/>
    <w:rsid w:val="9ACBB87F"/>
    <w:rsid w:val="9B453ECE"/>
    <w:rsid w:val="9B7FF863"/>
    <w:rsid w:val="9C7DEB91"/>
    <w:rsid w:val="9CB76212"/>
    <w:rsid w:val="9CEF7F8D"/>
    <w:rsid w:val="9D45E158"/>
    <w:rsid w:val="9D4B5CFF"/>
    <w:rsid w:val="9DCF3261"/>
    <w:rsid w:val="9E8D7C36"/>
    <w:rsid w:val="9EA79FFC"/>
    <w:rsid w:val="9EC8FDF8"/>
    <w:rsid w:val="9F76D10F"/>
    <w:rsid w:val="9FA28071"/>
    <w:rsid w:val="9FA3EBBC"/>
    <w:rsid w:val="9FA4C1B1"/>
    <w:rsid w:val="A13A7983"/>
    <w:rsid w:val="A15740DE"/>
    <w:rsid w:val="A17ED1C5"/>
    <w:rsid w:val="A192BD83"/>
    <w:rsid w:val="A1A80D63"/>
    <w:rsid w:val="A230E030"/>
    <w:rsid w:val="A3B6D9B4"/>
    <w:rsid w:val="A3B9E5BB"/>
    <w:rsid w:val="A3FC2CE4"/>
    <w:rsid w:val="A4A10D68"/>
    <w:rsid w:val="A595B0D3"/>
    <w:rsid w:val="A5EECA78"/>
    <w:rsid w:val="A5FEE2DE"/>
    <w:rsid w:val="A6DA4E6B"/>
    <w:rsid w:val="A71A8512"/>
    <w:rsid w:val="A734071B"/>
    <w:rsid w:val="A75E974A"/>
    <w:rsid w:val="A7B1FFCC"/>
    <w:rsid w:val="A7B53A61"/>
    <w:rsid w:val="A81C2846"/>
    <w:rsid w:val="A88161B0"/>
    <w:rsid w:val="A8E8E5F0"/>
    <w:rsid w:val="A9059A7B"/>
    <w:rsid w:val="A913455F"/>
    <w:rsid w:val="A9D45755"/>
    <w:rsid w:val="AA43C1F6"/>
    <w:rsid w:val="AA507861"/>
    <w:rsid w:val="AA6F8558"/>
    <w:rsid w:val="AB9B81E8"/>
    <w:rsid w:val="AC3DF07C"/>
    <w:rsid w:val="AC64ED13"/>
    <w:rsid w:val="AD060789"/>
    <w:rsid w:val="AD0E76B7"/>
    <w:rsid w:val="AD2BFF44"/>
    <w:rsid w:val="AD2E8601"/>
    <w:rsid w:val="AD35D9FB"/>
    <w:rsid w:val="AD76A3A4"/>
    <w:rsid w:val="AD8237B5"/>
    <w:rsid w:val="AD90FAFD"/>
    <w:rsid w:val="ADDD8127"/>
    <w:rsid w:val="AE28592E"/>
    <w:rsid w:val="AE3236CC"/>
    <w:rsid w:val="AE5838CC"/>
    <w:rsid w:val="AE7E555A"/>
    <w:rsid w:val="AEE3F0E0"/>
    <w:rsid w:val="AF035DA1"/>
    <w:rsid w:val="AF52B269"/>
    <w:rsid w:val="AFA3CE3F"/>
    <w:rsid w:val="B0C4F299"/>
    <w:rsid w:val="B0C8496F"/>
    <w:rsid w:val="B0DF5FB5"/>
    <w:rsid w:val="B0F0A2CA"/>
    <w:rsid w:val="B1039281"/>
    <w:rsid w:val="B1265265"/>
    <w:rsid w:val="B173996F"/>
    <w:rsid w:val="B1BE3FEA"/>
    <w:rsid w:val="B1D1D9CF"/>
    <w:rsid w:val="B1E6E2BC"/>
    <w:rsid w:val="B1EFD14C"/>
    <w:rsid w:val="B27389BE"/>
    <w:rsid w:val="B2C695BB"/>
    <w:rsid w:val="B2D6993A"/>
    <w:rsid w:val="B327E20F"/>
    <w:rsid w:val="B361732A"/>
    <w:rsid w:val="B3CBA09D"/>
    <w:rsid w:val="B3E489F0"/>
    <w:rsid w:val="B487F2B7"/>
    <w:rsid w:val="B5281486"/>
    <w:rsid w:val="B54A09A4"/>
    <w:rsid w:val="B5D6E28E"/>
    <w:rsid w:val="B5F5DEC0"/>
    <w:rsid w:val="B639810E"/>
    <w:rsid w:val="B69695EE"/>
    <w:rsid w:val="B6EF18EE"/>
    <w:rsid w:val="B7304BAF"/>
    <w:rsid w:val="B78824C6"/>
    <w:rsid w:val="B7C79E79"/>
    <w:rsid w:val="B7CC04BE"/>
    <w:rsid w:val="B866A5DF"/>
    <w:rsid w:val="B902C7C8"/>
    <w:rsid w:val="B9329624"/>
    <w:rsid w:val="B953465D"/>
    <w:rsid w:val="B98D591A"/>
    <w:rsid w:val="B9995162"/>
    <w:rsid w:val="B9CF97E3"/>
    <w:rsid w:val="BA30E3D2"/>
    <w:rsid w:val="BA964ACD"/>
    <w:rsid w:val="BACED3F6"/>
    <w:rsid w:val="BB08718A"/>
    <w:rsid w:val="BB097FE6"/>
    <w:rsid w:val="BB098407"/>
    <w:rsid w:val="BB5E9F7D"/>
    <w:rsid w:val="BC16BDCE"/>
    <w:rsid w:val="BC3C733A"/>
    <w:rsid w:val="BC3EAE80"/>
    <w:rsid w:val="BC749596"/>
    <w:rsid w:val="BCB98ECA"/>
    <w:rsid w:val="BCC36231"/>
    <w:rsid w:val="BD8620F5"/>
    <w:rsid w:val="BD928E70"/>
    <w:rsid w:val="BDE1381D"/>
    <w:rsid w:val="BDF5DB7D"/>
    <w:rsid w:val="BEBAEC82"/>
    <w:rsid w:val="BED7B9A3"/>
    <w:rsid w:val="BF18A2B0"/>
    <w:rsid w:val="BF490FA5"/>
    <w:rsid w:val="BF542AB3"/>
    <w:rsid w:val="BF5CB676"/>
    <w:rsid w:val="BF79FF65"/>
    <w:rsid w:val="BF7D2428"/>
    <w:rsid w:val="BF906861"/>
    <w:rsid w:val="BFAA5AB5"/>
    <w:rsid w:val="C002289C"/>
    <w:rsid w:val="C04ED427"/>
    <w:rsid w:val="C0C0C601"/>
    <w:rsid w:val="C16C431E"/>
    <w:rsid w:val="C22C8405"/>
    <w:rsid w:val="C2AEF3A5"/>
    <w:rsid w:val="C2B01567"/>
    <w:rsid w:val="C2BE3656"/>
    <w:rsid w:val="C2CB0282"/>
    <w:rsid w:val="C2DEC6E7"/>
    <w:rsid w:val="C306A255"/>
    <w:rsid w:val="C3A2E691"/>
    <w:rsid w:val="C42DACF9"/>
    <w:rsid w:val="C4778947"/>
    <w:rsid w:val="C4B2F284"/>
    <w:rsid w:val="C4E8BE84"/>
    <w:rsid w:val="C4F9F133"/>
    <w:rsid w:val="C567191B"/>
    <w:rsid w:val="C57E60B6"/>
    <w:rsid w:val="C586E06F"/>
    <w:rsid w:val="C627A021"/>
    <w:rsid w:val="C6546E84"/>
    <w:rsid w:val="C68C9826"/>
    <w:rsid w:val="C6E4F51A"/>
    <w:rsid w:val="C70214D6"/>
    <w:rsid w:val="C721B751"/>
    <w:rsid w:val="C76EEC22"/>
    <w:rsid w:val="C78277A6"/>
    <w:rsid w:val="C7F4E0F4"/>
    <w:rsid w:val="C804A7E4"/>
    <w:rsid w:val="C8287455"/>
    <w:rsid w:val="C84A182A"/>
    <w:rsid w:val="C88A31A7"/>
    <w:rsid w:val="C8FEEC2A"/>
    <w:rsid w:val="C90AB2B5"/>
    <w:rsid w:val="C9413C8B"/>
    <w:rsid w:val="C95C8549"/>
    <w:rsid w:val="C9D489C7"/>
    <w:rsid w:val="CA0B678B"/>
    <w:rsid w:val="CA92C2B2"/>
    <w:rsid w:val="CACFD8C9"/>
    <w:rsid w:val="CB29F822"/>
    <w:rsid w:val="CB744893"/>
    <w:rsid w:val="CBA992E5"/>
    <w:rsid w:val="CBD1CA59"/>
    <w:rsid w:val="CC7F13D2"/>
    <w:rsid w:val="CC83DE77"/>
    <w:rsid w:val="CC9ED7B6"/>
    <w:rsid w:val="CD5062C4"/>
    <w:rsid w:val="CD688719"/>
    <w:rsid w:val="CDC3A4DC"/>
    <w:rsid w:val="CDC53E5A"/>
    <w:rsid w:val="CDE56AA8"/>
    <w:rsid w:val="CE2C0408"/>
    <w:rsid w:val="CE2F9018"/>
    <w:rsid w:val="CE57D541"/>
    <w:rsid w:val="CE8EBDF3"/>
    <w:rsid w:val="CEB1D830"/>
    <w:rsid w:val="CED8D970"/>
    <w:rsid w:val="CEF674B6"/>
    <w:rsid w:val="CEFB8471"/>
    <w:rsid w:val="CF09F2E8"/>
    <w:rsid w:val="CF31D8E6"/>
    <w:rsid w:val="CF7CD78B"/>
    <w:rsid w:val="CF8EAC6F"/>
    <w:rsid w:val="CF991826"/>
    <w:rsid w:val="D00A355B"/>
    <w:rsid w:val="D0D7A5B2"/>
    <w:rsid w:val="D1059CAE"/>
    <w:rsid w:val="D10A73DA"/>
    <w:rsid w:val="D12CE582"/>
    <w:rsid w:val="D13982FD"/>
    <w:rsid w:val="D16C1C25"/>
    <w:rsid w:val="D25BB3DC"/>
    <w:rsid w:val="D2797421"/>
    <w:rsid w:val="D288C46D"/>
    <w:rsid w:val="D2AE446F"/>
    <w:rsid w:val="D2D58708"/>
    <w:rsid w:val="D375A6C4"/>
    <w:rsid w:val="D3B25F49"/>
    <w:rsid w:val="D3B5B2BF"/>
    <w:rsid w:val="D49BCB96"/>
    <w:rsid w:val="D4B88BF0"/>
    <w:rsid w:val="D4C76A70"/>
    <w:rsid w:val="D4FEDD54"/>
    <w:rsid w:val="D5195BA9"/>
    <w:rsid w:val="D6622CCA"/>
    <w:rsid w:val="D6CEA8CB"/>
    <w:rsid w:val="D73B8628"/>
    <w:rsid w:val="D7B1974C"/>
    <w:rsid w:val="D7B7F9F2"/>
    <w:rsid w:val="D84BD590"/>
    <w:rsid w:val="D8715557"/>
    <w:rsid w:val="D8CAAE8E"/>
    <w:rsid w:val="D8D6EC12"/>
    <w:rsid w:val="D8ED3511"/>
    <w:rsid w:val="D98E70E5"/>
    <w:rsid w:val="D9DA4B9A"/>
    <w:rsid w:val="DA5BF268"/>
    <w:rsid w:val="DA7D6281"/>
    <w:rsid w:val="DAD94624"/>
    <w:rsid w:val="DAED48E4"/>
    <w:rsid w:val="DB338C2B"/>
    <w:rsid w:val="DBA03FBB"/>
    <w:rsid w:val="DC079975"/>
    <w:rsid w:val="DC14AEF2"/>
    <w:rsid w:val="DC437611"/>
    <w:rsid w:val="DC7FCC00"/>
    <w:rsid w:val="DD045F64"/>
    <w:rsid w:val="DD598765"/>
    <w:rsid w:val="DDAF7688"/>
    <w:rsid w:val="DDB8CE1A"/>
    <w:rsid w:val="DDE0F8EE"/>
    <w:rsid w:val="DDF22041"/>
    <w:rsid w:val="DE3029B3"/>
    <w:rsid w:val="DE7ACA68"/>
    <w:rsid w:val="DEC2B31A"/>
    <w:rsid w:val="DEFB07F4"/>
    <w:rsid w:val="DF5262BE"/>
    <w:rsid w:val="DF8B26F0"/>
    <w:rsid w:val="DFB4EF47"/>
    <w:rsid w:val="DFBCDEBE"/>
    <w:rsid w:val="DFBF17CF"/>
    <w:rsid w:val="DFC130AB"/>
    <w:rsid w:val="DFF81FE1"/>
    <w:rsid w:val="E005C642"/>
    <w:rsid w:val="E02EA88A"/>
    <w:rsid w:val="E04B86AD"/>
    <w:rsid w:val="E06B607F"/>
    <w:rsid w:val="E0A160BE"/>
    <w:rsid w:val="E0D21E1C"/>
    <w:rsid w:val="E0D91571"/>
    <w:rsid w:val="E125E706"/>
    <w:rsid w:val="E1369778"/>
    <w:rsid w:val="E161668B"/>
    <w:rsid w:val="E185C645"/>
    <w:rsid w:val="E1B3F302"/>
    <w:rsid w:val="E2C799CB"/>
    <w:rsid w:val="E2F9AB59"/>
    <w:rsid w:val="E33B04C3"/>
    <w:rsid w:val="E376C323"/>
    <w:rsid w:val="E3D27D43"/>
    <w:rsid w:val="E3D6B854"/>
    <w:rsid w:val="E405004E"/>
    <w:rsid w:val="E4307C84"/>
    <w:rsid w:val="E438AA89"/>
    <w:rsid w:val="E44194C4"/>
    <w:rsid w:val="E56DC990"/>
    <w:rsid w:val="E574311C"/>
    <w:rsid w:val="E5789E9A"/>
    <w:rsid w:val="E58DC1D6"/>
    <w:rsid w:val="E62E97E2"/>
    <w:rsid w:val="E67CEAB0"/>
    <w:rsid w:val="E6C4181D"/>
    <w:rsid w:val="E70DAE06"/>
    <w:rsid w:val="E7575784"/>
    <w:rsid w:val="E7766121"/>
    <w:rsid w:val="E7B7FE34"/>
    <w:rsid w:val="E81EC95C"/>
    <w:rsid w:val="E95FE7D9"/>
    <w:rsid w:val="E99774A7"/>
    <w:rsid w:val="E9C483F4"/>
    <w:rsid w:val="E9F3ADDE"/>
    <w:rsid w:val="EA3C175F"/>
    <w:rsid w:val="EAC3E9A9"/>
    <w:rsid w:val="EAE09337"/>
    <w:rsid w:val="EB5B7F01"/>
    <w:rsid w:val="EB7AC1DE"/>
    <w:rsid w:val="EBC5CCCE"/>
    <w:rsid w:val="EBCBFFD4"/>
    <w:rsid w:val="EBF1DDEC"/>
    <w:rsid w:val="EC86173C"/>
    <w:rsid w:val="ED0B0CDB"/>
    <w:rsid w:val="ED4CECB4"/>
    <w:rsid w:val="ED587455"/>
    <w:rsid w:val="EE0E1DF3"/>
    <w:rsid w:val="EE2565AE"/>
    <w:rsid w:val="EE44E676"/>
    <w:rsid w:val="EE7DF461"/>
    <w:rsid w:val="EEA91D33"/>
    <w:rsid w:val="EEC2E86A"/>
    <w:rsid w:val="EEE41ACA"/>
    <w:rsid w:val="EEFE1C7D"/>
    <w:rsid w:val="F04E2689"/>
    <w:rsid w:val="F062493F"/>
    <w:rsid w:val="F0F3F815"/>
    <w:rsid w:val="F1253E82"/>
    <w:rsid w:val="F23F2B99"/>
    <w:rsid w:val="F25F2AC8"/>
    <w:rsid w:val="F2E35A14"/>
    <w:rsid w:val="F3179285"/>
    <w:rsid w:val="F390E3AB"/>
    <w:rsid w:val="F47C09BC"/>
    <w:rsid w:val="F490E3A3"/>
    <w:rsid w:val="F5100546"/>
    <w:rsid w:val="F5B88B81"/>
    <w:rsid w:val="F60F6BA4"/>
    <w:rsid w:val="F645B1F6"/>
    <w:rsid w:val="F6B49097"/>
    <w:rsid w:val="F6DFB61E"/>
    <w:rsid w:val="F6E8911C"/>
    <w:rsid w:val="F7828141"/>
    <w:rsid w:val="F80D2E11"/>
    <w:rsid w:val="F8970D58"/>
    <w:rsid w:val="F9007256"/>
    <w:rsid w:val="F90CE31B"/>
    <w:rsid w:val="F9F46713"/>
    <w:rsid w:val="FA062154"/>
    <w:rsid w:val="FA8BFE6C"/>
    <w:rsid w:val="FACF3CFB"/>
    <w:rsid w:val="FAD3A3EC"/>
    <w:rsid w:val="FB238D52"/>
    <w:rsid w:val="FB55064E"/>
    <w:rsid w:val="FBC80E82"/>
    <w:rsid w:val="FBF6F5B8"/>
    <w:rsid w:val="FC00F1D2"/>
    <w:rsid w:val="FC12715A"/>
    <w:rsid w:val="FC2D2EB4"/>
    <w:rsid w:val="FC4117E0"/>
    <w:rsid w:val="FC7110E0"/>
    <w:rsid w:val="FCAD2EA7"/>
    <w:rsid w:val="FCADECDA"/>
    <w:rsid w:val="FCBE545F"/>
    <w:rsid w:val="FCEBC6B8"/>
    <w:rsid w:val="FD37A97B"/>
    <w:rsid w:val="FD70B74C"/>
    <w:rsid w:val="FDC906CF"/>
    <w:rsid w:val="FDE9CC05"/>
    <w:rsid w:val="FE274788"/>
    <w:rsid w:val="FE587432"/>
    <w:rsid w:val="FF219546"/>
    <w:rsid w:val="FF523712"/>
    <w:rsid w:val="FF6EDA76"/>
    <w:rsid w:val="FFDA7A6D"/>
    <w:rsid w:val="FFF2870E"/>
    <w:rsid w:val="FFFC8C64"/>
    <w:rsid w:val="FFFE0E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uiPriority w:val="0"/>
    <w:rPr>
      <w:rFonts w:ascii="Times New Roman" w:hAnsi="Times New Roman" w:eastAsia="宋体" w:cs="Times New Roman"/>
    </w:rPr>
  </w:style>
  <w:style w:type="table" w:default="1" w:styleId="11">
    <w:name w:val="Normal Table"/>
    <w:uiPriority w:val="0"/>
    <w:rPr>
      <w:rFonts w:ascii="Times New Roman" w:hAnsi="Times New Roman" w:eastAsia="宋体" w:cs="Times New Roman"/>
    </w:rPr>
    <w:tblPr>
      <w:tblStyle w:val="11"/>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200" w:leftChars="200"/>
    </w:pPr>
  </w:style>
  <w:style w:type="paragraph" w:styleId="4">
    <w:name w:val="annotation text"/>
    <w:basedOn w:val="1"/>
    <w:link w:val="17"/>
    <w:uiPriority w:val="0"/>
    <w:pPr>
      <w:jc w:val="left"/>
    </w:pPr>
    <w:rPr>
      <w:rFonts w:ascii="Times New Roman" w:hAnsi="Times New Roman" w:eastAsia="宋体" w:cs="Times New Roman"/>
    </w:rPr>
  </w:style>
  <w:style w:type="paragraph" w:styleId="5">
    <w:name w:val="Balloon Text"/>
    <w:basedOn w:val="1"/>
    <w:link w:val="18"/>
    <w:uiPriority w:val="0"/>
    <w:rPr>
      <w:rFonts w:ascii="Times New Roman" w:hAnsi="Times New Roman" w:eastAsia="宋体" w:cs="Times New Roman"/>
      <w:sz w:val="18"/>
      <w:szCs w:val="18"/>
    </w:rPr>
  </w:style>
  <w:style w:type="paragraph" w:styleId="6">
    <w:name w:val="footer"/>
    <w:basedOn w:val="1"/>
    <w:next w:val="1"/>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rPr>
  </w:style>
  <w:style w:type="paragraph" w:styleId="8">
    <w:name w:val="footnote text"/>
    <w:basedOn w:val="1"/>
    <w:uiPriority w:val="0"/>
    <w:pPr>
      <w:snapToGrid w:val="0"/>
      <w:jc w:val="left"/>
    </w:pPr>
    <w:rPr>
      <w:rFonts w:ascii="Times New Roman" w:hAnsi="Times New Roman" w:eastAsia="宋体" w:cs="Times New Roman"/>
      <w:sz w:val="18"/>
      <w:szCs w:val="18"/>
    </w:rPr>
  </w:style>
  <w:style w:type="paragraph" w:styleId="9">
    <w:name w:val="Normal (Web)"/>
    <w:basedOn w:val="1"/>
    <w:uiPriority w:val="0"/>
    <w:pPr>
      <w:spacing w:beforeAutospacing="1" w:afterAutospacing="1"/>
      <w:jc w:val="left"/>
    </w:pPr>
    <w:rPr>
      <w:rFonts w:ascii="Times New Roman" w:hAnsi="Times New Roman" w:eastAsia="宋体" w:cs="Times New Roman"/>
      <w:kern w:val="0"/>
      <w:sz w:val="24"/>
    </w:rPr>
  </w:style>
  <w:style w:type="paragraph" w:styleId="10">
    <w:name w:val="annotation subject"/>
    <w:basedOn w:val="4"/>
    <w:next w:val="4"/>
    <w:link w:val="19"/>
    <w:uiPriority w:val="0"/>
    <w:rPr>
      <w:rFonts w:ascii="Times New Roman" w:hAnsi="Times New Roman" w:eastAsia="宋体" w:cs="Times New Roman"/>
      <w:b/>
      <w:bCs/>
    </w:r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uiPriority w:val="0"/>
    <w:rPr>
      <w:rFonts w:ascii="Times New Roman" w:hAnsi="Times New Roman" w:eastAsia="宋体" w:cs="Times New Roman"/>
      <w:b/>
    </w:rPr>
  </w:style>
  <w:style w:type="character" w:styleId="15">
    <w:name w:val="Hyperlink"/>
    <w:basedOn w:val="13"/>
    <w:uiPriority w:val="0"/>
    <w:rPr>
      <w:rFonts w:ascii="Times New Roman" w:hAnsi="Times New Roman" w:eastAsia="宋体" w:cs="Times New Roman"/>
      <w:color w:val="0000FF"/>
      <w:u w:val="single"/>
    </w:rPr>
  </w:style>
  <w:style w:type="character" w:styleId="16">
    <w:name w:val="annotation reference"/>
    <w:basedOn w:val="13"/>
    <w:uiPriority w:val="0"/>
    <w:rPr>
      <w:rFonts w:ascii="Times New Roman" w:hAnsi="Times New Roman" w:eastAsia="宋体" w:cs="Times New Roman"/>
      <w:sz w:val="21"/>
      <w:szCs w:val="21"/>
    </w:rPr>
  </w:style>
  <w:style w:type="character" w:customStyle="1" w:styleId="17">
    <w:name w:val="批注文字 Char"/>
    <w:basedOn w:val="13"/>
    <w:link w:val="4"/>
    <w:uiPriority w:val="0"/>
    <w:rPr>
      <w:rFonts w:ascii="Calibri" w:hAnsi="Calibri" w:eastAsia="宋体" w:cs="Times New Roman"/>
      <w:kern w:val="2"/>
      <w:sz w:val="21"/>
      <w:szCs w:val="24"/>
    </w:rPr>
  </w:style>
  <w:style w:type="character" w:customStyle="1" w:styleId="18">
    <w:name w:val="批注框文本 Char"/>
    <w:basedOn w:val="13"/>
    <w:link w:val="5"/>
    <w:uiPriority w:val="0"/>
    <w:rPr>
      <w:rFonts w:ascii="Calibri" w:hAnsi="Calibri" w:eastAsia="宋体" w:cs="Times New Roman"/>
      <w:kern w:val="2"/>
      <w:sz w:val="18"/>
      <w:szCs w:val="18"/>
    </w:rPr>
  </w:style>
  <w:style w:type="character" w:customStyle="1" w:styleId="19">
    <w:name w:val="批注主题 Char"/>
    <w:basedOn w:val="17"/>
    <w:link w:val="10"/>
    <w:uiPriority w:val="0"/>
    <w:rPr>
      <w:rFonts w:ascii="Times New Roman" w:hAnsi="Times New Roman" w:eastAsia="宋体" w:cs="Times New Roman"/>
      <w:b/>
      <w:bCs/>
    </w:rPr>
  </w:style>
  <w:style w:type="character" w:customStyle="1" w:styleId="20">
    <w:name w:val="15"/>
    <w:basedOn w:val="13"/>
    <w:uiPriority w:val="0"/>
    <w:rPr>
      <w:rFonts w:hint="default" w:ascii="Times New Roman" w:hAnsi="Times New Roman" w:eastAsia="宋体" w:cs="Times New Roman"/>
      <w:b/>
    </w:rPr>
  </w:style>
  <w:style w:type="character" w:customStyle="1" w:styleId="21">
    <w:name w:val="10"/>
    <w:basedOn w:val="13"/>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6209</Words>
  <Characters>6386</Characters>
  <Lines>49</Lines>
  <Paragraphs>13</Paragraphs>
  <TotalTime>24.6666666666667</TotalTime>
  <ScaleCrop>false</ScaleCrop>
  <LinksUpToDate>false</LinksUpToDate>
  <CharactersWithSpaces>6448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2023-06-28T02:49:00Z</dcterms:created>
  <dc:creator>Administrator</dc:creator>
  <cp:lastModifiedBy>gxxc</cp:lastModifiedBy>
  <cp:lastPrinted>2023-09-15T10:58:48Z</cp:lastPrinted>
  <dcterms:modified xsi:type="dcterms:W3CDTF">2024-02-22T10:57:16Z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DA3A05E6656F4381A7378734D611B566_13</vt:lpwstr>
  </property>
</Properties>
</file>