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41DB8">
      <w:pPr>
        <w:ind w:firstLine="0" w:firstLineChars="0"/>
        <w:jc w:val="center"/>
        <w:rPr>
          <w:rStyle w:val="51"/>
          <w:rFonts w:ascii="黑体" w:hAnsi="黑体" w:eastAsia="黑体"/>
          <w:b w:val="0"/>
          <w:i w:val="0"/>
          <w:sz w:val="72"/>
          <w:szCs w:val="72"/>
        </w:rPr>
      </w:pPr>
    </w:p>
    <w:p w14:paraId="2EF50CFD">
      <w:pPr>
        <w:ind w:firstLine="0" w:firstLineChars="0"/>
        <w:jc w:val="center"/>
        <w:rPr>
          <w:rStyle w:val="51"/>
          <w:rFonts w:ascii="黑体" w:hAnsi="黑体" w:eastAsia="黑体"/>
          <w:i w:val="0"/>
          <w:sz w:val="72"/>
          <w:szCs w:val="72"/>
        </w:rPr>
      </w:pPr>
      <w:r>
        <w:rPr>
          <w:rFonts w:eastAsia="方正小标宋_GBK"/>
          <w:b/>
          <w:bCs/>
          <w:sz w:val="72"/>
          <w:szCs w:val="72"/>
        </w:rPr>
        <w:t>建设项目环境影响报告表</w:t>
      </w:r>
    </w:p>
    <w:p w14:paraId="0A00042E">
      <w:pPr>
        <w:ind w:firstLine="0" w:firstLineChars="0"/>
        <w:jc w:val="center"/>
        <w:rPr>
          <w:rStyle w:val="51"/>
          <w:rFonts w:ascii="楷体" w:hAnsi="楷体" w:eastAsia="楷体"/>
          <w:i w:val="0"/>
          <w:sz w:val="48"/>
          <w:szCs w:val="48"/>
        </w:rPr>
      </w:pPr>
      <w:r>
        <w:rPr>
          <w:rStyle w:val="51"/>
          <w:rFonts w:hint="eastAsia" w:ascii="楷体" w:hAnsi="楷体" w:eastAsia="楷体"/>
          <w:i w:val="0"/>
          <w:sz w:val="48"/>
          <w:szCs w:val="48"/>
        </w:rPr>
        <w:t>（污染影响类）</w:t>
      </w:r>
    </w:p>
    <w:p w14:paraId="3DAD0A04">
      <w:pPr>
        <w:ind w:firstLine="0" w:firstLineChars="0"/>
        <w:jc w:val="center"/>
        <w:rPr>
          <w:rStyle w:val="51"/>
          <w:rFonts w:ascii="楷体" w:hAnsi="楷体" w:eastAsia="楷体"/>
          <w:b w:val="0"/>
          <w:i w:val="0"/>
          <w:sz w:val="48"/>
          <w:szCs w:val="48"/>
        </w:rPr>
      </w:pPr>
      <w:r>
        <w:rPr>
          <w:rStyle w:val="51"/>
          <w:rFonts w:hint="eastAsia" w:ascii="楷体" w:hAnsi="楷体" w:eastAsia="楷体"/>
          <w:i w:val="0"/>
          <w:sz w:val="48"/>
          <w:szCs w:val="48"/>
        </w:rPr>
        <w:t>（</w:t>
      </w:r>
      <w:r>
        <w:rPr>
          <w:rStyle w:val="51"/>
          <w:rFonts w:hint="eastAsia" w:ascii="楷体" w:hAnsi="楷体" w:eastAsia="楷体"/>
          <w:i w:val="0"/>
          <w:sz w:val="48"/>
          <w:szCs w:val="48"/>
          <w:lang w:eastAsia="zh-CN"/>
        </w:rPr>
        <w:t>公示</w:t>
      </w:r>
      <w:r>
        <w:rPr>
          <w:rStyle w:val="51"/>
          <w:rFonts w:hint="eastAsia" w:ascii="楷体" w:hAnsi="楷体" w:eastAsia="楷体"/>
          <w:i w:val="0"/>
          <w:sz w:val="48"/>
          <w:szCs w:val="48"/>
        </w:rPr>
        <w:t>稿）</w:t>
      </w:r>
    </w:p>
    <w:p w14:paraId="326602DC">
      <w:pPr>
        <w:ind w:firstLine="0" w:firstLineChars="0"/>
        <w:jc w:val="center"/>
        <w:rPr>
          <w:rStyle w:val="51"/>
          <w:rFonts w:ascii="宋体" w:hAnsi="宋体"/>
          <w:b w:val="0"/>
          <w:i w:val="0"/>
          <w:sz w:val="48"/>
          <w:szCs w:val="48"/>
        </w:rPr>
      </w:pPr>
    </w:p>
    <w:p w14:paraId="0E888FBC">
      <w:pPr>
        <w:ind w:firstLine="0" w:firstLineChars="0"/>
        <w:jc w:val="center"/>
        <w:rPr>
          <w:rStyle w:val="51"/>
          <w:rFonts w:ascii="宋体" w:hAnsi="宋体"/>
          <w:b w:val="0"/>
          <w:i w:val="0"/>
          <w:sz w:val="48"/>
          <w:szCs w:val="48"/>
        </w:rPr>
      </w:pPr>
    </w:p>
    <w:p w14:paraId="27FEE2A9">
      <w:pPr>
        <w:ind w:firstLine="0" w:firstLineChars="0"/>
        <w:jc w:val="center"/>
        <w:rPr>
          <w:rStyle w:val="51"/>
          <w:rFonts w:ascii="宋体" w:hAnsi="宋体"/>
          <w:i w:val="0"/>
          <w:sz w:val="48"/>
          <w:szCs w:val="48"/>
        </w:rPr>
      </w:pPr>
    </w:p>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6520"/>
      </w:tblGrid>
      <w:tr w14:paraId="6F36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5" w:type="dxa"/>
          </w:tcPr>
          <w:p w14:paraId="784A2C2E">
            <w:pPr>
              <w:ind w:firstLine="0" w:firstLineChars="0"/>
              <w:jc w:val="distribute"/>
              <w:rPr>
                <w:rStyle w:val="51"/>
                <w:rFonts w:ascii="仿宋_GB2312" w:eastAsia="仿宋_GB2312"/>
                <w:i w:val="0"/>
                <w:sz w:val="36"/>
                <w:szCs w:val="36"/>
              </w:rPr>
            </w:pPr>
            <w:r>
              <w:rPr>
                <w:rStyle w:val="51"/>
                <w:rFonts w:hint="eastAsia" w:ascii="仿宋_GB2312" w:eastAsia="仿宋_GB2312"/>
                <w:i w:val="0"/>
                <w:sz w:val="36"/>
                <w:szCs w:val="36"/>
              </w:rPr>
              <w:t>项目名称：</w:t>
            </w:r>
          </w:p>
        </w:tc>
        <w:tc>
          <w:tcPr>
            <w:tcW w:w="6520" w:type="dxa"/>
            <w:vAlign w:val="center"/>
          </w:tcPr>
          <w:p w14:paraId="508DE928">
            <w:pPr>
              <w:ind w:firstLine="0" w:firstLineChars="0"/>
              <w:rPr>
                <w:rStyle w:val="51"/>
                <w:rFonts w:hint="eastAsia" w:ascii="仿宋_GB2312" w:eastAsia="仿宋_GB2312" w:hAnsiTheme="minorHAnsi" w:cstheme="minorBidi"/>
                <w:i w:val="0"/>
                <w:sz w:val="36"/>
                <w:szCs w:val="36"/>
                <w:u w:val="single"/>
              </w:rPr>
            </w:pPr>
            <w:r>
              <w:rPr>
                <w:rStyle w:val="51"/>
                <w:rFonts w:hint="eastAsia" w:ascii="仿宋_GB2312" w:eastAsia="仿宋_GB2312" w:hAnsiTheme="minorHAnsi" w:cstheme="minorBidi"/>
                <w:i w:val="0"/>
                <w:sz w:val="36"/>
                <w:szCs w:val="36"/>
                <w:u w:val="single"/>
              </w:rPr>
              <w:t xml:space="preserve">全州县病死畜禽无害化处理项目          </w:t>
            </w:r>
          </w:p>
        </w:tc>
      </w:tr>
      <w:tr w14:paraId="584F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5" w:type="dxa"/>
          </w:tcPr>
          <w:p w14:paraId="17214672">
            <w:pPr>
              <w:ind w:firstLine="0" w:firstLineChars="0"/>
              <w:jc w:val="distribute"/>
              <w:rPr>
                <w:rStyle w:val="51"/>
                <w:rFonts w:ascii="仿宋_GB2312" w:eastAsia="仿宋_GB2312"/>
                <w:i w:val="0"/>
                <w:sz w:val="36"/>
                <w:szCs w:val="36"/>
              </w:rPr>
            </w:pPr>
            <w:r>
              <w:rPr>
                <w:rStyle w:val="51"/>
                <w:rFonts w:hint="eastAsia" w:ascii="仿宋_GB2312" w:eastAsia="仿宋_GB2312"/>
                <w:i w:val="0"/>
                <w:sz w:val="36"/>
                <w:szCs w:val="36"/>
              </w:rPr>
              <w:t>建设单位：</w:t>
            </w:r>
          </w:p>
        </w:tc>
        <w:tc>
          <w:tcPr>
            <w:tcW w:w="6520" w:type="dxa"/>
            <w:vAlign w:val="center"/>
          </w:tcPr>
          <w:p w14:paraId="7298505D">
            <w:pPr>
              <w:ind w:firstLine="0" w:firstLineChars="0"/>
              <w:rPr>
                <w:rStyle w:val="51"/>
                <w:rFonts w:hint="eastAsia" w:ascii="仿宋_GB2312" w:eastAsia="仿宋_GB2312" w:hAnsiTheme="minorHAnsi" w:cstheme="minorBidi"/>
                <w:i w:val="0"/>
                <w:sz w:val="36"/>
                <w:szCs w:val="36"/>
                <w:u w:val="single"/>
              </w:rPr>
            </w:pPr>
            <w:r>
              <w:rPr>
                <w:rStyle w:val="51"/>
                <w:rFonts w:hint="eastAsia" w:ascii="仿宋_GB2312" w:eastAsia="仿宋_GB2312" w:hAnsiTheme="minorHAnsi" w:cstheme="minorBidi"/>
                <w:i w:val="0"/>
                <w:sz w:val="36"/>
                <w:szCs w:val="36"/>
                <w:u w:val="single"/>
              </w:rPr>
              <w:t xml:space="preserve">全州县侨盈环保科技有限公司（盖章）          </w:t>
            </w:r>
          </w:p>
        </w:tc>
      </w:tr>
      <w:tr w14:paraId="4559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5" w:type="dxa"/>
          </w:tcPr>
          <w:p w14:paraId="0D7E9CDE">
            <w:pPr>
              <w:ind w:firstLine="0" w:firstLineChars="0"/>
              <w:jc w:val="distribute"/>
              <w:rPr>
                <w:rStyle w:val="51"/>
                <w:rFonts w:ascii="仿宋_GB2312" w:eastAsia="仿宋_GB2312"/>
                <w:i w:val="0"/>
                <w:sz w:val="36"/>
                <w:szCs w:val="36"/>
              </w:rPr>
            </w:pPr>
            <w:r>
              <w:rPr>
                <w:rStyle w:val="51"/>
                <w:rFonts w:hint="eastAsia" w:ascii="仿宋_GB2312" w:eastAsia="仿宋_GB2312"/>
                <w:i w:val="0"/>
                <w:sz w:val="36"/>
                <w:szCs w:val="36"/>
              </w:rPr>
              <w:t>编制日期：</w:t>
            </w:r>
          </w:p>
        </w:tc>
        <w:tc>
          <w:tcPr>
            <w:tcW w:w="6520" w:type="dxa"/>
            <w:vAlign w:val="center"/>
          </w:tcPr>
          <w:p w14:paraId="4D54B2BC">
            <w:pPr>
              <w:ind w:firstLine="0" w:firstLineChars="0"/>
              <w:rPr>
                <w:rStyle w:val="51"/>
                <w:rFonts w:ascii="仿宋_GB2312" w:eastAsia="仿宋_GB2312"/>
                <w:i w:val="0"/>
                <w:sz w:val="36"/>
                <w:szCs w:val="36"/>
                <w:u w:val="single"/>
              </w:rPr>
            </w:pPr>
            <w:r>
              <w:rPr>
                <w:rStyle w:val="51"/>
                <w:rFonts w:hint="eastAsia" w:ascii="仿宋_GB2312" w:eastAsia="仿宋_GB2312"/>
                <w:i w:val="0"/>
                <w:sz w:val="36"/>
                <w:szCs w:val="36"/>
                <w:u w:val="single"/>
              </w:rPr>
              <w:t>二</w:t>
            </w:r>
            <w:r>
              <w:rPr>
                <w:rStyle w:val="51"/>
                <w:rFonts w:hint="eastAsia" w:ascii="微软雅黑" w:hAnsi="微软雅黑" w:eastAsia="微软雅黑" w:cs="微软雅黑"/>
                <w:i w:val="0"/>
                <w:sz w:val="36"/>
                <w:szCs w:val="36"/>
                <w:u w:val="single"/>
              </w:rPr>
              <w:t>〇</w:t>
            </w:r>
            <w:r>
              <w:rPr>
                <w:rStyle w:val="51"/>
                <w:rFonts w:hint="eastAsia" w:ascii="仿宋_GB2312" w:hAnsi="仿宋_GB2312" w:eastAsia="仿宋_GB2312" w:cs="仿宋_GB2312"/>
                <w:i w:val="0"/>
                <w:sz w:val="36"/>
                <w:szCs w:val="36"/>
                <w:u w:val="single"/>
              </w:rPr>
              <w:t>二</w:t>
            </w:r>
            <w:r>
              <w:rPr>
                <w:rStyle w:val="51"/>
                <w:rFonts w:hint="eastAsia" w:ascii="仿宋_GB2312" w:hAnsi="仿宋_GB2312" w:eastAsia="仿宋_GB2312" w:cs="仿宋_GB2312"/>
                <w:i w:val="0"/>
                <w:sz w:val="36"/>
                <w:szCs w:val="36"/>
                <w:u w:val="single"/>
                <w:lang w:eastAsia="zh-CN"/>
              </w:rPr>
              <w:t>六</w:t>
            </w:r>
            <w:r>
              <w:rPr>
                <w:rStyle w:val="51"/>
                <w:rFonts w:hint="eastAsia" w:ascii="仿宋_GB2312" w:eastAsia="仿宋_GB2312"/>
                <w:i w:val="0"/>
                <w:sz w:val="36"/>
                <w:szCs w:val="36"/>
                <w:u w:val="single"/>
              </w:rPr>
              <w:t>年</w:t>
            </w:r>
            <w:r>
              <w:rPr>
                <w:rStyle w:val="51"/>
                <w:rFonts w:hint="eastAsia" w:ascii="仿宋_GB2312" w:eastAsia="仿宋_GB2312"/>
                <w:i w:val="0"/>
                <w:sz w:val="36"/>
                <w:szCs w:val="36"/>
                <w:u w:val="single"/>
                <w:lang w:eastAsia="zh-CN"/>
              </w:rPr>
              <w:t>二</w:t>
            </w:r>
            <w:r>
              <w:rPr>
                <w:rStyle w:val="51"/>
                <w:rFonts w:hint="eastAsia" w:ascii="仿宋_GB2312" w:eastAsia="仿宋_GB2312"/>
                <w:i w:val="0"/>
                <w:sz w:val="36"/>
                <w:szCs w:val="36"/>
                <w:u w:val="single"/>
              </w:rPr>
              <w:t xml:space="preserve">月                       </w:t>
            </w:r>
          </w:p>
        </w:tc>
      </w:tr>
    </w:tbl>
    <w:p w14:paraId="1DF7B2AE">
      <w:pPr>
        <w:ind w:firstLine="0" w:firstLineChars="0"/>
        <w:jc w:val="center"/>
        <w:rPr>
          <w:rStyle w:val="51"/>
          <w:rFonts w:ascii="宋体" w:hAnsi="宋体"/>
          <w:i w:val="0"/>
          <w:sz w:val="48"/>
          <w:szCs w:val="48"/>
        </w:rPr>
      </w:pPr>
    </w:p>
    <w:p w14:paraId="428E87C4">
      <w:pPr>
        <w:ind w:firstLine="0" w:firstLineChars="0"/>
        <w:jc w:val="center"/>
        <w:rPr>
          <w:rStyle w:val="51"/>
          <w:rFonts w:ascii="宋体" w:hAnsi="宋体"/>
          <w:i w:val="0"/>
          <w:sz w:val="48"/>
          <w:szCs w:val="48"/>
        </w:rPr>
      </w:pPr>
    </w:p>
    <w:p w14:paraId="70FB39C6">
      <w:pPr>
        <w:ind w:firstLine="0" w:firstLineChars="0"/>
        <w:jc w:val="center"/>
        <w:rPr>
          <w:rStyle w:val="51"/>
          <w:rFonts w:ascii="宋体" w:hAnsi="宋体"/>
          <w:i w:val="0"/>
          <w:sz w:val="48"/>
          <w:szCs w:val="48"/>
        </w:rPr>
      </w:pPr>
    </w:p>
    <w:p w14:paraId="70E45D62">
      <w:pPr>
        <w:ind w:firstLine="0" w:firstLineChars="0"/>
        <w:jc w:val="center"/>
        <w:rPr>
          <w:rStyle w:val="51"/>
          <w:rFonts w:ascii="宋体" w:hAnsi="宋体"/>
          <w:i w:val="0"/>
          <w:sz w:val="48"/>
          <w:szCs w:val="48"/>
        </w:rPr>
      </w:pPr>
    </w:p>
    <w:p w14:paraId="03DF6D92">
      <w:pPr>
        <w:ind w:firstLine="0" w:firstLineChars="0"/>
        <w:jc w:val="center"/>
        <w:rPr>
          <w:rStyle w:val="51"/>
          <w:rFonts w:ascii="宋体" w:hAnsi="宋体"/>
          <w:i w:val="0"/>
          <w:sz w:val="48"/>
          <w:szCs w:val="48"/>
        </w:rPr>
      </w:pPr>
    </w:p>
    <w:p w14:paraId="4D937F29">
      <w:pPr>
        <w:ind w:firstLine="0" w:firstLineChars="0"/>
        <w:jc w:val="center"/>
        <w:rPr>
          <w:rFonts w:eastAsia="楷体_GB2312"/>
          <w:b/>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992" w:gutter="0"/>
          <w:pgBorders>
            <w:top w:val="none" w:sz="0" w:space="0"/>
            <w:left w:val="none" w:sz="0" w:space="0"/>
            <w:bottom w:val="none" w:sz="0" w:space="0"/>
            <w:right w:val="none" w:sz="0" w:space="0"/>
          </w:pgBorders>
          <w:pgNumType w:fmt="upperRoman" w:start="1"/>
          <w:cols w:space="425" w:num="1"/>
          <w:docGrid w:type="linesAndChars" w:linePitch="326" w:charSpace="0"/>
        </w:sectPr>
      </w:pPr>
      <w:r>
        <w:rPr>
          <w:rFonts w:hint="eastAsia" w:eastAsia="楷体_GB2312"/>
          <w:b/>
          <w:sz w:val="36"/>
          <w:szCs w:val="36"/>
          <w:lang w:eastAsia="zh-CN"/>
        </w:rPr>
        <w:t>桂林金霖</w:t>
      </w:r>
      <w:r>
        <w:rPr>
          <w:rFonts w:hint="eastAsia" w:eastAsia="楷体_GB2312"/>
          <w:b/>
          <w:sz w:val="36"/>
          <w:szCs w:val="36"/>
        </w:rPr>
        <w:t>工程</w:t>
      </w:r>
      <w:r>
        <w:rPr>
          <w:rFonts w:hint="eastAsia" w:eastAsia="楷体_GB2312"/>
          <w:b/>
          <w:sz w:val="36"/>
          <w:szCs w:val="36"/>
          <w:lang w:eastAsia="zh-CN"/>
        </w:rPr>
        <w:t>咨询</w:t>
      </w:r>
      <w:r>
        <w:rPr>
          <w:rFonts w:hint="eastAsia" w:eastAsia="楷体_GB2312"/>
          <w:b/>
          <w:sz w:val="36"/>
          <w:szCs w:val="36"/>
        </w:rPr>
        <w:t>有限公司编制</w:t>
      </w:r>
    </w:p>
    <w:sdt>
      <w:sdtPr>
        <w:rPr>
          <w:rFonts w:ascii="Times New Roman" w:hAnsi="Times New Roman" w:eastAsia="宋体" w:cs="Times New Roman"/>
          <w:b/>
          <w:color w:val="auto"/>
          <w:kern w:val="2"/>
          <w:sz w:val="24"/>
          <w:szCs w:val="24"/>
          <w:lang w:val="zh-CN"/>
        </w:rPr>
        <w:id w:val="-1419399899"/>
        <w:docPartObj>
          <w:docPartGallery w:val="Table of Contents"/>
          <w:docPartUnique/>
        </w:docPartObj>
      </w:sdtPr>
      <w:sdtEndPr>
        <w:rPr>
          <w:rFonts w:ascii="Times New Roman" w:hAnsi="Times New Roman" w:eastAsia="宋体" w:cs="Times New Roman"/>
          <w:b/>
          <w:bCs/>
          <w:color w:val="auto"/>
          <w:kern w:val="2"/>
          <w:sz w:val="24"/>
          <w:szCs w:val="24"/>
          <w:lang w:val="zh-CN"/>
        </w:rPr>
      </w:sdtEndPr>
      <w:sdtContent>
        <w:p w14:paraId="14AFB71F">
          <w:pPr>
            <w:pStyle w:val="46"/>
            <w:jc w:val="center"/>
            <w:rPr>
              <w:rFonts w:ascii="黑体" w:hAnsi="黑体" w:eastAsia="黑体"/>
              <w:b/>
              <w:color w:val="auto"/>
            </w:rPr>
          </w:pPr>
          <w:bookmarkStart w:id="13" w:name="_GoBack"/>
          <w:bookmarkEnd w:id="13"/>
          <w:r>
            <w:rPr>
              <w:rFonts w:ascii="黑体" w:hAnsi="黑体" w:eastAsia="黑体"/>
              <w:b/>
              <w:color w:val="auto"/>
              <w:lang w:val="zh-CN"/>
            </w:rPr>
            <w:t>目录</w:t>
          </w:r>
        </w:p>
        <w:p w14:paraId="3410E01A">
          <w:pPr>
            <w:pStyle w:val="23"/>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"_Toc61627930" </w:instrText>
          </w:r>
          <w:r>
            <w:fldChar w:fldCharType="separate"/>
          </w:r>
          <w:r>
            <w:rPr>
              <w:rStyle w:val="30"/>
              <w:color w:val="auto"/>
            </w:rPr>
            <w:t>一、 建设项目基本情况</w:t>
          </w:r>
          <w:r>
            <w:tab/>
          </w:r>
          <w:r>
            <w:fldChar w:fldCharType="begin"/>
          </w:r>
          <w:r>
            <w:instrText xml:space="preserve"> PAGEREF _Toc61627930 \h </w:instrText>
          </w:r>
          <w:r>
            <w:fldChar w:fldCharType="separate"/>
          </w:r>
          <w:r>
            <w:t>1</w:t>
          </w:r>
          <w:r>
            <w:fldChar w:fldCharType="end"/>
          </w:r>
          <w:r>
            <w:fldChar w:fldCharType="end"/>
          </w:r>
        </w:p>
        <w:p w14:paraId="067215FF">
          <w:pPr>
            <w:pStyle w:val="23"/>
            <w:rPr>
              <w:rFonts w:asciiTheme="minorHAnsi" w:hAnsiTheme="minorHAnsi" w:eastAsiaTheme="minorEastAsia" w:cstheme="minorBidi"/>
              <w:sz w:val="21"/>
              <w:szCs w:val="22"/>
            </w:rPr>
          </w:pPr>
          <w:r>
            <w:fldChar w:fldCharType="begin"/>
          </w:r>
          <w:r>
            <w:instrText xml:space="preserve"> HYPERLINK \l "_Toc61627931" </w:instrText>
          </w:r>
          <w:r>
            <w:fldChar w:fldCharType="separate"/>
          </w:r>
          <w:r>
            <w:rPr>
              <w:rStyle w:val="30"/>
              <w:color w:val="auto"/>
            </w:rPr>
            <w:t>二、 建设项目工程分析</w:t>
          </w:r>
          <w:r>
            <w:tab/>
          </w:r>
          <w:r>
            <w:fldChar w:fldCharType="begin"/>
          </w:r>
          <w:r>
            <w:instrText xml:space="preserve"> PAGEREF _Toc61627931 \h </w:instrText>
          </w:r>
          <w:r>
            <w:fldChar w:fldCharType="separate"/>
          </w:r>
          <w:r>
            <w:t>24</w:t>
          </w:r>
          <w:r>
            <w:fldChar w:fldCharType="end"/>
          </w:r>
          <w:r>
            <w:fldChar w:fldCharType="end"/>
          </w:r>
        </w:p>
        <w:p w14:paraId="61C2953A">
          <w:pPr>
            <w:pStyle w:val="23"/>
            <w:rPr>
              <w:rFonts w:asciiTheme="minorHAnsi" w:hAnsiTheme="minorHAnsi" w:eastAsiaTheme="minorEastAsia" w:cstheme="minorBidi"/>
              <w:sz w:val="21"/>
              <w:szCs w:val="22"/>
            </w:rPr>
          </w:pPr>
          <w:r>
            <w:fldChar w:fldCharType="begin"/>
          </w:r>
          <w:r>
            <w:instrText xml:space="preserve"> HYPERLINK \l "_Toc61627932" </w:instrText>
          </w:r>
          <w:r>
            <w:fldChar w:fldCharType="separate"/>
          </w:r>
          <w:r>
            <w:rPr>
              <w:rStyle w:val="30"/>
              <w:color w:val="auto"/>
            </w:rPr>
            <w:t>三、 区域环境质量现状、环境保护目标及评价标准</w:t>
          </w:r>
          <w:r>
            <w:tab/>
          </w:r>
          <w:r>
            <w:fldChar w:fldCharType="begin"/>
          </w:r>
          <w:r>
            <w:instrText xml:space="preserve"> PAGEREF _Toc61627932 \h </w:instrText>
          </w:r>
          <w:r>
            <w:fldChar w:fldCharType="separate"/>
          </w:r>
          <w:r>
            <w:t>41</w:t>
          </w:r>
          <w:r>
            <w:fldChar w:fldCharType="end"/>
          </w:r>
          <w:r>
            <w:fldChar w:fldCharType="end"/>
          </w:r>
        </w:p>
        <w:p w14:paraId="00E3B7C1">
          <w:pPr>
            <w:pStyle w:val="23"/>
            <w:rPr>
              <w:rFonts w:asciiTheme="minorHAnsi" w:hAnsiTheme="minorHAnsi" w:eastAsiaTheme="minorEastAsia" w:cstheme="minorBidi"/>
              <w:sz w:val="21"/>
              <w:szCs w:val="22"/>
            </w:rPr>
          </w:pPr>
          <w:r>
            <w:fldChar w:fldCharType="begin"/>
          </w:r>
          <w:r>
            <w:instrText xml:space="preserve"> HYPERLINK \l "_Toc61627933" </w:instrText>
          </w:r>
          <w:r>
            <w:fldChar w:fldCharType="separate"/>
          </w:r>
          <w:r>
            <w:rPr>
              <w:rStyle w:val="30"/>
              <w:color w:val="auto"/>
            </w:rPr>
            <w:t>四、 主要环境影响和保护措施</w:t>
          </w:r>
          <w:r>
            <w:tab/>
          </w:r>
          <w:r>
            <w:fldChar w:fldCharType="begin"/>
          </w:r>
          <w:r>
            <w:instrText xml:space="preserve"> PAGEREF _Toc61627933 \h </w:instrText>
          </w:r>
          <w:r>
            <w:fldChar w:fldCharType="separate"/>
          </w:r>
          <w:r>
            <w:t>49</w:t>
          </w:r>
          <w:r>
            <w:fldChar w:fldCharType="end"/>
          </w:r>
          <w:r>
            <w:fldChar w:fldCharType="end"/>
          </w:r>
        </w:p>
        <w:p w14:paraId="3B0D06E2">
          <w:pPr>
            <w:pStyle w:val="23"/>
            <w:rPr>
              <w:rFonts w:asciiTheme="minorHAnsi" w:hAnsiTheme="minorHAnsi" w:eastAsiaTheme="minorEastAsia" w:cstheme="minorBidi"/>
              <w:sz w:val="21"/>
              <w:szCs w:val="22"/>
            </w:rPr>
          </w:pPr>
          <w:r>
            <w:fldChar w:fldCharType="begin"/>
          </w:r>
          <w:r>
            <w:instrText xml:space="preserve"> HYPERLINK \l "_Toc61627934" </w:instrText>
          </w:r>
          <w:r>
            <w:fldChar w:fldCharType="separate"/>
          </w:r>
          <w:r>
            <w:rPr>
              <w:rStyle w:val="30"/>
              <w:color w:val="auto"/>
            </w:rPr>
            <w:t>五、 环境保护措施监督检查清单</w:t>
          </w:r>
          <w:r>
            <w:tab/>
          </w:r>
          <w:r>
            <w:fldChar w:fldCharType="begin"/>
          </w:r>
          <w:r>
            <w:instrText xml:space="preserve"> PAGEREF _Toc61627934 \h </w:instrText>
          </w:r>
          <w:r>
            <w:fldChar w:fldCharType="separate"/>
          </w:r>
          <w:r>
            <w:t>94</w:t>
          </w:r>
          <w:r>
            <w:fldChar w:fldCharType="end"/>
          </w:r>
          <w:r>
            <w:fldChar w:fldCharType="end"/>
          </w:r>
        </w:p>
        <w:p w14:paraId="7DCDE68A">
          <w:pPr>
            <w:pStyle w:val="23"/>
            <w:rPr>
              <w:bCs/>
              <w:lang w:val="zh-CN"/>
            </w:rPr>
          </w:pPr>
          <w:r>
            <w:fldChar w:fldCharType="begin"/>
          </w:r>
          <w:r>
            <w:instrText xml:space="preserve"> HYPERLINK \l "_Toc61627935" </w:instrText>
          </w:r>
          <w:r>
            <w:fldChar w:fldCharType="separate"/>
          </w:r>
          <w:r>
            <w:rPr>
              <w:rStyle w:val="30"/>
              <w:color w:val="auto"/>
            </w:rPr>
            <w:t>六、 结论</w:t>
          </w:r>
          <w:r>
            <w:tab/>
          </w:r>
          <w:r>
            <w:fldChar w:fldCharType="begin"/>
          </w:r>
          <w:r>
            <w:instrText xml:space="preserve"> PAGEREF _Toc61627935 \h </w:instrText>
          </w:r>
          <w:r>
            <w:fldChar w:fldCharType="separate"/>
          </w:r>
          <w:r>
            <w:t>96</w:t>
          </w:r>
          <w:r>
            <w:fldChar w:fldCharType="end"/>
          </w:r>
          <w:r>
            <w:fldChar w:fldCharType="end"/>
          </w:r>
          <w:r>
            <w:fldChar w:fldCharType="end"/>
          </w:r>
        </w:p>
      </w:sdtContent>
    </w:sdt>
    <w:p w14:paraId="5F122AA7">
      <w:pPr>
        <w:ind w:firstLine="482"/>
        <w:rPr>
          <w:b/>
        </w:rPr>
      </w:pPr>
      <w:r>
        <w:rPr>
          <w:rFonts w:hint="eastAsia"/>
          <w:b/>
        </w:rPr>
        <w:t>附件：</w:t>
      </w:r>
    </w:p>
    <w:p w14:paraId="56FB1F82">
      <w:pPr>
        <w:spacing w:line="240" w:lineRule="auto"/>
        <w:ind w:firstLine="480"/>
      </w:pPr>
      <w:r>
        <w:rPr>
          <w:rFonts w:hint="eastAsia"/>
        </w:rPr>
        <w:t>附件1：确认书</w:t>
      </w:r>
    </w:p>
    <w:p w14:paraId="7AF4AC11">
      <w:pPr>
        <w:spacing w:line="240" w:lineRule="auto"/>
        <w:ind w:firstLine="480"/>
      </w:pPr>
      <w:r>
        <w:rPr>
          <w:rFonts w:hint="eastAsia"/>
        </w:rPr>
        <w:t>附件2：委托书</w:t>
      </w:r>
    </w:p>
    <w:p w14:paraId="177A1352">
      <w:pPr>
        <w:spacing w:line="240" w:lineRule="auto"/>
        <w:ind w:firstLine="480"/>
      </w:pPr>
      <w:r>
        <w:rPr>
          <w:rFonts w:hint="eastAsia"/>
        </w:rPr>
        <w:t>附件3：项目备案证明</w:t>
      </w:r>
    </w:p>
    <w:p w14:paraId="4143F01B">
      <w:pPr>
        <w:spacing w:line="240" w:lineRule="auto"/>
        <w:ind w:firstLine="480"/>
      </w:pPr>
      <w:r>
        <w:rPr>
          <w:rFonts w:hint="eastAsia"/>
        </w:rPr>
        <w:t>附件4：</w:t>
      </w:r>
      <w:r>
        <w:rPr>
          <w:rFonts w:hint="eastAsia"/>
          <w:lang w:eastAsia="zh-CN"/>
        </w:rPr>
        <w:t>不动产权证</w:t>
      </w:r>
    </w:p>
    <w:p w14:paraId="65DA54FD">
      <w:pPr>
        <w:spacing w:line="240" w:lineRule="auto"/>
        <w:ind w:firstLine="480"/>
        <w:rPr>
          <w:rFonts w:hint="eastAsia"/>
        </w:rPr>
      </w:pPr>
      <w:r>
        <w:rPr>
          <w:rFonts w:hint="eastAsia"/>
        </w:rPr>
        <w:t>附件</w:t>
      </w:r>
      <w:r>
        <w:rPr>
          <w:rFonts w:hint="eastAsia"/>
          <w:lang w:val="en-US" w:eastAsia="zh-CN"/>
        </w:rPr>
        <w:t>5</w:t>
      </w:r>
      <w:r>
        <w:rPr>
          <w:rFonts w:hint="eastAsia"/>
        </w:rPr>
        <w:t>：现状监测报告</w:t>
      </w:r>
    </w:p>
    <w:p w14:paraId="79F8063F">
      <w:pPr>
        <w:spacing w:line="240" w:lineRule="auto"/>
        <w:ind w:firstLine="480"/>
        <w:rPr>
          <w:rFonts w:hint="eastAsia"/>
          <w:lang w:val="en-US" w:eastAsia="zh-CN"/>
        </w:rPr>
      </w:pPr>
      <w:r>
        <w:rPr>
          <w:rFonts w:hint="eastAsia"/>
          <w:lang w:eastAsia="zh-CN"/>
        </w:rPr>
        <w:t>附件</w:t>
      </w:r>
      <w:r>
        <w:rPr>
          <w:rFonts w:hint="eastAsia"/>
          <w:lang w:val="en-US" w:eastAsia="zh-CN"/>
        </w:rPr>
        <w:t>6：生态云研判报告</w:t>
      </w:r>
    </w:p>
    <w:p w14:paraId="03DE50CB">
      <w:pPr>
        <w:spacing w:line="240" w:lineRule="auto"/>
        <w:ind w:firstLine="480"/>
        <w:rPr>
          <w:rFonts w:hint="eastAsia"/>
          <w:lang w:val="en-US" w:eastAsia="zh-CN"/>
        </w:rPr>
      </w:pPr>
      <w:r>
        <w:rPr>
          <w:rFonts w:hint="eastAsia"/>
          <w:lang w:val="en-US" w:eastAsia="zh-CN"/>
        </w:rPr>
        <w:t>附件7：沼液消纳柑橘林协议材料</w:t>
      </w:r>
    </w:p>
    <w:p w14:paraId="3D8D58D0">
      <w:pPr>
        <w:spacing w:line="240" w:lineRule="auto"/>
        <w:ind w:firstLine="480"/>
        <w:rPr>
          <w:rFonts w:hint="eastAsia"/>
          <w:lang w:val="en-US" w:eastAsia="zh-CN"/>
        </w:rPr>
      </w:pPr>
      <w:r>
        <w:rPr>
          <w:rFonts w:hint="eastAsia"/>
          <w:lang w:val="en-US" w:eastAsia="zh-CN"/>
        </w:rPr>
        <w:t>附件8：关于全州县病死畜禽无害化处理项目“三区三线”审查意见</w:t>
      </w:r>
    </w:p>
    <w:p w14:paraId="36A1949E">
      <w:pPr>
        <w:spacing w:line="240" w:lineRule="auto"/>
        <w:ind w:firstLine="480"/>
        <w:rPr>
          <w:rFonts w:hint="default"/>
          <w:lang w:val="en-US" w:eastAsia="zh-CN"/>
        </w:rPr>
      </w:pPr>
      <w:r>
        <w:rPr>
          <w:rFonts w:hint="eastAsia"/>
          <w:lang w:val="en-US" w:eastAsia="zh-CN"/>
        </w:rPr>
        <w:t>附件9：研究县工业园区部分项目推进工作的纪要</w:t>
      </w:r>
    </w:p>
    <w:p w14:paraId="4A57B062">
      <w:pPr>
        <w:spacing w:line="240" w:lineRule="auto"/>
        <w:ind w:firstLine="480"/>
      </w:pPr>
    </w:p>
    <w:p w14:paraId="03FB50F8">
      <w:pPr>
        <w:ind w:firstLine="482"/>
        <w:rPr>
          <w:b/>
        </w:rPr>
      </w:pPr>
      <w:r>
        <w:rPr>
          <w:rFonts w:hint="eastAsia"/>
          <w:b/>
        </w:rPr>
        <w:t>附图：</w:t>
      </w:r>
    </w:p>
    <w:p w14:paraId="5B5DF283">
      <w:pPr>
        <w:spacing w:line="240" w:lineRule="auto"/>
        <w:ind w:firstLine="480"/>
      </w:pPr>
      <w:r>
        <w:rPr>
          <w:rFonts w:hint="eastAsia"/>
        </w:rPr>
        <w:t>附图1：项目地理位置图</w:t>
      </w:r>
    </w:p>
    <w:p w14:paraId="3E2D832D">
      <w:pPr>
        <w:spacing w:line="240" w:lineRule="auto"/>
        <w:ind w:firstLine="480"/>
        <w:rPr>
          <w:rFonts w:hint="eastAsia" w:eastAsia="宋体"/>
          <w:lang w:eastAsia="zh-CN"/>
        </w:rPr>
      </w:pPr>
      <w:r>
        <w:rPr>
          <w:rFonts w:hint="eastAsia"/>
        </w:rPr>
        <w:t>附图2：项目平面布置图</w:t>
      </w:r>
      <w:r>
        <w:rPr>
          <w:rFonts w:hint="eastAsia"/>
          <w:lang w:eastAsia="zh-CN"/>
        </w:rPr>
        <w:t>及分区防渗图</w:t>
      </w:r>
    </w:p>
    <w:p w14:paraId="730E2B4A">
      <w:pPr>
        <w:spacing w:line="240" w:lineRule="auto"/>
        <w:ind w:firstLine="480"/>
      </w:pPr>
      <w:r>
        <w:rPr>
          <w:rFonts w:hint="eastAsia"/>
        </w:rPr>
        <w:t>附图3：环境保护目标分布图</w:t>
      </w:r>
    </w:p>
    <w:p w14:paraId="019F9CD7">
      <w:pPr>
        <w:spacing w:line="240" w:lineRule="auto"/>
        <w:ind w:firstLine="480"/>
      </w:pPr>
      <w:r>
        <w:rPr>
          <w:rFonts w:hint="eastAsia"/>
        </w:rPr>
        <w:t>附图4：项目周边及现状图</w:t>
      </w:r>
    </w:p>
    <w:p w14:paraId="63508765">
      <w:pPr>
        <w:spacing w:line="240" w:lineRule="auto"/>
        <w:ind w:firstLine="480"/>
        <w:rPr>
          <w:rFonts w:hint="eastAsia"/>
        </w:rPr>
      </w:pPr>
      <w:r>
        <w:rPr>
          <w:rFonts w:hint="eastAsia"/>
        </w:rPr>
        <w:t>附图</w:t>
      </w:r>
      <w:r>
        <w:t>5</w:t>
      </w:r>
      <w:r>
        <w:rPr>
          <w:rFonts w:hint="eastAsia"/>
        </w:rPr>
        <w:t>：现状监测布点图</w:t>
      </w:r>
    </w:p>
    <w:p w14:paraId="581659D4">
      <w:pPr>
        <w:spacing w:line="240" w:lineRule="auto"/>
        <w:ind w:firstLine="480"/>
        <w:rPr>
          <w:rFonts w:hint="eastAsia"/>
          <w:lang w:val="en-US" w:eastAsia="zh-CN"/>
        </w:rPr>
      </w:pPr>
      <w:r>
        <w:rPr>
          <w:rFonts w:hint="eastAsia"/>
          <w:lang w:eastAsia="zh-CN"/>
        </w:rPr>
        <w:t>附图</w:t>
      </w:r>
      <w:r>
        <w:rPr>
          <w:rFonts w:hint="eastAsia"/>
          <w:lang w:val="en-US" w:eastAsia="zh-CN"/>
        </w:rPr>
        <w:t>6：桂林市环境管控单元分类图</w:t>
      </w:r>
    </w:p>
    <w:p w14:paraId="66970B4F">
      <w:pPr>
        <w:spacing w:line="240" w:lineRule="auto"/>
        <w:ind w:firstLine="480"/>
        <w:rPr>
          <w:rFonts w:hint="eastAsia"/>
          <w:lang w:val="en-US" w:eastAsia="zh-CN"/>
        </w:rPr>
      </w:pPr>
      <w:r>
        <w:rPr>
          <w:rFonts w:hint="eastAsia"/>
          <w:lang w:val="en-US" w:eastAsia="zh-CN"/>
        </w:rPr>
        <w:t>附图7：雨污管网图</w:t>
      </w:r>
    </w:p>
    <w:p w14:paraId="67D7EFBB">
      <w:pPr>
        <w:spacing w:line="240" w:lineRule="auto"/>
        <w:ind w:firstLine="480"/>
        <w:rPr>
          <w:rFonts w:hint="default"/>
          <w:lang w:val="en-US" w:eastAsia="zh-CN"/>
        </w:rPr>
      </w:pPr>
      <w:r>
        <w:rPr>
          <w:rFonts w:hint="eastAsia"/>
          <w:lang w:val="en-US" w:eastAsia="zh-CN"/>
        </w:rPr>
        <w:t>附图8：本项目与全州县工业集中区总体规划相对位置图</w:t>
      </w:r>
    </w:p>
    <w:p w14:paraId="7DF0A81F">
      <w:pPr>
        <w:spacing w:line="240" w:lineRule="auto"/>
        <w:ind w:firstLine="480"/>
        <w:rPr>
          <w:rFonts w:hint="default"/>
          <w:lang w:val="en-US" w:eastAsia="zh-CN"/>
        </w:rPr>
      </w:pPr>
    </w:p>
    <w:p w14:paraId="17CA3DA0">
      <w:pPr>
        <w:spacing w:line="240" w:lineRule="auto"/>
        <w:ind w:firstLine="480"/>
      </w:pPr>
    </w:p>
    <w:p w14:paraId="72E27BE3">
      <w:pPr>
        <w:spacing w:line="240" w:lineRule="auto"/>
      </w:pPr>
      <w:r>
        <w:br w:type="page"/>
      </w:r>
    </w:p>
    <w:p w14:paraId="5D132449">
      <w:pPr>
        <w:ind w:firstLineChars="0"/>
        <w:sectPr>
          <w:pgSz w:w="11906" w:h="16838"/>
          <w:pgMar w:top="1418" w:right="1418" w:bottom="1418" w:left="1418" w:header="851" w:footer="992" w:gutter="0"/>
          <w:pgBorders>
            <w:top w:val="none" w:sz="0" w:space="0"/>
            <w:left w:val="none" w:sz="0" w:space="0"/>
            <w:bottom w:val="none" w:sz="0" w:space="0"/>
            <w:right w:val="none" w:sz="0" w:space="0"/>
          </w:pgBorders>
          <w:pgNumType w:fmt="upperRoman" w:start="1"/>
          <w:cols w:space="425" w:num="1"/>
          <w:docGrid w:type="linesAndChars" w:linePitch="326" w:charSpace="0"/>
        </w:sectPr>
      </w:pPr>
    </w:p>
    <w:p w14:paraId="2271C482">
      <w:pPr>
        <w:pStyle w:val="2"/>
        <w:numPr>
          <w:ilvl w:val="0"/>
          <w:numId w:val="0"/>
        </w:numPr>
        <w:ind w:left="0" w:leftChars="0" w:firstLine="0" w:firstLineChars="0"/>
      </w:pPr>
      <w:bookmarkStart w:id="0" w:name="_Toc61627930"/>
      <w:r>
        <w:rPr>
          <w:rFonts w:hint="eastAsia" w:ascii="Times New Roman" w:hAnsi="Times New Roman" w:eastAsia="宋体" w:cs="Times New Roman"/>
          <w:b/>
          <w:kern w:val="2"/>
          <w:sz w:val="28"/>
          <w:szCs w:val="28"/>
          <w:lang w:val="en-US" w:eastAsia="zh-CN" w:bidi="ar-SA"/>
        </w:rPr>
        <w:t>一、</w:t>
      </w:r>
      <w:r>
        <w:t>建设项目基本情况</w:t>
      </w:r>
      <w:bookmarkEnd w:id="0"/>
    </w:p>
    <w:tbl>
      <w:tblPr>
        <w:tblStyle w:val="2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780"/>
        <w:gridCol w:w="1983"/>
        <w:gridCol w:w="2220"/>
        <w:gridCol w:w="3037"/>
      </w:tblGrid>
      <w:tr w14:paraId="147E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14:paraId="018C82ED">
            <w:pPr>
              <w:ind w:firstLine="0" w:firstLineChars="0"/>
              <w:jc w:val="center"/>
            </w:pPr>
            <w:r>
              <w:rPr>
                <w:rFonts w:hint="eastAsia"/>
              </w:rPr>
              <w:t>建设项目名称</w:t>
            </w:r>
          </w:p>
        </w:tc>
        <w:tc>
          <w:tcPr>
            <w:tcW w:w="6945" w:type="dxa"/>
            <w:gridSpan w:val="3"/>
            <w:vAlign w:val="center"/>
          </w:tcPr>
          <w:p w14:paraId="06876D75">
            <w:pPr>
              <w:ind w:firstLine="0" w:firstLineChars="0"/>
              <w:jc w:val="center"/>
            </w:pPr>
            <w:r>
              <w:rPr>
                <w:rFonts w:hint="eastAsia"/>
              </w:rPr>
              <w:t>全州县病死畜禽无害化处理项目</w:t>
            </w:r>
          </w:p>
        </w:tc>
      </w:tr>
      <w:tr w14:paraId="6340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14:paraId="5F928BCD">
            <w:pPr>
              <w:ind w:firstLine="0" w:firstLineChars="0"/>
              <w:jc w:val="center"/>
            </w:pPr>
            <w:r>
              <w:rPr>
                <w:rFonts w:hint="eastAsia"/>
              </w:rPr>
              <w:t>项目代码</w:t>
            </w:r>
          </w:p>
        </w:tc>
        <w:tc>
          <w:tcPr>
            <w:tcW w:w="6945" w:type="dxa"/>
            <w:gridSpan w:val="3"/>
            <w:vAlign w:val="center"/>
          </w:tcPr>
          <w:p w14:paraId="140A1E7C">
            <w:pPr>
              <w:ind w:firstLine="0" w:firstLineChars="0"/>
              <w:jc w:val="center"/>
            </w:pPr>
            <w:r>
              <w:rPr>
                <w:rFonts w:hint="eastAsia"/>
              </w:rPr>
              <w:t>2507-450324-04-01-963049</w:t>
            </w:r>
          </w:p>
        </w:tc>
      </w:tr>
      <w:tr w14:paraId="5F08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14:paraId="300C1EF0">
            <w:pPr>
              <w:ind w:firstLine="0" w:firstLineChars="0"/>
              <w:jc w:val="center"/>
            </w:pPr>
            <w:r>
              <w:rPr>
                <w:rFonts w:hint="eastAsia"/>
              </w:rPr>
              <w:t>建设单位联系人</w:t>
            </w:r>
          </w:p>
        </w:tc>
        <w:tc>
          <w:tcPr>
            <w:tcW w:w="1842" w:type="dxa"/>
            <w:vAlign w:val="center"/>
          </w:tcPr>
          <w:p w14:paraId="5C0BBC45">
            <w:pPr>
              <w:ind w:firstLine="0" w:firstLineChars="0"/>
              <w:jc w:val="center"/>
              <w:rPr>
                <w:rFonts w:hint="eastAsia" w:eastAsia="宋体"/>
                <w:lang w:eastAsia="zh-CN"/>
              </w:rPr>
            </w:pPr>
          </w:p>
        </w:tc>
        <w:tc>
          <w:tcPr>
            <w:tcW w:w="2268" w:type="dxa"/>
            <w:vAlign w:val="center"/>
          </w:tcPr>
          <w:p w14:paraId="49429029">
            <w:pPr>
              <w:ind w:firstLine="0" w:firstLineChars="0"/>
              <w:jc w:val="center"/>
            </w:pPr>
            <w:r>
              <w:rPr>
                <w:rFonts w:hint="eastAsia"/>
              </w:rPr>
              <w:t>联系方式</w:t>
            </w:r>
          </w:p>
        </w:tc>
        <w:tc>
          <w:tcPr>
            <w:tcW w:w="2835" w:type="dxa"/>
            <w:vAlign w:val="center"/>
          </w:tcPr>
          <w:p w14:paraId="19A160B8">
            <w:pPr>
              <w:ind w:firstLine="0" w:firstLineChars="0"/>
              <w:jc w:val="center"/>
              <w:rPr>
                <w:rFonts w:hint="default" w:eastAsia="宋体"/>
                <w:lang w:val="en-US" w:eastAsia="zh-CN"/>
              </w:rPr>
            </w:pPr>
          </w:p>
        </w:tc>
      </w:tr>
      <w:tr w14:paraId="6E8E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14:paraId="142F841E">
            <w:pPr>
              <w:ind w:firstLine="0" w:firstLineChars="0"/>
              <w:jc w:val="center"/>
            </w:pPr>
            <w:r>
              <w:rPr>
                <w:rFonts w:hint="eastAsia"/>
              </w:rPr>
              <w:t>建设地点</w:t>
            </w:r>
          </w:p>
        </w:tc>
        <w:tc>
          <w:tcPr>
            <w:tcW w:w="6945" w:type="dxa"/>
            <w:gridSpan w:val="3"/>
            <w:vAlign w:val="center"/>
          </w:tcPr>
          <w:p w14:paraId="685DB8F9">
            <w:pPr>
              <w:spacing w:line="276" w:lineRule="auto"/>
              <w:ind w:firstLine="0" w:firstLineChars="0"/>
              <w:jc w:val="center"/>
            </w:pPr>
            <w:r>
              <w:rPr>
                <w:sz w:val="24"/>
                <w:u w:val="single"/>
              </w:rPr>
              <w:t>广西壮族</w:t>
            </w:r>
            <w:r>
              <w:rPr>
                <w:sz w:val="24"/>
              </w:rPr>
              <w:t>自治区</w:t>
            </w:r>
            <w:r>
              <w:rPr>
                <w:sz w:val="24"/>
                <w:u w:val="single"/>
              </w:rPr>
              <w:t>桂林</w:t>
            </w:r>
            <w:r>
              <w:rPr>
                <w:sz w:val="24"/>
              </w:rPr>
              <w:t>市</w:t>
            </w:r>
            <w:r>
              <w:rPr>
                <w:rFonts w:hint="eastAsia"/>
                <w:sz w:val="24"/>
                <w:u w:val="single"/>
              </w:rPr>
              <w:t>全州县工业集中区综合产业园城西片区</w:t>
            </w:r>
          </w:p>
        </w:tc>
      </w:tr>
      <w:tr w14:paraId="3FFF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14:paraId="5EF42A7A">
            <w:pPr>
              <w:ind w:firstLine="0" w:firstLineChars="0"/>
              <w:jc w:val="center"/>
            </w:pPr>
            <w:r>
              <w:rPr>
                <w:rFonts w:hint="eastAsia"/>
              </w:rPr>
              <w:t>地理坐标</w:t>
            </w:r>
          </w:p>
        </w:tc>
        <w:tc>
          <w:tcPr>
            <w:tcW w:w="6945" w:type="dxa"/>
            <w:gridSpan w:val="3"/>
            <w:vAlign w:val="center"/>
          </w:tcPr>
          <w:p w14:paraId="580E8487">
            <w:pPr>
              <w:ind w:firstLine="0" w:firstLineChars="0"/>
              <w:jc w:val="center"/>
            </w:pPr>
            <w:r>
              <w:rPr>
                <w:sz w:val="24"/>
              </w:rPr>
              <w:t>（</w:t>
            </w:r>
            <w:r>
              <w:rPr>
                <w:rFonts w:ascii="Times New Roman" w:eastAsia="Times New Roman"/>
                <w:sz w:val="24"/>
                <w:u w:val="single"/>
              </w:rPr>
              <w:t>11</w:t>
            </w:r>
            <w:r>
              <w:rPr>
                <w:rFonts w:hint="eastAsia" w:eastAsia="宋体"/>
                <w:sz w:val="24"/>
                <w:u w:val="single"/>
                <w:lang w:val="en-US" w:eastAsia="zh-CN"/>
              </w:rPr>
              <w:t>1</w:t>
            </w:r>
            <w:r>
              <w:rPr>
                <w:sz w:val="24"/>
              </w:rPr>
              <w:t>度</w:t>
            </w:r>
            <w:r>
              <w:rPr>
                <w:rFonts w:hint="eastAsia" w:eastAsia="宋体"/>
                <w:sz w:val="24"/>
                <w:u w:val="single"/>
                <w:lang w:val="en-US" w:eastAsia="zh-CN"/>
              </w:rPr>
              <w:t>1</w:t>
            </w:r>
            <w:r>
              <w:rPr>
                <w:sz w:val="24"/>
              </w:rPr>
              <w:t>分</w:t>
            </w:r>
            <w:r>
              <w:rPr>
                <w:rFonts w:hint="eastAsia" w:eastAsia="宋体"/>
                <w:sz w:val="24"/>
                <w:u w:val="single"/>
                <w:lang w:val="en-US" w:eastAsia="zh-CN"/>
              </w:rPr>
              <w:t>17.2</w:t>
            </w:r>
            <w:r>
              <w:rPr>
                <w:rFonts w:hint="eastAsia"/>
                <w:sz w:val="24"/>
                <w:u w:val="single"/>
                <w:lang w:val="en-US" w:eastAsia="zh-CN"/>
              </w:rPr>
              <w:t>33</w:t>
            </w:r>
            <w:r>
              <w:rPr>
                <w:sz w:val="24"/>
              </w:rPr>
              <w:t>秒，</w:t>
            </w:r>
            <w:r>
              <w:rPr>
                <w:rFonts w:ascii="Times New Roman" w:eastAsia="Times New Roman"/>
                <w:sz w:val="24"/>
                <w:u w:val="single"/>
              </w:rPr>
              <w:t>25</w:t>
            </w:r>
            <w:r>
              <w:rPr>
                <w:sz w:val="24"/>
              </w:rPr>
              <w:t>度</w:t>
            </w:r>
            <w:r>
              <w:rPr>
                <w:rFonts w:hint="eastAsia" w:eastAsia="宋体"/>
                <w:sz w:val="24"/>
                <w:u w:val="single"/>
                <w:lang w:val="en-US" w:eastAsia="zh-CN"/>
              </w:rPr>
              <w:t>55</w:t>
            </w:r>
            <w:r>
              <w:rPr>
                <w:sz w:val="24"/>
              </w:rPr>
              <w:t>分</w:t>
            </w:r>
            <w:r>
              <w:rPr>
                <w:rFonts w:hint="eastAsia" w:eastAsia="宋体"/>
                <w:sz w:val="24"/>
                <w:u w:val="single"/>
                <w:lang w:val="en-US" w:eastAsia="zh-CN"/>
              </w:rPr>
              <w:t>15.6</w:t>
            </w:r>
            <w:r>
              <w:rPr>
                <w:rFonts w:hint="eastAsia"/>
                <w:sz w:val="24"/>
                <w:u w:val="single"/>
                <w:lang w:val="en-US" w:eastAsia="zh-CN"/>
              </w:rPr>
              <w:t>22</w:t>
            </w:r>
            <w:r>
              <w:rPr>
                <w:sz w:val="24"/>
              </w:rPr>
              <w:t>秒</w:t>
            </w:r>
            <w:r>
              <w:rPr>
                <w:spacing w:val="-10"/>
                <w:sz w:val="24"/>
              </w:rPr>
              <w:t>）</w:t>
            </w:r>
          </w:p>
        </w:tc>
      </w:tr>
      <w:tr w14:paraId="362B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14:paraId="377D26D5">
            <w:pPr>
              <w:spacing w:line="276" w:lineRule="auto"/>
              <w:ind w:firstLine="0" w:firstLineChars="0"/>
              <w:jc w:val="center"/>
            </w:pPr>
            <w:r>
              <w:rPr>
                <w:rFonts w:hint="eastAsia"/>
              </w:rPr>
              <w:t>国民经济</w:t>
            </w:r>
          </w:p>
          <w:p w14:paraId="57478FFF">
            <w:pPr>
              <w:spacing w:line="276" w:lineRule="auto"/>
              <w:ind w:firstLine="0" w:firstLineChars="0"/>
              <w:jc w:val="center"/>
            </w:pPr>
            <w:r>
              <w:rPr>
                <w:rFonts w:hint="eastAsia"/>
              </w:rPr>
              <w:t>行业类别</w:t>
            </w:r>
          </w:p>
        </w:tc>
        <w:tc>
          <w:tcPr>
            <w:tcW w:w="1842" w:type="dxa"/>
            <w:vAlign w:val="center"/>
          </w:tcPr>
          <w:p w14:paraId="1D69C879">
            <w:pPr>
              <w:pStyle w:val="56"/>
              <w:spacing w:before="3"/>
              <w:ind w:left="0" w:leftChars="0" w:right="95" w:firstLine="0" w:firstLineChars="0"/>
              <w:jc w:val="both"/>
              <w:rPr>
                <w:rFonts w:hint="eastAsia"/>
              </w:rPr>
            </w:pPr>
            <w:r>
              <w:rPr>
                <w:rFonts w:hint="eastAsia"/>
              </w:rPr>
              <w:t>A</w:t>
            </w:r>
            <w:r>
              <w:t>0539</w:t>
            </w:r>
            <w:r>
              <w:rPr>
                <w:rFonts w:hint="eastAsia"/>
              </w:rPr>
              <w:t>其他畜牧专业及辅助性活动</w:t>
            </w:r>
          </w:p>
          <w:p w14:paraId="4A4F6E5A">
            <w:pPr>
              <w:pStyle w:val="56"/>
              <w:spacing w:before="3"/>
              <w:ind w:left="0" w:leftChars="0" w:right="95" w:firstLine="0" w:firstLineChars="0"/>
              <w:jc w:val="both"/>
              <w:rPr>
                <w:rFonts w:hint="default" w:eastAsia="宋体"/>
                <w:lang w:val="en-US" w:eastAsia="zh-CN"/>
              </w:rPr>
            </w:pPr>
            <w:r>
              <w:rPr>
                <w:rFonts w:hint="eastAsia"/>
                <w:lang w:val="en-US" w:eastAsia="zh-CN"/>
              </w:rPr>
              <w:t>C1353</w:t>
            </w:r>
            <w:r>
              <w:rPr>
                <w:rFonts w:hint="eastAsia"/>
              </w:rPr>
              <w:t>肉制品及副产品加工</w:t>
            </w:r>
          </w:p>
          <w:p w14:paraId="09BBEF52">
            <w:pPr>
              <w:pStyle w:val="56"/>
              <w:spacing w:before="3"/>
              <w:ind w:left="0" w:leftChars="0" w:right="95" w:firstLine="0" w:firstLineChars="0"/>
              <w:jc w:val="both"/>
              <w:rPr>
                <w:rFonts w:hint="eastAsia"/>
              </w:rPr>
            </w:pPr>
            <w:r>
              <w:rPr>
                <w:rFonts w:hint="eastAsia"/>
              </w:rPr>
              <w:t>D4430热力生产和供应</w:t>
            </w:r>
          </w:p>
          <w:p w14:paraId="1324B4A7">
            <w:pPr>
              <w:pStyle w:val="56"/>
              <w:spacing w:before="3"/>
              <w:ind w:right="95" w:firstLine="0" w:firstLineChars="0"/>
              <w:rPr>
                <w:rFonts w:hint="eastAsia"/>
              </w:rPr>
            </w:pPr>
            <w:r>
              <w:rPr>
                <w:rFonts w:hint="eastAsia"/>
              </w:rPr>
              <w:t>N7</w:t>
            </w:r>
            <w:r>
              <w:t>723</w:t>
            </w:r>
            <w:r>
              <w:rPr>
                <w:rFonts w:hint="eastAsia"/>
              </w:rPr>
              <w:t>固体废物治理</w:t>
            </w:r>
          </w:p>
        </w:tc>
        <w:tc>
          <w:tcPr>
            <w:tcW w:w="2268" w:type="dxa"/>
            <w:vAlign w:val="center"/>
          </w:tcPr>
          <w:p w14:paraId="1DABB28C">
            <w:pPr>
              <w:spacing w:line="276" w:lineRule="auto"/>
              <w:ind w:firstLine="0" w:firstLineChars="0"/>
              <w:jc w:val="center"/>
            </w:pPr>
            <w:r>
              <w:t>建设项目</w:t>
            </w:r>
          </w:p>
          <w:p w14:paraId="5EED6320">
            <w:pPr>
              <w:spacing w:line="276" w:lineRule="auto"/>
              <w:ind w:firstLine="0" w:firstLineChars="0"/>
              <w:jc w:val="center"/>
            </w:pPr>
            <w:r>
              <w:t>行业</w:t>
            </w:r>
            <w:r>
              <w:rPr>
                <w:rFonts w:hint="eastAsia"/>
              </w:rPr>
              <w:t>类</w:t>
            </w:r>
            <w:r>
              <w:t>别</w:t>
            </w:r>
          </w:p>
        </w:tc>
        <w:tc>
          <w:tcPr>
            <w:tcW w:w="2835" w:type="dxa"/>
            <w:vAlign w:val="center"/>
          </w:tcPr>
          <w:p w14:paraId="79D4F85C">
            <w:pPr>
              <w:spacing w:line="276" w:lineRule="auto"/>
              <w:ind w:firstLine="0" w:firstLineChars="0"/>
              <w:jc w:val="center"/>
              <w:rPr>
                <w:rFonts w:hint="eastAsia" w:ascii="Times New Roman" w:eastAsia="Times New Roman"/>
                <w:sz w:val="24"/>
              </w:rPr>
            </w:pPr>
            <w:r>
              <w:rPr>
                <w:rFonts w:hint="eastAsia" w:ascii="Times New Roman" w:eastAsia="Times New Roman"/>
                <w:sz w:val="24"/>
              </w:rPr>
              <w:t>四十七、生态保护和环境治理业”中“102.医疗废物处置、病死及病害动物无害化处理”中“其他”</w:t>
            </w:r>
          </w:p>
          <w:p w14:paraId="54009A4A">
            <w:pPr>
              <w:spacing w:line="276" w:lineRule="auto"/>
              <w:ind w:firstLine="0" w:firstLineChars="0"/>
              <w:jc w:val="center"/>
            </w:pPr>
            <w:r>
              <w:rPr>
                <w:rFonts w:hint="eastAsia" w:ascii="Times New Roman" w:eastAsia="Times New Roman"/>
                <w:sz w:val="24"/>
              </w:rPr>
              <w:t>四十一、电力、热力生产和供应业中“91、热力生产和供应工程(包括建设单位自建自用的供热工程)”</w:t>
            </w:r>
          </w:p>
        </w:tc>
      </w:tr>
      <w:tr w14:paraId="64EF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14:paraId="4FA2427A">
            <w:pPr>
              <w:spacing w:line="276" w:lineRule="auto"/>
              <w:ind w:firstLine="0" w:firstLineChars="0"/>
              <w:jc w:val="center"/>
            </w:pPr>
            <w:r>
              <w:rPr>
                <w:rFonts w:hint="eastAsia"/>
              </w:rPr>
              <w:t>建设性质</w:t>
            </w:r>
          </w:p>
        </w:tc>
        <w:tc>
          <w:tcPr>
            <w:tcW w:w="1842" w:type="dxa"/>
            <w:vAlign w:val="center"/>
          </w:tcPr>
          <w:p w14:paraId="1EDD2C0C">
            <w:pPr>
              <w:spacing w:line="276" w:lineRule="auto"/>
              <w:ind w:firstLine="0" w:firstLineChars="0"/>
              <w:jc w:val="left"/>
              <w:rPr>
                <w:sz w:val="21"/>
                <w:szCs w:val="21"/>
              </w:rPr>
            </w:pPr>
            <w:r>
              <w:rPr>
                <w:rFonts w:hint="eastAsia" w:ascii="Segoe UI Symbol" w:hAnsi="Segoe UI Symbol" w:cs="Segoe UI Symbol"/>
                <w:lang w:eastAsia="zh-CN"/>
              </w:rPr>
              <w:t>☑</w:t>
            </w:r>
            <w:r>
              <w:rPr>
                <w:sz w:val="21"/>
                <w:szCs w:val="21"/>
              </w:rPr>
              <w:t>新建</w:t>
            </w:r>
            <w:r>
              <w:rPr>
                <w:rFonts w:hint="eastAsia"/>
                <w:sz w:val="21"/>
                <w:szCs w:val="21"/>
              </w:rPr>
              <w:t>(</w:t>
            </w:r>
            <w:r>
              <w:rPr>
                <w:sz w:val="21"/>
                <w:szCs w:val="21"/>
              </w:rPr>
              <w:t>迁建</w:t>
            </w:r>
            <w:r>
              <w:rPr>
                <w:rFonts w:hint="eastAsia"/>
                <w:sz w:val="21"/>
                <w:szCs w:val="21"/>
              </w:rPr>
              <w:t>)</w:t>
            </w:r>
          </w:p>
          <w:p w14:paraId="25EF8727">
            <w:pPr>
              <w:spacing w:line="276" w:lineRule="auto"/>
              <w:ind w:firstLine="0" w:firstLineChars="0"/>
              <w:jc w:val="left"/>
              <w:rPr>
                <w:sz w:val="21"/>
                <w:szCs w:val="21"/>
              </w:rPr>
            </w:pPr>
            <w:r>
              <w:rPr>
                <w:rFonts w:hint="eastAsia" w:ascii="宋体" w:hAnsi="宋体"/>
                <w:sz w:val="21"/>
                <w:szCs w:val="21"/>
                <w:lang w:eastAsia="zh-CN"/>
              </w:rPr>
              <w:t>□</w:t>
            </w:r>
            <w:r>
              <w:rPr>
                <w:sz w:val="21"/>
                <w:szCs w:val="21"/>
              </w:rPr>
              <w:t>改建</w:t>
            </w:r>
          </w:p>
          <w:p w14:paraId="71209EE2">
            <w:pPr>
              <w:spacing w:line="276" w:lineRule="auto"/>
              <w:ind w:firstLine="0" w:firstLineChars="0"/>
              <w:jc w:val="left"/>
              <w:rPr>
                <w:sz w:val="21"/>
                <w:szCs w:val="21"/>
              </w:rPr>
            </w:pPr>
            <w:r>
              <w:rPr>
                <w:rFonts w:hint="eastAsia" w:ascii="宋体" w:hAnsi="宋体"/>
                <w:sz w:val="21"/>
                <w:szCs w:val="21"/>
                <w:lang w:eastAsia="zh-CN"/>
              </w:rPr>
              <w:t>□</w:t>
            </w:r>
            <w:r>
              <w:rPr>
                <w:sz w:val="21"/>
                <w:szCs w:val="21"/>
              </w:rPr>
              <w:t>扩建</w:t>
            </w:r>
          </w:p>
          <w:p w14:paraId="0B7C3B64">
            <w:pPr>
              <w:spacing w:line="276" w:lineRule="auto"/>
              <w:ind w:firstLine="0" w:firstLineChars="0"/>
              <w:jc w:val="left"/>
            </w:pPr>
            <w:r>
              <w:rPr>
                <w:rFonts w:hint="eastAsia" w:ascii="宋体" w:hAnsi="宋体"/>
                <w:sz w:val="21"/>
                <w:szCs w:val="21"/>
                <w:lang w:eastAsia="zh-CN"/>
              </w:rPr>
              <w:t>□</w:t>
            </w:r>
            <w:r>
              <w:rPr>
                <w:sz w:val="21"/>
                <w:szCs w:val="21"/>
              </w:rPr>
              <w:t>技术改造</w:t>
            </w:r>
          </w:p>
        </w:tc>
        <w:tc>
          <w:tcPr>
            <w:tcW w:w="2268" w:type="dxa"/>
            <w:vAlign w:val="center"/>
          </w:tcPr>
          <w:p w14:paraId="37FF2566">
            <w:pPr>
              <w:spacing w:line="276" w:lineRule="auto"/>
              <w:ind w:firstLine="0" w:firstLineChars="0"/>
              <w:jc w:val="center"/>
            </w:pPr>
            <w:r>
              <w:rPr>
                <w:rFonts w:hint="eastAsia"/>
              </w:rPr>
              <w:t>建设项目</w:t>
            </w:r>
          </w:p>
          <w:p w14:paraId="524A8B20">
            <w:pPr>
              <w:spacing w:line="276" w:lineRule="auto"/>
              <w:ind w:firstLine="0" w:firstLineChars="0"/>
              <w:jc w:val="center"/>
            </w:pPr>
            <w:r>
              <w:rPr>
                <w:rFonts w:hint="eastAsia"/>
              </w:rPr>
              <w:t>申报情形</w:t>
            </w:r>
          </w:p>
        </w:tc>
        <w:tc>
          <w:tcPr>
            <w:tcW w:w="2835" w:type="dxa"/>
            <w:vAlign w:val="center"/>
          </w:tcPr>
          <w:p w14:paraId="10C838FF">
            <w:pPr>
              <w:spacing w:line="276" w:lineRule="auto"/>
              <w:ind w:firstLine="0" w:firstLineChars="0"/>
              <w:rPr>
                <w:sz w:val="21"/>
                <w:szCs w:val="21"/>
              </w:rPr>
            </w:pPr>
            <w:r>
              <w:rPr>
                <w:rFonts w:ascii="Segoe UI Symbol" w:hAnsi="Segoe UI Symbol" w:cs="Segoe UI Symbol"/>
              </w:rPr>
              <w:t>☑</w:t>
            </w:r>
            <w:r>
              <w:rPr>
                <w:sz w:val="21"/>
                <w:szCs w:val="21"/>
              </w:rPr>
              <w:t>首次申报项目</w:t>
            </w:r>
          </w:p>
          <w:p w14:paraId="6C3F5777">
            <w:pPr>
              <w:spacing w:line="276" w:lineRule="auto"/>
              <w:ind w:firstLine="0" w:firstLineChars="0"/>
              <w:rPr>
                <w:sz w:val="21"/>
                <w:szCs w:val="21"/>
              </w:rPr>
            </w:pPr>
            <w:r>
              <w:rPr>
                <w:rFonts w:hint="eastAsia" w:ascii="宋体" w:hAnsi="宋体"/>
                <w:sz w:val="21"/>
                <w:szCs w:val="21"/>
              </w:rPr>
              <w:t>□</w:t>
            </w:r>
            <w:r>
              <w:rPr>
                <w:sz w:val="21"/>
                <w:szCs w:val="21"/>
              </w:rPr>
              <w:t>不予批准后再次申报项目</w:t>
            </w:r>
          </w:p>
          <w:p w14:paraId="550B5F59">
            <w:pPr>
              <w:spacing w:line="276" w:lineRule="auto"/>
              <w:ind w:firstLine="0" w:firstLineChars="0"/>
              <w:rPr>
                <w:sz w:val="21"/>
                <w:szCs w:val="21"/>
              </w:rPr>
            </w:pPr>
            <w:r>
              <w:rPr>
                <w:rFonts w:hint="eastAsia" w:ascii="宋体" w:hAnsi="宋体"/>
                <w:sz w:val="21"/>
                <w:szCs w:val="21"/>
              </w:rPr>
              <w:t>□</w:t>
            </w:r>
            <w:r>
              <w:rPr>
                <w:sz w:val="21"/>
                <w:szCs w:val="21"/>
              </w:rPr>
              <w:t>超五年重新审核项目</w:t>
            </w:r>
          </w:p>
          <w:p w14:paraId="3055C18F">
            <w:pPr>
              <w:spacing w:line="276" w:lineRule="auto"/>
              <w:ind w:firstLine="0" w:firstLineChars="0"/>
            </w:pPr>
            <w:r>
              <w:rPr>
                <w:rFonts w:hint="eastAsia" w:ascii="宋体" w:hAnsi="宋体"/>
                <w:sz w:val="21"/>
                <w:szCs w:val="21"/>
              </w:rPr>
              <w:t>□</w:t>
            </w:r>
            <w:r>
              <w:rPr>
                <w:sz w:val="21"/>
                <w:szCs w:val="21"/>
              </w:rPr>
              <w:t>重大变动重新报批项目</w:t>
            </w:r>
          </w:p>
        </w:tc>
      </w:tr>
      <w:tr w14:paraId="7B34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14:paraId="4D09216D">
            <w:pPr>
              <w:spacing w:line="276" w:lineRule="auto"/>
              <w:ind w:firstLine="0" w:firstLineChars="0"/>
              <w:jc w:val="center"/>
            </w:pPr>
            <w:r>
              <w:rPr>
                <w:rFonts w:hint="eastAsia"/>
              </w:rPr>
              <w:t>项目审批（核准/备案）部门</w:t>
            </w:r>
          </w:p>
        </w:tc>
        <w:tc>
          <w:tcPr>
            <w:tcW w:w="1842" w:type="dxa"/>
            <w:vAlign w:val="center"/>
          </w:tcPr>
          <w:p w14:paraId="72544263">
            <w:pPr>
              <w:spacing w:line="276" w:lineRule="auto"/>
              <w:ind w:firstLine="0" w:firstLineChars="0"/>
              <w:jc w:val="center"/>
              <w:rPr>
                <w:rFonts w:hint="eastAsia" w:eastAsia="宋体"/>
                <w:lang w:val="en-US" w:eastAsia="zh-CN"/>
              </w:rPr>
            </w:pPr>
            <w:r>
              <w:rPr>
                <w:rFonts w:hint="eastAsia"/>
                <w:lang w:val="en-US" w:eastAsia="zh-CN"/>
              </w:rPr>
              <w:t>/</w:t>
            </w:r>
          </w:p>
        </w:tc>
        <w:tc>
          <w:tcPr>
            <w:tcW w:w="2268" w:type="dxa"/>
            <w:vAlign w:val="center"/>
          </w:tcPr>
          <w:p w14:paraId="2583D078">
            <w:pPr>
              <w:spacing w:line="276" w:lineRule="auto"/>
              <w:ind w:firstLine="0" w:firstLineChars="0"/>
              <w:jc w:val="center"/>
            </w:pPr>
            <w:r>
              <w:rPr>
                <w:rFonts w:hint="eastAsia"/>
              </w:rPr>
              <w:t>项目审批（核准/备案）文号</w:t>
            </w:r>
          </w:p>
        </w:tc>
        <w:tc>
          <w:tcPr>
            <w:tcW w:w="2835" w:type="dxa"/>
            <w:vAlign w:val="center"/>
          </w:tcPr>
          <w:p w14:paraId="4CE152DA">
            <w:pPr>
              <w:spacing w:line="276" w:lineRule="auto"/>
              <w:ind w:firstLine="0" w:firstLineChars="0"/>
              <w:jc w:val="center"/>
              <w:rPr>
                <w:rFonts w:hint="eastAsia" w:eastAsia="宋体"/>
                <w:lang w:val="en-US" w:eastAsia="zh-CN"/>
              </w:rPr>
            </w:pPr>
            <w:r>
              <w:rPr>
                <w:rFonts w:hint="eastAsia"/>
                <w:lang w:val="en-US" w:eastAsia="zh-CN"/>
              </w:rPr>
              <w:t>/</w:t>
            </w:r>
          </w:p>
        </w:tc>
      </w:tr>
      <w:tr w14:paraId="3E1D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14:paraId="1F4A8F25">
            <w:pPr>
              <w:ind w:firstLine="0" w:firstLineChars="0"/>
              <w:jc w:val="center"/>
            </w:pPr>
            <w:r>
              <w:rPr>
                <w:rFonts w:hint="eastAsia"/>
              </w:rPr>
              <w:t>总投资（万元）</w:t>
            </w:r>
          </w:p>
        </w:tc>
        <w:tc>
          <w:tcPr>
            <w:tcW w:w="1842" w:type="dxa"/>
            <w:vAlign w:val="center"/>
          </w:tcPr>
          <w:p w14:paraId="0A623C90">
            <w:pPr>
              <w:ind w:firstLine="0" w:firstLineChars="0"/>
              <w:jc w:val="center"/>
              <w:rPr>
                <w:rFonts w:hint="default" w:eastAsia="宋体"/>
                <w:lang w:val="en-US" w:eastAsia="zh-CN"/>
              </w:rPr>
            </w:pPr>
            <w:r>
              <w:rPr>
                <w:rFonts w:hint="eastAsia"/>
                <w:lang w:val="en-US" w:eastAsia="zh-CN"/>
              </w:rPr>
              <w:t>1000</w:t>
            </w:r>
          </w:p>
        </w:tc>
        <w:tc>
          <w:tcPr>
            <w:tcW w:w="2268" w:type="dxa"/>
            <w:vAlign w:val="center"/>
          </w:tcPr>
          <w:p w14:paraId="75BA03AD">
            <w:pPr>
              <w:ind w:firstLine="0" w:firstLineChars="0"/>
              <w:jc w:val="center"/>
            </w:pPr>
            <w:r>
              <w:t>环保投资（万元）</w:t>
            </w:r>
          </w:p>
        </w:tc>
        <w:tc>
          <w:tcPr>
            <w:tcW w:w="2835" w:type="dxa"/>
            <w:vAlign w:val="center"/>
          </w:tcPr>
          <w:p w14:paraId="7C2BF9DB">
            <w:pPr>
              <w:ind w:firstLine="0" w:firstLineChars="0"/>
              <w:jc w:val="center"/>
              <w:rPr>
                <w:rFonts w:hint="default" w:eastAsia="宋体"/>
                <w:lang w:val="en-US" w:eastAsia="zh-CN"/>
              </w:rPr>
            </w:pPr>
            <w:r>
              <w:rPr>
                <w:rFonts w:hint="eastAsia"/>
                <w:lang w:val="en-US" w:eastAsia="zh-CN"/>
              </w:rPr>
              <w:t>110.8</w:t>
            </w:r>
          </w:p>
        </w:tc>
      </w:tr>
      <w:tr w14:paraId="722C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14:paraId="04AEF2E6">
            <w:pPr>
              <w:ind w:firstLine="0" w:firstLineChars="0"/>
              <w:jc w:val="center"/>
            </w:pPr>
            <w:r>
              <w:t>环保投资占比</w:t>
            </w:r>
            <w:r>
              <w:rPr>
                <w:rFonts w:hint="eastAsia"/>
              </w:rPr>
              <w:t>(</w:t>
            </w:r>
            <w:r>
              <w:t>%</w:t>
            </w:r>
            <w:r>
              <w:rPr>
                <w:rFonts w:hint="eastAsia"/>
              </w:rPr>
              <w:t>)</w:t>
            </w:r>
          </w:p>
        </w:tc>
        <w:tc>
          <w:tcPr>
            <w:tcW w:w="1842" w:type="dxa"/>
            <w:vAlign w:val="center"/>
          </w:tcPr>
          <w:p w14:paraId="46A9260A">
            <w:pPr>
              <w:ind w:firstLine="0" w:firstLineChars="0"/>
              <w:jc w:val="center"/>
              <w:rPr>
                <w:rFonts w:hint="default" w:eastAsia="宋体"/>
                <w:lang w:val="en-US" w:eastAsia="zh-CN"/>
              </w:rPr>
            </w:pPr>
            <w:r>
              <w:rPr>
                <w:rFonts w:hint="eastAsia"/>
                <w:lang w:val="en-US" w:eastAsia="zh-CN"/>
              </w:rPr>
              <w:t>11.08</w:t>
            </w:r>
          </w:p>
        </w:tc>
        <w:tc>
          <w:tcPr>
            <w:tcW w:w="2268" w:type="dxa"/>
            <w:vAlign w:val="center"/>
          </w:tcPr>
          <w:p w14:paraId="62252838">
            <w:pPr>
              <w:ind w:firstLine="0" w:firstLineChars="0"/>
              <w:jc w:val="center"/>
            </w:pPr>
            <w:r>
              <w:t>施工工期</w:t>
            </w:r>
          </w:p>
        </w:tc>
        <w:tc>
          <w:tcPr>
            <w:tcW w:w="2835" w:type="dxa"/>
            <w:vAlign w:val="center"/>
          </w:tcPr>
          <w:p w14:paraId="4684DD56">
            <w:pPr>
              <w:ind w:firstLine="0" w:firstLineChars="0"/>
              <w:jc w:val="center"/>
              <w:rPr>
                <w:rFonts w:hint="default" w:eastAsia="宋体"/>
                <w:lang w:val="en-US" w:eastAsia="zh-CN"/>
              </w:rPr>
            </w:pPr>
            <w:r>
              <w:rPr>
                <w:rFonts w:hint="eastAsia"/>
                <w:lang w:val="en-US" w:eastAsia="zh-CN"/>
              </w:rPr>
              <w:t>12个月</w:t>
            </w:r>
          </w:p>
        </w:tc>
      </w:tr>
      <w:tr w14:paraId="65A0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14:paraId="1D73AAFE">
            <w:pPr>
              <w:spacing w:line="276" w:lineRule="auto"/>
              <w:ind w:firstLine="0" w:firstLineChars="0"/>
              <w:jc w:val="center"/>
            </w:pPr>
            <w:r>
              <w:t>是否开工建设</w:t>
            </w:r>
          </w:p>
        </w:tc>
        <w:tc>
          <w:tcPr>
            <w:tcW w:w="1842" w:type="dxa"/>
            <w:vAlign w:val="center"/>
          </w:tcPr>
          <w:p w14:paraId="7973A152">
            <w:pPr>
              <w:spacing w:line="240" w:lineRule="auto"/>
              <w:ind w:firstLine="0" w:firstLineChars="0"/>
              <w:rPr>
                <w:sz w:val="21"/>
                <w:szCs w:val="21"/>
              </w:rPr>
            </w:pPr>
            <w:r>
              <w:rPr>
                <w:rFonts w:hint="eastAsia" w:ascii="宋体" w:hAnsi="宋体"/>
                <w:sz w:val="21"/>
                <w:szCs w:val="21"/>
                <w:lang w:eastAsia="zh-CN"/>
              </w:rPr>
              <w:t>☑</w:t>
            </w:r>
            <w:r>
              <w:rPr>
                <w:rFonts w:hint="eastAsia" w:ascii="Segoe UI Symbol" w:hAnsi="Segoe UI Symbol" w:cs="Segoe UI Symbol"/>
                <w:sz w:val="21"/>
                <w:szCs w:val="21"/>
              </w:rPr>
              <w:t>否</w:t>
            </w:r>
          </w:p>
          <w:p w14:paraId="6400B8D4">
            <w:pPr>
              <w:spacing w:line="240" w:lineRule="auto"/>
              <w:ind w:firstLine="0" w:firstLineChars="0"/>
              <w:rPr>
                <w:rFonts w:hint="default" w:eastAsia="宋体"/>
                <w:u w:val="single"/>
                <w:lang w:val="en-US" w:eastAsia="zh-CN"/>
              </w:rPr>
            </w:pPr>
            <w:r>
              <w:rPr>
                <w:rFonts w:hint="eastAsia" w:ascii="Segoe UI Symbol" w:hAnsi="Segoe UI Symbol" w:cs="Segoe UI Symbol"/>
                <w:lang w:eastAsia="zh-CN"/>
              </w:rPr>
              <w:t>□</w:t>
            </w:r>
            <w:r>
              <w:rPr>
                <w:rFonts w:hint="eastAsia"/>
                <w:sz w:val="21"/>
                <w:szCs w:val="21"/>
              </w:rPr>
              <w:t>是：</w:t>
            </w:r>
            <w:r>
              <w:rPr>
                <w:rFonts w:hint="eastAsia"/>
                <w:sz w:val="21"/>
                <w:szCs w:val="21"/>
                <w:u w:val="single"/>
                <w:lang w:val="en-US" w:eastAsia="zh-CN"/>
              </w:rPr>
              <w:t xml:space="preserve">        </w:t>
            </w:r>
          </w:p>
        </w:tc>
        <w:tc>
          <w:tcPr>
            <w:tcW w:w="2268" w:type="dxa"/>
            <w:vAlign w:val="center"/>
          </w:tcPr>
          <w:p w14:paraId="0ABF888B">
            <w:pPr>
              <w:spacing w:line="276" w:lineRule="auto"/>
              <w:ind w:firstLine="0" w:firstLineChars="0"/>
              <w:jc w:val="center"/>
            </w:pPr>
            <w:r>
              <w:t>用地（用海）</w:t>
            </w:r>
          </w:p>
          <w:p w14:paraId="70E5E2B5">
            <w:pPr>
              <w:spacing w:line="276" w:lineRule="auto"/>
              <w:ind w:firstLine="0" w:firstLineChars="0"/>
              <w:jc w:val="center"/>
            </w:pPr>
            <w:r>
              <w:t>面积</w:t>
            </w:r>
          </w:p>
        </w:tc>
        <w:tc>
          <w:tcPr>
            <w:tcW w:w="2835" w:type="dxa"/>
            <w:vAlign w:val="center"/>
          </w:tcPr>
          <w:p w14:paraId="3E372C05">
            <w:pPr>
              <w:spacing w:line="276" w:lineRule="auto"/>
              <w:ind w:firstLine="0" w:firstLineChars="0"/>
              <w:jc w:val="center"/>
              <w:rPr>
                <w:rFonts w:hint="default" w:eastAsia="宋体"/>
                <w:u w:val="single"/>
                <w:lang w:val="en-US" w:eastAsia="zh-CN"/>
              </w:rPr>
            </w:pPr>
            <w:r>
              <w:rPr>
                <w:rFonts w:hint="eastAsia"/>
                <w:u w:val="single"/>
                <w:lang w:val="en-US" w:eastAsia="zh-CN"/>
              </w:rPr>
              <w:t>10430.52m</w:t>
            </w:r>
            <w:r>
              <w:rPr>
                <w:rFonts w:hint="eastAsia"/>
                <w:u w:val="single"/>
                <w:vertAlign w:val="superscript"/>
                <w:lang w:val="en-US" w:eastAsia="zh-CN"/>
              </w:rPr>
              <w:t>2</w:t>
            </w:r>
          </w:p>
        </w:tc>
      </w:tr>
      <w:tr w14:paraId="0AE6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5C9FDF71">
            <w:pPr>
              <w:spacing w:line="276" w:lineRule="auto"/>
              <w:ind w:firstLine="0" w:firstLineChars="0"/>
              <w:jc w:val="center"/>
            </w:pPr>
            <w:r>
              <w:t>专项评价</w:t>
            </w:r>
          </w:p>
          <w:p w14:paraId="7C4BE98F">
            <w:pPr>
              <w:spacing w:line="276" w:lineRule="auto"/>
              <w:ind w:firstLine="0" w:firstLineChars="0"/>
              <w:jc w:val="center"/>
            </w:pPr>
            <w:r>
              <w:t>设置情况</w:t>
            </w:r>
          </w:p>
        </w:tc>
        <w:tc>
          <w:tcPr>
            <w:tcW w:w="7796" w:type="dxa"/>
            <w:gridSpan w:val="4"/>
            <w:vAlign w:val="center"/>
          </w:tcPr>
          <w:p w14:paraId="074C084A">
            <w:pPr>
              <w:ind w:firstLine="0" w:firstLineChars="0"/>
            </w:pPr>
            <w:r>
              <w:rPr>
                <w:rFonts w:hint="eastAsia"/>
              </w:rPr>
              <w:t>无</w:t>
            </w:r>
          </w:p>
        </w:tc>
      </w:tr>
      <w:tr w14:paraId="1703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51F02717">
            <w:pPr>
              <w:ind w:firstLine="0" w:firstLineChars="0"/>
              <w:jc w:val="center"/>
            </w:pPr>
            <w:r>
              <w:t>规划情况</w:t>
            </w:r>
          </w:p>
        </w:tc>
        <w:tc>
          <w:tcPr>
            <w:tcW w:w="7796" w:type="dxa"/>
            <w:gridSpan w:val="4"/>
            <w:vAlign w:val="center"/>
          </w:tcPr>
          <w:p w14:paraId="2993ED66">
            <w:pPr>
              <w:ind w:firstLine="0" w:firstLineChars="0"/>
              <w:rPr>
                <w:rFonts w:hint="eastAsia"/>
              </w:rPr>
            </w:pPr>
            <w:r>
              <w:rPr>
                <w:rFonts w:hint="eastAsia"/>
              </w:rPr>
              <w:t>规划名称:《全州县工业集中区控制性详细规划修编(2016-2025)》</w:t>
            </w:r>
          </w:p>
          <w:p w14:paraId="116904C6">
            <w:pPr>
              <w:ind w:firstLine="0" w:firstLineChars="0"/>
              <w:rPr>
                <w:rFonts w:hint="eastAsia"/>
              </w:rPr>
            </w:pPr>
            <w:r>
              <w:rPr>
                <w:rFonts w:hint="eastAsia"/>
              </w:rPr>
              <w:t>审批机关:桂林市人民政府</w:t>
            </w:r>
          </w:p>
          <w:p w14:paraId="1CEF96C8">
            <w:pPr>
              <w:ind w:firstLine="0" w:firstLineChars="0"/>
              <w:rPr>
                <w:rFonts w:hint="eastAsia"/>
              </w:rPr>
            </w:pPr>
            <w:r>
              <w:rPr>
                <w:rFonts w:hint="eastAsia"/>
              </w:rPr>
              <w:t>审批文号:市政函(2017)150号</w:t>
            </w:r>
          </w:p>
        </w:tc>
      </w:tr>
      <w:tr w14:paraId="31DF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73B21D69">
            <w:pPr>
              <w:spacing w:line="276" w:lineRule="auto"/>
              <w:ind w:firstLine="0" w:firstLineChars="0"/>
              <w:jc w:val="center"/>
            </w:pPr>
            <w:r>
              <w:t>规划环境影响评价情况</w:t>
            </w:r>
          </w:p>
        </w:tc>
        <w:tc>
          <w:tcPr>
            <w:tcW w:w="7796" w:type="dxa"/>
            <w:gridSpan w:val="4"/>
            <w:vAlign w:val="center"/>
          </w:tcPr>
          <w:p w14:paraId="237D7945">
            <w:pPr>
              <w:ind w:firstLine="0" w:firstLineChars="0"/>
              <w:rPr>
                <w:rFonts w:hint="eastAsia"/>
              </w:rPr>
            </w:pPr>
            <w:r>
              <w:rPr>
                <w:rFonts w:hint="eastAsia"/>
              </w:rPr>
              <w:t>文件名称:《全州县工业集中区控制性详细规划修编(2016-2025)环境影响报告书》</w:t>
            </w:r>
          </w:p>
          <w:p w14:paraId="3EC75F0D">
            <w:pPr>
              <w:ind w:firstLine="0" w:firstLineChars="0"/>
              <w:rPr>
                <w:rFonts w:hint="eastAsia"/>
              </w:rPr>
            </w:pPr>
            <w:r>
              <w:rPr>
                <w:rFonts w:hint="eastAsia"/>
              </w:rPr>
              <w:t>召集审查机关:全州县环境保护局</w:t>
            </w:r>
          </w:p>
          <w:p w14:paraId="1E79F75A">
            <w:pPr>
              <w:ind w:firstLine="0" w:firstLineChars="0"/>
            </w:pPr>
            <w:r>
              <w:rPr>
                <w:rFonts w:hint="eastAsia"/>
              </w:rPr>
              <w:t>审批文件名称及文号:《全州县人民政府关于同意全州县工业集中区控制性详细规划修编(2016-2025年)环境影响报告书审查意见的批复》(全政函(2018)182号)</w:t>
            </w:r>
          </w:p>
        </w:tc>
      </w:tr>
      <w:tr w14:paraId="6B67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6021A8DA">
            <w:pPr>
              <w:spacing w:line="276" w:lineRule="auto"/>
              <w:ind w:firstLine="0" w:firstLineChars="0"/>
              <w:jc w:val="center"/>
            </w:pPr>
            <w:r>
              <w:t>规划及规划环境影响评价符合性分析</w:t>
            </w:r>
          </w:p>
        </w:tc>
        <w:tc>
          <w:tcPr>
            <w:tcW w:w="7796" w:type="dxa"/>
            <w:gridSpan w:val="4"/>
            <w:vAlign w:val="center"/>
          </w:tcPr>
          <w:p w14:paraId="2DE59F53">
            <w:pPr>
              <w:ind w:firstLine="0" w:firstLineChars="0"/>
              <w:rPr>
                <w:rFonts w:hint="eastAsia"/>
                <w:b/>
                <w:bCs/>
              </w:rPr>
            </w:pPr>
            <w:r>
              <w:rPr>
                <w:rFonts w:hint="eastAsia"/>
                <w:b/>
                <w:bCs/>
              </w:rPr>
              <w:t>1、与规划相符性分析</w:t>
            </w:r>
          </w:p>
          <w:p w14:paraId="5A8B6AD6">
            <w:pPr>
              <w:ind w:firstLine="480" w:firstLineChars="200"/>
              <w:rPr>
                <w:rFonts w:hint="eastAsia"/>
              </w:rPr>
            </w:pPr>
            <w:r>
              <w:rPr>
                <w:rFonts w:hint="eastAsia"/>
              </w:rPr>
              <w:t>根据《全州县人民政府关于同意全州县工业集中区控制性详细规划修编(2016-2025年)》，规划修编后发展定位为“以优势资源为依托，产业特色鲜明、功能配套协调，具有内在生长机能的、智慧创新型的新型工业集中区”。</w:t>
            </w:r>
          </w:p>
          <w:p w14:paraId="07799EB7">
            <w:pPr>
              <w:ind w:firstLine="480" w:firstLineChars="200"/>
              <w:rPr>
                <w:rFonts w:hint="eastAsia"/>
              </w:rPr>
            </w:pPr>
            <w:r>
              <w:rPr>
                <w:rFonts w:hint="eastAsia"/>
              </w:rPr>
              <w:t>城北工业园区定位以木材加工、家俱制造产业和现代服务业为主导;</w:t>
            </w:r>
          </w:p>
          <w:p w14:paraId="4700EB66">
            <w:pPr>
              <w:ind w:firstLine="480" w:firstLineChars="200"/>
              <w:rPr>
                <w:rFonts w:hint="eastAsia"/>
              </w:rPr>
            </w:pPr>
            <w:r>
              <w:rPr>
                <w:rFonts w:hint="eastAsia"/>
              </w:rPr>
              <w:t>城西工业园区定位以食品加工药材加工等产业和农产品加工产业为主导，增加循环经济产业、冶炼铸造及金属制品产业;</w:t>
            </w:r>
          </w:p>
          <w:p w14:paraId="41362E29">
            <w:pPr>
              <w:ind w:firstLine="480" w:firstLineChars="200"/>
              <w:rPr>
                <w:rFonts w:hint="eastAsia"/>
              </w:rPr>
            </w:pPr>
            <w:r>
              <w:rPr>
                <w:rFonts w:hint="eastAsia"/>
              </w:rPr>
              <w:t>城南工业园区定位以先进机械电子装备制造和铁合金产业及关联产业主导。</w:t>
            </w:r>
          </w:p>
          <w:p w14:paraId="0657A52A">
            <w:pPr>
              <w:ind w:firstLine="480" w:firstLineChars="200"/>
              <w:rPr>
                <w:rFonts w:hint="eastAsia"/>
              </w:rPr>
            </w:pPr>
            <w:r>
              <w:rPr>
                <w:rFonts w:hint="eastAsia"/>
              </w:rPr>
              <w:t>项目位于城西工业园区，属于</w:t>
            </w:r>
            <w:r>
              <w:rPr>
                <w:rFonts w:hint="eastAsia"/>
                <w:lang w:eastAsia="zh-CN"/>
              </w:rPr>
              <w:t>农产品加工和循环经济</w:t>
            </w:r>
            <w:r>
              <w:rPr>
                <w:rFonts w:hint="eastAsia"/>
              </w:rPr>
              <w:t>产业，与园区规划产业定位相符。</w:t>
            </w:r>
          </w:p>
          <w:p w14:paraId="7E01DD99">
            <w:pPr>
              <w:ind w:left="0" w:leftChars="0" w:firstLine="0" w:firstLineChars="0"/>
              <w:rPr>
                <w:rFonts w:hint="eastAsia"/>
                <w:b/>
                <w:bCs/>
              </w:rPr>
            </w:pPr>
            <w:r>
              <w:rPr>
                <w:rFonts w:hint="eastAsia"/>
                <w:b/>
                <w:bCs/>
              </w:rPr>
              <w:t>2、与规划环评相符性分析</w:t>
            </w:r>
          </w:p>
          <w:p w14:paraId="004C6B41">
            <w:pPr>
              <w:pStyle w:val="8"/>
              <w:numPr>
                <w:ilvl w:val="5"/>
                <w:numId w:val="0"/>
              </w:numPr>
              <w:bidi w:val="0"/>
              <w:ind w:left="0" w:leftChars="0" w:firstLine="480" w:firstLineChars="200"/>
              <w:rPr>
                <w:rFonts w:hint="eastAsia"/>
              </w:rPr>
            </w:pPr>
            <w:r>
              <w:rPr>
                <w:rFonts w:hint="default" w:ascii="Times New Roman" w:hAnsi="Times New Roman" w:eastAsia="宋体" w:cs="Times New Roman"/>
                <w:b/>
                <w:i w:val="0"/>
                <w:color w:val="auto"/>
                <w:kern w:val="2"/>
                <w:sz w:val="24"/>
                <w:szCs w:val="24"/>
                <w:shd w:val="clear" w:fill="FFFFFF"/>
                <w:lang w:val="en-US" w:eastAsia="zh-CN" w:bidi="ar-SA"/>
              </w:rPr>
              <w:t>表1-1</w:t>
            </w:r>
            <w:r>
              <w:rPr>
                <w:rFonts w:hint="eastAsia"/>
              </w:rPr>
              <w:t>项目与规划环评审查意见相符性分析</w:t>
            </w:r>
          </w:p>
          <w:tbl>
            <w:tblPr>
              <w:tblStyle w:val="26"/>
              <w:tblW w:w="7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0"/>
              <w:gridCol w:w="3790"/>
            </w:tblGrid>
            <w:tr w14:paraId="028D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0" w:type="dxa"/>
                  <w:vAlign w:val="center"/>
                </w:tcPr>
                <w:p w14:paraId="6FB6C9EF">
                  <w:pPr>
                    <w:pStyle w:val="42"/>
                    <w:bidi w:val="0"/>
                    <w:jc w:val="center"/>
                    <w:rPr>
                      <w:rFonts w:hint="eastAsia"/>
                      <w:lang w:eastAsia="zh-CN"/>
                    </w:rPr>
                  </w:pPr>
                  <w:r>
                    <w:rPr>
                      <w:rFonts w:hint="eastAsia"/>
                      <w:lang w:eastAsia="zh-CN"/>
                    </w:rPr>
                    <w:t>规划环评审查意见</w:t>
                  </w:r>
                </w:p>
              </w:tc>
              <w:tc>
                <w:tcPr>
                  <w:tcW w:w="3790" w:type="dxa"/>
                </w:tcPr>
                <w:p w14:paraId="01AB2276">
                  <w:pPr>
                    <w:pStyle w:val="42"/>
                    <w:bidi w:val="0"/>
                    <w:rPr>
                      <w:rFonts w:hint="eastAsia"/>
                      <w:lang w:eastAsia="zh-CN"/>
                    </w:rPr>
                  </w:pPr>
                  <w:r>
                    <w:rPr>
                      <w:rFonts w:hint="eastAsia"/>
                      <w:lang w:eastAsia="zh-CN"/>
                    </w:rPr>
                    <w:t>项目情况</w:t>
                  </w:r>
                </w:p>
              </w:tc>
            </w:tr>
            <w:tr w14:paraId="5B0B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0" w:type="dxa"/>
                  <w:vAlign w:val="center"/>
                </w:tcPr>
                <w:p w14:paraId="0CE60EF2">
                  <w:pPr>
                    <w:pStyle w:val="42"/>
                    <w:bidi w:val="0"/>
                    <w:jc w:val="both"/>
                    <w:rPr>
                      <w:rFonts w:hint="eastAsia"/>
                    </w:rPr>
                  </w:pPr>
                  <w:r>
                    <w:rPr>
                      <w:rFonts w:hint="eastAsia"/>
                    </w:rPr>
                    <w:t>通过合理布局防治大气污染，园区工业布局，对于产生危害较大的有害气体、烟、粉尘等有害物质的工业企业，不得在居住区内修建;向大气排放有害物质的工业企业，应布置在居住区区域常年主导风向的下风向或侧下风向;园区规划居住区附近工业区，应优先选择无污染企业布置。提倡使用清洁能源和能源综合利用:居民生活应以天然气为主，工业能源应以电、天然气、成型生物质为主要能源，对于必须使用燃煤的企业应使用含硫量低于1%的低硫煤，以保护大气环境和人群健康。有组织排放工艺尾气必须治理达标排放，烟气排气筒高度和指向必须符合环保部门的要求，同时采用废气净化措施，使处理后的废气排放必须达到相应的国家和地区有关的排放标准后，方可排入环境;园区企业应采取相应措施尽可能减少无组织排放情况的出现，严格控制工艺尾气的无组织排放，并加强对生产装置的管理，严格控制生产过程中的跑、冒、滴、漏。存在无组织排放的企业厂界监控点处浓度达到相应的国家排放标准。</w:t>
                  </w:r>
                </w:p>
              </w:tc>
              <w:tc>
                <w:tcPr>
                  <w:tcW w:w="3790" w:type="dxa"/>
                  <w:vAlign w:val="center"/>
                </w:tcPr>
                <w:p w14:paraId="5E58DDA9">
                  <w:pPr>
                    <w:pStyle w:val="42"/>
                    <w:bidi w:val="0"/>
                    <w:jc w:val="both"/>
                    <w:rPr>
                      <w:rFonts w:hint="eastAsia"/>
                      <w:lang w:eastAsia="zh-CN"/>
                    </w:rPr>
                  </w:pPr>
                  <w:r>
                    <w:rPr>
                      <w:rFonts w:hint="eastAsia"/>
                    </w:rPr>
                    <w:t>符合。项目位于工业区内，食堂采用液化石油气作为燃料，项目生产过程中采用</w:t>
                  </w:r>
                  <w:r>
                    <w:rPr>
                      <w:rFonts w:hint="eastAsia"/>
                      <w:lang w:eastAsia="zh-CN"/>
                    </w:rPr>
                    <w:t>生物质颗粒</w:t>
                  </w:r>
                  <w:r>
                    <w:rPr>
                      <w:rFonts w:hint="eastAsia"/>
                    </w:rPr>
                    <w:t>作为能源，均属于清洁能源。根据项目主要环境影响和保护措施分析可知，</w:t>
                  </w:r>
                  <w:r>
                    <w:rPr>
                      <w:rFonts w:hint="eastAsia"/>
                      <w:lang w:eastAsia="zh-CN"/>
                    </w:rPr>
                    <w:t>生物质颗粒</w:t>
                  </w:r>
                  <w:r>
                    <w:rPr>
                      <w:rFonts w:hint="eastAsia"/>
                    </w:rPr>
                    <w:t>燃烧产生的SO</w:t>
                  </w:r>
                  <w:r>
                    <w:rPr>
                      <w:rFonts w:hint="eastAsia"/>
                      <w:vertAlign w:val="subscript"/>
                    </w:rPr>
                    <w:t>2</w:t>
                  </w:r>
                  <w:r>
                    <w:rPr>
                      <w:rFonts w:hint="eastAsia"/>
                    </w:rPr>
                    <w:t>、NOx和烟尘</w:t>
                  </w:r>
                  <w:r>
                    <w:rPr>
                      <w:rFonts w:hint="eastAsia"/>
                      <w:lang w:eastAsia="zh-CN"/>
                    </w:rPr>
                    <w:t>经袋式除尘器</w:t>
                  </w:r>
                  <w:r>
                    <w:rPr>
                      <w:rFonts w:hint="eastAsia"/>
                      <w:lang w:val="en-US" w:eastAsia="zh-CN"/>
                    </w:rPr>
                    <w:t>+15</w:t>
                  </w:r>
                  <w:r>
                    <w:rPr>
                      <w:rFonts w:hint="eastAsia"/>
                    </w:rPr>
                    <w:t>m高排气筒DA001排放</w:t>
                  </w:r>
                  <w:r>
                    <w:rPr>
                      <w:rFonts w:hint="eastAsia"/>
                      <w:lang w:eastAsia="zh-CN"/>
                    </w:rPr>
                    <w:t>，颗粒物、二氧化硫排放浓度满足</w:t>
                  </w:r>
                  <w:r>
                    <w:rPr>
                      <w:rFonts w:hint="eastAsia"/>
                    </w:rPr>
                    <w:t>《锅炉大气污染物排放标准》(GB13271-2014)</w:t>
                  </w:r>
                  <w:r>
                    <w:rPr>
                      <w:rFonts w:hint="eastAsia"/>
                      <w:lang w:eastAsia="zh-CN"/>
                    </w:rPr>
                    <w:t>中标准限值要求，氮氧化物排放浓度及速率满足《大气污染物综合排放标准》(GB16297-1996)中标准限值要求</w:t>
                  </w:r>
                  <w:r>
                    <w:rPr>
                      <w:rFonts w:hint="eastAsia"/>
                    </w:rPr>
                    <w:t>。项目化制烘干工段产生的污蒸汽</w:t>
                  </w:r>
                  <w:r>
                    <w:rPr>
                      <w:rFonts w:hint="eastAsia"/>
                      <w:lang w:eastAsia="zh-CN"/>
                    </w:rPr>
                    <w:t>（</w:t>
                  </w:r>
                  <w:r>
                    <w:rPr>
                      <w:rFonts w:hint="eastAsia"/>
                      <w:sz w:val="21"/>
                      <w:szCs w:val="21"/>
                      <w:lang w:eastAsia="zh-CN"/>
                    </w:rPr>
                    <w:t>为病死禽畜自身含水</w:t>
                  </w:r>
                  <w:r>
                    <w:rPr>
                      <w:rFonts w:hint="eastAsia" w:ascii="Times New Roman" w:hAnsi="Times New Roman" w:cs="Times New Roman"/>
                      <w:kern w:val="2"/>
                      <w:sz w:val="21"/>
                      <w:szCs w:val="21"/>
                      <w:lang w:val="en-US" w:bidi="ar-SA"/>
                    </w:rPr>
                    <w:t>在化制过程中转化为水蒸气形式</w:t>
                  </w:r>
                  <w:r>
                    <w:rPr>
                      <w:rFonts w:hint="eastAsia"/>
                      <w:lang w:eastAsia="zh-CN"/>
                    </w:rPr>
                    <w:t>）</w:t>
                  </w:r>
                  <w:r>
                    <w:rPr>
                      <w:rFonts w:hint="eastAsia"/>
                    </w:rPr>
                    <w:t>经冷凝后的不凝气导入锅炉末端焚烧处理后经</w:t>
                  </w:r>
                  <w:r>
                    <w:rPr>
                      <w:rFonts w:hint="eastAsia"/>
                      <w:lang w:val="en-US" w:eastAsia="zh-CN"/>
                    </w:rPr>
                    <w:t>15</w:t>
                  </w:r>
                  <w:r>
                    <w:rPr>
                      <w:rFonts w:hint="eastAsia"/>
                    </w:rPr>
                    <w:t>m高排气筒DA001排放</w:t>
                  </w:r>
                  <w:r>
                    <w:rPr>
                      <w:rFonts w:hint="eastAsia"/>
                      <w:lang w:eastAsia="zh-CN"/>
                    </w:rPr>
                    <w:t>，氨气、硫化氢满足《恶臭污染物排放标准》(GB14554-93)中相关标准，非甲烷总烃排放满足《大气污染物综合排放标准》(GB16297-1996)及《挥发性有机物无组织排放控制标准》(GB37822-2019)中标准限值要求。</w:t>
                  </w:r>
                </w:p>
                <w:p w14:paraId="73227B50">
                  <w:pPr>
                    <w:pStyle w:val="42"/>
                    <w:bidi w:val="0"/>
                    <w:jc w:val="both"/>
                    <w:rPr>
                      <w:rFonts w:hint="eastAsia"/>
                      <w:lang w:eastAsia="zh-CN"/>
                    </w:rPr>
                  </w:pPr>
                  <w:r>
                    <w:rPr>
                      <w:rFonts w:hint="eastAsia"/>
                      <w:lang w:eastAsia="zh-CN"/>
                    </w:rPr>
                    <w:t>厂房内投料、破碎、缓存和油渣分离工段废气（无害化厂房废气）经车间负压集气系统收集后进入除臭塔+碱喷淋塔+二级活性炭吸附净化处理后由</w:t>
                  </w:r>
                  <w:r>
                    <w:rPr>
                      <w:rFonts w:hint="eastAsia"/>
                      <w:lang w:val="en-US" w:eastAsia="zh-CN"/>
                    </w:rPr>
                    <w:t>20</w:t>
                  </w:r>
                  <w:r>
                    <w:rPr>
                      <w:rFonts w:hint="eastAsia"/>
                      <w:lang w:eastAsia="zh-CN"/>
                    </w:rPr>
                    <w:t>m高排气筒DA002排放，氨气、硫化氢、臭气浓度满足《恶臭污染物排放标准》(GB14554-93)中相关标准。</w:t>
                  </w:r>
                </w:p>
              </w:tc>
            </w:tr>
            <w:tr w14:paraId="5A71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0" w:type="dxa"/>
                  <w:vAlign w:val="center"/>
                </w:tcPr>
                <w:p w14:paraId="288D49AC">
                  <w:pPr>
                    <w:pStyle w:val="42"/>
                    <w:bidi w:val="0"/>
                    <w:jc w:val="both"/>
                    <w:rPr>
                      <w:rFonts w:hint="eastAsia"/>
                    </w:rPr>
                  </w:pPr>
                  <w:r>
                    <w:rPr>
                      <w:rFonts w:hint="eastAsia"/>
                    </w:rPr>
                    <w:t>完善排水系统，实行雨污分流。对己投产的工厂企业应按“三同时”要求在厂区内设置污水处理设施，在能排入市政污水管网前，企业将污水自行处理达到《污水综合排放标准》一级标准后排入湘江，在污水处理厂配套管网布设完成后，企业污水自行处理GB/T31962-2015</w:t>
                  </w:r>
                </w:p>
                <w:p w14:paraId="0DF936C1">
                  <w:pPr>
                    <w:pStyle w:val="42"/>
                    <w:bidi w:val="0"/>
                    <w:jc w:val="both"/>
                    <w:rPr>
                      <w:rFonts w:hint="eastAsia"/>
                    </w:rPr>
                  </w:pPr>
                  <w:r>
                    <w:rPr>
                      <w:rFonts w:hint="eastAsia"/>
                    </w:rPr>
                    <w:t>《污水排入城市下水道水质标准》或达到城西工业区污水处理厂进水要求后通过园区污水管网分别进入全州县城污水处理厂或城西工业区污水处理厂。加快城西工业区污水处理厂工艺改造工作，在2018年底前按照工业园区污水处理厂环评要求完善环评手续，并加快管网建设工作，确保在2018年底前通水运营。根据《桂林市人民政府办公室关</w:t>
                  </w:r>
                </w:p>
                <w:p w14:paraId="217A54D9">
                  <w:pPr>
                    <w:pStyle w:val="42"/>
                    <w:bidi w:val="0"/>
                    <w:jc w:val="both"/>
                    <w:rPr>
                      <w:rFonts w:hint="eastAsia"/>
                    </w:rPr>
                  </w:pPr>
                  <w:r>
                    <w:rPr>
                      <w:rFonts w:hint="eastAsia"/>
                    </w:rPr>
                    <w:t>于印发桂林市水污染防治行动计划工作方案的通知》(市政办[2016]9号)要求，两污水处理厂均须在2018年底前完成排水水质从《城镇污水处理污染物排放标准》(GB18918-2002)一级B标准提升为《城镇污水处理污染物排放标准》(GB18918-2002)一级A标准的改造。加</w:t>
                  </w:r>
                </w:p>
                <w:p w14:paraId="35659682">
                  <w:pPr>
                    <w:pStyle w:val="42"/>
                    <w:bidi w:val="0"/>
                    <w:jc w:val="both"/>
                    <w:rPr>
                      <w:rFonts w:hint="eastAsia"/>
                    </w:rPr>
                  </w:pPr>
                  <w:r>
                    <w:rPr>
                      <w:rFonts w:hint="eastAsia"/>
                    </w:rPr>
                    <w:t>快提升泵站的设计建设。加强对水污染源的管理，提高入工业集中区项目水污染控制水平;强化水资源利用，提高水的重复利用率。</w:t>
                  </w:r>
                </w:p>
              </w:tc>
              <w:tc>
                <w:tcPr>
                  <w:tcW w:w="3790" w:type="dxa"/>
                  <w:vAlign w:val="center"/>
                </w:tcPr>
                <w:p w14:paraId="62E7DAB0">
                  <w:pPr>
                    <w:pStyle w:val="42"/>
                    <w:bidi w:val="0"/>
                    <w:jc w:val="both"/>
                    <w:rPr>
                      <w:rFonts w:hint="eastAsia" w:eastAsia="宋体"/>
                      <w:lang w:eastAsia="zh-CN"/>
                    </w:rPr>
                  </w:pPr>
                  <w:r>
                    <w:rPr>
                      <w:rFonts w:hint="eastAsia"/>
                    </w:rPr>
                    <w:t>符合。项目采用雨污分流制。</w:t>
                  </w:r>
                  <w:r>
                    <w:rPr>
                      <w:rFonts w:hint="eastAsia"/>
                      <w:lang w:eastAsia="zh-CN"/>
                    </w:rPr>
                    <w:t>生活污水、经化粪池处理后进入黑膜厌氧池，处理后用于厂区绿化；生产废水进入黑膜厌氧池，处理后用于厂区绿化；</w:t>
                  </w:r>
                  <w:r>
                    <w:rPr>
                      <w:rFonts w:hint="eastAsia"/>
                    </w:rPr>
                    <w:t>初期雨水经截排水沟进入</w:t>
                  </w:r>
                  <w:r>
                    <w:rPr>
                      <w:rFonts w:hint="eastAsia"/>
                      <w:lang w:eastAsia="zh-CN"/>
                    </w:rPr>
                    <w:t>雨水管道。</w:t>
                  </w:r>
                </w:p>
              </w:tc>
            </w:tr>
            <w:tr w14:paraId="2547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0" w:type="dxa"/>
                  <w:vAlign w:val="center"/>
                </w:tcPr>
                <w:p w14:paraId="28A89AC8">
                  <w:pPr>
                    <w:pStyle w:val="42"/>
                    <w:bidi w:val="0"/>
                    <w:jc w:val="both"/>
                    <w:rPr>
                      <w:rFonts w:hint="eastAsia"/>
                    </w:rPr>
                  </w:pPr>
                  <w:r>
                    <w:rPr>
                      <w:rFonts w:hint="eastAsia"/>
                    </w:rPr>
                    <w:t>对入园企业审查时，要注意企业的重要噪声污染源及其具体位置和有关的建筑情况，要求将那些运行噪声高的设备远离厂界和噪声敏感点，利用距离衰减来降低噪声影响。对于那些不可能远离厂界和噪声敏感点的设备噪声，在设计时尽可能利用厂房建筑物来阻隔噪声对厂界外环境的影响，如果不能利用距离和现成的建筑物来控制设备噪声的影响，就必须采取相应的噪声治理措施，严格执行《工业企业厂界环境噪声排放标准》(GB12348)。</w:t>
                  </w:r>
                </w:p>
              </w:tc>
              <w:tc>
                <w:tcPr>
                  <w:tcW w:w="3790" w:type="dxa"/>
                  <w:vAlign w:val="center"/>
                </w:tcPr>
                <w:p w14:paraId="19E239D8">
                  <w:pPr>
                    <w:pStyle w:val="42"/>
                    <w:bidi w:val="0"/>
                    <w:jc w:val="both"/>
                    <w:rPr>
                      <w:rFonts w:hint="default" w:eastAsia="宋体"/>
                      <w:lang w:val="en-US" w:eastAsia="zh-CN"/>
                    </w:rPr>
                  </w:pPr>
                  <w:r>
                    <w:rPr>
                      <w:rFonts w:hint="eastAsia"/>
                    </w:rPr>
                    <w:t>符合。项目生产工序均在厂房内进行，厂房墙体具有一定隔声作用;对于大噪声设备合理布局，采取基础减震，并选用同类型设备中最低噪声设备等措施，根据预测结果可知，项目营运期间厂界</w:t>
                  </w:r>
                  <w:r>
                    <w:rPr>
                      <w:rFonts w:hint="eastAsia"/>
                      <w:lang w:eastAsia="zh-CN"/>
                    </w:rPr>
                    <w:t>四周</w:t>
                  </w:r>
                  <w:r>
                    <w:rPr>
                      <w:rFonts w:hint="eastAsia"/>
                    </w:rPr>
                    <w:t>噪声值满足《工业企业厂界环境噪声排放标准》(GB12348-2008)3类标准</w:t>
                  </w:r>
                  <w:r>
                    <w:rPr>
                      <w:rFonts w:hint="eastAsia"/>
                      <w:lang w:eastAsia="zh-CN"/>
                    </w:rPr>
                    <w:t>。项目厂界外</w:t>
                  </w:r>
                  <w:r>
                    <w:rPr>
                      <w:rFonts w:hint="eastAsia"/>
                      <w:lang w:val="en-US" w:eastAsia="zh-CN"/>
                    </w:rPr>
                    <w:t>50米范围内无声环境保护目标。</w:t>
                  </w:r>
                </w:p>
              </w:tc>
            </w:tr>
            <w:tr w14:paraId="1155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0" w:type="dxa"/>
                  <w:vAlign w:val="center"/>
                </w:tcPr>
                <w:p w14:paraId="2D2A9F92">
                  <w:pPr>
                    <w:pStyle w:val="42"/>
                    <w:bidi w:val="0"/>
                    <w:jc w:val="both"/>
                    <w:rPr>
                      <w:rFonts w:hint="eastAsia"/>
                    </w:rPr>
                  </w:pPr>
                  <w:r>
                    <w:rPr>
                      <w:rFonts w:hint="eastAsia"/>
                    </w:rPr>
                    <w:t>工业区固体废弃物实行分类管理，按系统收集各类固废、按规定进行分类，根据不同的类别进行不同的处理处置。对于可以综合利用的要进行综合利用对不能综合利用的固废，首先进行减容减害处理，再送到规范的固废堆场或危废处置中心安全处置。</w:t>
                  </w:r>
                </w:p>
              </w:tc>
              <w:tc>
                <w:tcPr>
                  <w:tcW w:w="3790" w:type="dxa"/>
                  <w:vAlign w:val="center"/>
                </w:tcPr>
                <w:p w14:paraId="2B5291C2">
                  <w:pPr>
                    <w:pStyle w:val="42"/>
                    <w:bidi w:val="0"/>
                    <w:jc w:val="both"/>
                    <w:rPr>
                      <w:rFonts w:hint="eastAsia"/>
                      <w:lang w:eastAsia="zh-CN"/>
                    </w:rPr>
                  </w:pPr>
                  <w:r>
                    <w:rPr>
                      <w:rFonts w:hint="eastAsia"/>
                      <w:lang w:eastAsia="zh-CN"/>
                    </w:rPr>
                    <w:t>符合。本项目产生的一般固废主要为废包装桶、废弃树脂和沼渣，废包装桶、废弃树脂由厂家回收利用，沼渣通过排渣管道(一年一次)抽出后放化制罐和病死猪高温消毒后，一起制作做有机肥基料，生活垃圾委托环卫部门处置。一般</w:t>
                  </w:r>
                </w:p>
                <w:p w14:paraId="253AB031">
                  <w:pPr>
                    <w:pStyle w:val="42"/>
                    <w:bidi w:val="0"/>
                    <w:jc w:val="both"/>
                    <w:rPr>
                      <w:rFonts w:hint="eastAsia"/>
                      <w:lang w:eastAsia="zh-CN"/>
                    </w:rPr>
                  </w:pPr>
                  <w:r>
                    <w:rPr>
                      <w:rFonts w:hint="eastAsia"/>
                      <w:lang w:eastAsia="zh-CN"/>
                    </w:rPr>
                    <w:t>生产固废贮存执行《一般工业固体废物贮存和填埋污染控制标准》(GB18599-2020)。</w:t>
                  </w:r>
                </w:p>
                <w:p w14:paraId="27FAE1C5">
                  <w:pPr>
                    <w:pStyle w:val="42"/>
                    <w:bidi w:val="0"/>
                    <w:jc w:val="both"/>
                    <w:rPr>
                      <w:rFonts w:hint="eastAsia"/>
                      <w:lang w:eastAsia="zh-CN"/>
                    </w:rPr>
                  </w:pPr>
                  <w:r>
                    <w:rPr>
                      <w:rFonts w:hint="eastAsia"/>
                      <w:lang w:eastAsia="zh-CN"/>
                    </w:rPr>
                    <w:t>本项目产生的危险废物主要为废弃防</w:t>
                  </w:r>
                </w:p>
                <w:p w14:paraId="4B14C9F4">
                  <w:pPr>
                    <w:pStyle w:val="42"/>
                    <w:bidi w:val="0"/>
                    <w:jc w:val="both"/>
                    <w:rPr>
                      <w:rFonts w:hint="eastAsia"/>
                      <w:lang w:eastAsia="zh-CN"/>
                    </w:rPr>
                  </w:pPr>
                  <w:r>
                    <w:rPr>
                      <w:rFonts w:hint="eastAsia"/>
                      <w:lang w:eastAsia="zh-CN"/>
                    </w:rPr>
                    <w:t>疫装备、废机油和废活性炭，委托有资质的第三方处置。危险废物均按《危险废物贮存污染控制标准(GB18597-20</w:t>
                  </w:r>
                  <w:r>
                    <w:rPr>
                      <w:rFonts w:hint="eastAsia"/>
                      <w:lang w:val="en-US" w:eastAsia="zh-CN"/>
                    </w:rPr>
                    <w:t>23</w:t>
                  </w:r>
                  <w:r>
                    <w:rPr>
                      <w:rFonts w:hint="eastAsia"/>
                      <w:lang w:eastAsia="zh-CN"/>
                    </w:rPr>
                    <w:t>)及的要求在厂区收集、暂存。</w:t>
                  </w:r>
                </w:p>
              </w:tc>
            </w:tr>
            <w:tr w14:paraId="63A4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0" w:type="dxa"/>
                  <w:vAlign w:val="center"/>
                </w:tcPr>
                <w:p w14:paraId="64372932">
                  <w:pPr>
                    <w:pStyle w:val="42"/>
                    <w:bidi w:val="0"/>
                    <w:jc w:val="both"/>
                    <w:rPr>
                      <w:rFonts w:hint="eastAsia"/>
                    </w:rPr>
                  </w:pPr>
                  <w:r>
                    <w:rPr>
                      <w:rFonts w:hint="eastAsia"/>
                    </w:rPr>
                    <w:t>合理布局，危险品罐区、储存区合理选址，与居住区相邻地块用于布置危险性小的项目;合理安排工业园区周边土地利用类型，限制人口密度;建立风险防范应急体系，做好环境风险应急预案增强风险管理、风险防范意识，加强管理;严格按照有关规定进行工程建设，健全控制污染的设施和措施，配备应急器材，防患于未然。</w:t>
                  </w:r>
                </w:p>
              </w:tc>
              <w:tc>
                <w:tcPr>
                  <w:tcW w:w="3790" w:type="dxa"/>
                </w:tcPr>
                <w:p w14:paraId="0EB851D5">
                  <w:pPr>
                    <w:pStyle w:val="14"/>
                    <w:ind w:left="0" w:leftChars="0" w:firstLine="0" w:firstLineChars="0"/>
                    <w:rPr>
                      <w:rFonts w:hint="eastAsia" w:eastAsia="宋体"/>
                      <w:lang w:eastAsia="zh-CN"/>
                    </w:rPr>
                  </w:pPr>
                  <w:r>
                    <w:rPr>
                      <w:rFonts w:hint="eastAsia" w:ascii="Times New Roman" w:hAnsi="Times New Roman" w:eastAsia="宋体" w:cs="Times New Roman"/>
                      <w:kern w:val="2"/>
                      <w:sz w:val="21"/>
                      <w:szCs w:val="21"/>
                      <w:lang w:val="en-US" w:eastAsia="zh-CN" w:bidi="ar-SA"/>
                    </w:rPr>
                    <w:t>符合。建设单位按要求编制突发环境事件应急预案</w:t>
                  </w:r>
                  <w:r>
                    <w:rPr>
                      <w:rFonts w:hint="eastAsia"/>
                      <w:lang w:eastAsia="zh-CN"/>
                    </w:rPr>
                    <w:t>，</w:t>
                  </w:r>
                  <w:r>
                    <w:rPr>
                      <w:rFonts w:hint="eastAsia"/>
                      <w:sz w:val="21"/>
                      <w:szCs w:val="21"/>
                    </w:rPr>
                    <w:t>建成运营后针对可能发生的风险事故，项目将采取相应的风险防控措施</w:t>
                  </w:r>
                  <w:r>
                    <w:rPr>
                      <w:rFonts w:hint="eastAsia"/>
                      <w:sz w:val="21"/>
                      <w:szCs w:val="21"/>
                      <w:lang w:eastAsia="zh-CN"/>
                    </w:rPr>
                    <w:t>。</w:t>
                  </w:r>
                </w:p>
              </w:tc>
            </w:tr>
          </w:tbl>
          <w:p w14:paraId="4FCC4F4A">
            <w:pPr>
              <w:ind w:firstLine="480"/>
              <w:rPr>
                <w:rFonts w:hint="eastAsia"/>
              </w:rPr>
            </w:pPr>
            <w:r>
              <w:rPr>
                <w:rFonts w:hint="eastAsia"/>
              </w:rPr>
              <w:t>项目位于城西工业园区，属于</w:t>
            </w:r>
            <w:r>
              <w:rPr>
                <w:rFonts w:hint="eastAsia"/>
                <w:lang w:eastAsia="zh-CN"/>
              </w:rPr>
              <w:t>农产品加工</w:t>
            </w:r>
            <w:r>
              <w:rPr>
                <w:rFonts w:hint="eastAsia"/>
              </w:rPr>
              <w:t>产业，符合园区的产业定位，项目建设符合《产业结构调整指导目录(20</w:t>
            </w:r>
            <w:r>
              <w:rPr>
                <w:rFonts w:hint="eastAsia"/>
                <w:lang w:val="en-US" w:eastAsia="zh-CN"/>
              </w:rPr>
              <w:t>24</w:t>
            </w:r>
            <w:r>
              <w:rPr>
                <w:rFonts w:hint="eastAsia"/>
              </w:rPr>
              <w:t>年本)》，符合国家产业政策的要求。</w:t>
            </w:r>
          </w:p>
          <w:p w14:paraId="42A1F7E1">
            <w:pPr>
              <w:ind w:firstLine="480"/>
            </w:pPr>
            <w:r>
              <w:rPr>
                <w:rFonts w:hint="eastAsia"/>
              </w:rPr>
              <w:t>综上，项目建设符合《全州县工业集中区控制性详细规划修编(2016-2025)环境影响报告书》及其审查意见的批复要求。</w:t>
            </w:r>
          </w:p>
          <w:p w14:paraId="630CAE0A">
            <w:pPr>
              <w:ind w:left="0" w:leftChars="0" w:firstLine="0" w:firstLineChars="0"/>
              <w:rPr>
                <w:rFonts w:hint="eastAsia"/>
              </w:rPr>
            </w:pPr>
          </w:p>
          <w:p w14:paraId="185E26BF">
            <w:pPr>
              <w:ind w:left="0" w:leftChars="0" w:firstLine="0" w:firstLineChars="0"/>
              <w:rPr>
                <w:rFonts w:hint="eastAsia"/>
              </w:rPr>
            </w:pPr>
          </w:p>
        </w:tc>
      </w:tr>
      <w:tr w14:paraId="6A90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3" w:hRule="atLeast"/>
        </w:trPr>
        <w:tc>
          <w:tcPr>
            <w:tcW w:w="1271" w:type="dxa"/>
            <w:vAlign w:val="center"/>
          </w:tcPr>
          <w:p w14:paraId="0EFA1EBD">
            <w:pPr>
              <w:spacing w:line="276" w:lineRule="auto"/>
              <w:ind w:firstLine="0" w:firstLineChars="0"/>
              <w:jc w:val="center"/>
            </w:pPr>
            <w:r>
              <w:t>其他符合性分析</w:t>
            </w:r>
          </w:p>
        </w:tc>
        <w:tc>
          <w:tcPr>
            <w:tcW w:w="7796" w:type="dxa"/>
            <w:gridSpan w:val="4"/>
            <w:vAlign w:val="center"/>
          </w:tcPr>
          <w:p w14:paraId="2C79E625">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1.2、</w:t>
            </w:r>
            <w:r>
              <w:rPr>
                <w:rFonts w:hint="eastAsia"/>
              </w:rPr>
              <w:t>“三线一单”符合性分析</w:t>
            </w:r>
          </w:p>
          <w:p w14:paraId="5B7ED6BB">
            <w:pPr>
              <w:ind w:firstLine="480"/>
            </w:pPr>
            <w:r>
              <w:t>根据环环评〔2016〕150号《关于以改善环境质量为核心加强环境影响评价管理的通知》，为适应以改善环境质量为核心的环境管理要求，切实加强环境影响评价（以下简称环评）管理，落实</w:t>
            </w:r>
            <w:r>
              <w:rPr>
                <w:rFonts w:hint="eastAsia"/>
              </w:rPr>
              <w:t>“</w:t>
            </w:r>
            <w:r>
              <w:t>生态保护红线、环境质量底线、资源利用上线和环境准入负面清单</w:t>
            </w:r>
            <w:r>
              <w:rPr>
                <w:rFonts w:hint="eastAsia"/>
              </w:rPr>
              <w:t>”</w:t>
            </w:r>
            <w:r>
              <w:t>（简称</w:t>
            </w:r>
            <w:r>
              <w:rPr>
                <w:rFonts w:hint="eastAsia"/>
              </w:rPr>
              <w:t>“</w:t>
            </w:r>
            <w:r>
              <w:t>三线一单</w:t>
            </w:r>
            <w:r>
              <w:rPr>
                <w:rFonts w:hint="eastAsia"/>
              </w:rPr>
              <w:t>”</w:t>
            </w:r>
            <w:r>
              <w:t>）约束，必须强化</w:t>
            </w:r>
            <w:r>
              <w:rPr>
                <w:rFonts w:hint="eastAsia"/>
              </w:rPr>
              <w:t>“</w:t>
            </w:r>
            <w:r>
              <w:t>三线一单</w:t>
            </w:r>
            <w:r>
              <w:rPr>
                <w:rFonts w:hint="eastAsia"/>
              </w:rPr>
              <w:t>”</w:t>
            </w:r>
            <w:r>
              <w:t>约束作用，建立</w:t>
            </w:r>
            <w:r>
              <w:rPr>
                <w:rFonts w:hint="eastAsia"/>
              </w:rPr>
              <w:t>“</w:t>
            </w:r>
            <w:r>
              <w:t>三挂钩</w:t>
            </w:r>
            <w:r>
              <w:rPr>
                <w:rFonts w:hint="eastAsia"/>
              </w:rPr>
              <w:t>”</w:t>
            </w:r>
            <w:r>
              <w:t>机制。</w:t>
            </w:r>
          </w:p>
          <w:p w14:paraId="2C00B41A">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1.2.1、</w:t>
            </w:r>
            <w:r>
              <w:t>生态保护红线</w:t>
            </w:r>
          </w:p>
          <w:p w14:paraId="44118B96">
            <w:pPr>
              <w:ind w:firstLine="480"/>
              <w:rPr>
                <w:rFonts w:hint="eastAsia" w:ascii="Times New Roman" w:hAnsi="Times New Roman" w:eastAsia="宋体" w:cs="Times New Roman"/>
              </w:rPr>
            </w:pPr>
            <w:r>
              <w:rPr>
                <w:rFonts w:hint="eastAsia" w:ascii="Times New Roman" w:hAnsi="Times New Roman" w:eastAsia="宋体" w:cs="Times New Roman"/>
              </w:rPr>
              <w:t>根据《广西壮族自治区人民政府办公厅关于印发广西生态保护红线管理办法（试行）的通知》（桂政办发〔2016〕152 号）的规定，确定生态保护红线区为以下三大区域：1）重点生态功能区，包括重要的水源涵养、土壤保持和生物多样性保护等各类陆域和海域重点生态功能区，以及自然保护区、风景名胜区、森林公园、地质公园、湿地公园、饮用水水源保护区和水土流失重点预防区等禁止或限制开发区域；2）生态环境敏感区和脆弱区，包括水土流失、石漠化各类陆域敏感区和脆弱区，海岸带自然岸线、红树林、珊瑚礁、海草床等海域敏感区和脆弱区；3）其他未列入上述范围，但具有重要生态功能或生态环境敏感、脆弱的区域，包括生态公益林、重要湿地和极小种群生境等。</w:t>
            </w:r>
          </w:p>
          <w:p w14:paraId="15B53C05">
            <w:pPr>
              <w:ind w:firstLine="480"/>
              <w:rPr>
                <w:rFonts w:hint="eastAsia" w:ascii="Times New Roman" w:hAnsi="Times New Roman" w:eastAsia="宋体" w:cs="Times New Roman"/>
              </w:rPr>
            </w:pPr>
            <w:r>
              <w:rPr>
                <w:rFonts w:hint="eastAsia" w:ascii="Times New Roman" w:hAnsi="Times New Roman" w:eastAsia="宋体" w:cs="Times New Roman"/>
              </w:rPr>
              <w:t>项目位于桂林市</w:t>
            </w:r>
            <w:r>
              <w:rPr>
                <w:rFonts w:hint="eastAsia" w:cs="Times New Roman"/>
                <w:lang w:eastAsia="zh-CN"/>
              </w:rPr>
              <w:t>全州县</w:t>
            </w:r>
            <w:r>
              <w:rPr>
                <w:rFonts w:hint="eastAsia" w:ascii="Times New Roman" w:hAnsi="Times New Roman" w:eastAsia="宋体" w:cs="Times New Roman"/>
              </w:rPr>
              <w:t>工业集中区综合产业园城西片区</w:t>
            </w:r>
            <w:r>
              <w:rPr>
                <w:rFonts w:hint="eastAsia" w:cs="Times New Roman"/>
                <w:lang w:eastAsia="zh-CN"/>
              </w:rPr>
              <w:t>内</w:t>
            </w:r>
            <w:r>
              <w:rPr>
                <w:rFonts w:hint="eastAsia" w:ascii="Times New Roman" w:hAnsi="Times New Roman" w:eastAsia="宋体" w:cs="Times New Roman"/>
              </w:rPr>
              <w:t>，其用地未涉及饮用水源、风景区、自然保护区、生态红线保护区等环境敏感区，项目的建设符合生态保护红线管理办法的规定。</w:t>
            </w:r>
          </w:p>
          <w:p w14:paraId="7E18FE9B">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1.2.2、</w:t>
            </w:r>
            <w:r>
              <w:t>环境质量底线</w:t>
            </w:r>
          </w:p>
          <w:p w14:paraId="361B6F1F">
            <w:pPr>
              <w:ind w:firstLine="480"/>
              <w:rPr>
                <w:rFonts w:hint="eastAsia" w:ascii="Times New Roman" w:hAnsi="Times New Roman" w:eastAsia="宋体" w:cs="Times New Roman"/>
              </w:rPr>
            </w:pPr>
            <w:r>
              <w:rPr>
                <w:rFonts w:hint="eastAsia" w:ascii="Times New Roman" w:hAnsi="Times New Roman" w:eastAsia="宋体" w:cs="Times New Roman"/>
              </w:rPr>
              <w:t>根据环境质量现状调查，项目所在区域空气质量、声环境质量、水环境质量均满足相应的环境功能区划要求。本项目实施后，通过采取有效的环保措施，确保各污染物实现达标排放，对环境影响不大，不会突破环境质量底线。</w:t>
            </w:r>
          </w:p>
          <w:p w14:paraId="348962A9">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1.2.3、</w:t>
            </w:r>
            <w:r>
              <w:t>资源利用上</w:t>
            </w:r>
            <w:r>
              <w:rPr>
                <w:rFonts w:hint="eastAsia"/>
              </w:rPr>
              <w:t>线</w:t>
            </w:r>
          </w:p>
          <w:p w14:paraId="5A120C45">
            <w:pPr>
              <w:ind w:firstLine="480"/>
              <w:rPr>
                <w:rFonts w:hint="eastAsia" w:ascii="Times New Roman" w:hAnsi="Times New Roman" w:eastAsia="宋体" w:cs="Times New Roman"/>
              </w:rPr>
            </w:pPr>
            <w:r>
              <w:rPr>
                <w:rFonts w:hint="eastAsia" w:ascii="Times New Roman" w:hAnsi="Times New Roman" w:eastAsia="宋体" w:cs="Times New Roman"/>
              </w:rPr>
              <w:t>建设项目用水来自供水管网，用电来自供电管网。建设项目建成运行后通过内部管理、设备选择、原辅料的选用和管理和利用、污染防治等多方面的采取合理可行的防治措施，以一节能、降耗、减污为目标，有效的控制污染。项目的水、电、气等资源利用不会突破区域的资源利用上限。</w:t>
            </w:r>
          </w:p>
          <w:p w14:paraId="6C2AEDDD">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1.2.4、</w:t>
            </w:r>
            <w:r>
              <w:t>环境准入负面清单</w:t>
            </w:r>
          </w:p>
          <w:p w14:paraId="0A3086A5">
            <w:pPr>
              <w:pStyle w:val="56"/>
              <w:spacing w:before="3"/>
              <w:ind w:left="0" w:leftChars="0" w:right="95" w:firstLine="480" w:firstLineChars="200"/>
              <w:jc w:val="both"/>
              <w:rPr>
                <w:rFonts w:hint="default" w:ascii="Times New Roman" w:hAnsi="Times New Roman"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根据</w:t>
            </w:r>
            <w:r>
              <w:rPr>
                <w:rFonts w:hint="eastAsia" w:ascii="Times New Roman" w:hAnsi="Times New Roman" w:cs="Times New Roman"/>
                <w:kern w:val="2"/>
                <w:sz w:val="24"/>
                <w:szCs w:val="24"/>
                <w:lang w:val="en-US" w:eastAsia="zh-CN" w:bidi="ar-SA"/>
              </w:rPr>
              <w:t>《</w:t>
            </w:r>
            <w:r>
              <w:rPr>
                <w:rFonts w:hint="eastAsia"/>
              </w:rPr>
              <w:t>广西壮族自治区重点生态功能区县产业准入负面清单调整方案</w:t>
            </w:r>
            <w:r>
              <w:rPr>
                <w:rFonts w:hint="eastAsia" w:ascii="Times New Roman" w:hAnsi="Times New Roman"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，桂林市全州县未划入上述两个批次产业准入负面清单城市</w:t>
            </w:r>
            <w:r>
              <w:rPr>
                <w:rFonts w:hint="eastAsia" w:ascii="Times New Roman" w:hAnsi="Times New Roman" w:cs="Times New Roman"/>
                <w:kern w:val="2"/>
                <w:sz w:val="24"/>
                <w:szCs w:val="24"/>
                <w:lang w:val="en-US" w:eastAsia="zh-CN" w:bidi="ar-SA"/>
              </w:rPr>
              <w:t>及</w:t>
            </w:r>
            <w:r>
              <w:rPr>
                <w:rFonts w:hint="eastAsia"/>
              </w:rPr>
              <w:t>准入负面清单调整方案</w:t>
            </w:r>
            <w:r>
              <w:rPr>
                <w:rFonts w:hint="eastAsia" w:ascii="Times New Roman" w:hAnsi="Times New Roman" w:eastAsia="宋体" w:cs="Times New Roman"/>
                <w:kern w:val="2"/>
                <w:sz w:val="24"/>
                <w:szCs w:val="24"/>
                <w:lang w:val="en-US" w:eastAsia="zh-CN" w:bidi="ar-SA"/>
              </w:rPr>
              <w:t>。本项目属</w:t>
            </w:r>
            <w:r>
              <w:rPr>
                <w:rFonts w:hint="default" w:ascii="Times New Roman" w:hAnsi="Times New Roman" w:eastAsia="宋体" w:cs="Times New Roman"/>
                <w:kern w:val="2"/>
                <w:sz w:val="24"/>
                <w:szCs w:val="24"/>
                <w:lang w:val="en-US" w:eastAsia="zh-CN" w:bidi="ar-SA"/>
              </w:rPr>
              <w:t>于</w:t>
            </w:r>
            <w:r>
              <w:rPr>
                <w:rFonts w:hint="default" w:ascii="Times New Roman" w:hAnsi="Times New Roman" w:cs="Times New Roman"/>
              </w:rPr>
              <w:t>A0539其他畜牧专业及辅助性活动</w:t>
            </w:r>
            <w:r>
              <w:rPr>
                <w:rFonts w:hint="default" w:ascii="Times New Roman" w:hAnsi="Times New Roman" w:cs="Times New Roman"/>
                <w:lang w:eastAsia="zh-CN"/>
              </w:rPr>
              <w:t>、</w:t>
            </w:r>
            <w:r>
              <w:rPr>
                <w:rFonts w:hint="default" w:ascii="Times New Roman" w:hAnsi="Times New Roman" w:cs="Times New Roman"/>
                <w:lang w:val="en-US" w:eastAsia="zh-CN"/>
              </w:rPr>
              <w:t>C1353</w:t>
            </w:r>
            <w:r>
              <w:rPr>
                <w:rFonts w:hint="default" w:ascii="Times New Roman" w:hAnsi="Times New Roman" w:cs="Times New Roman"/>
              </w:rPr>
              <w:t>肉制品及副产品加工</w:t>
            </w:r>
            <w:r>
              <w:rPr>
                <w:rFonts w:hint="default" w:ascii="Times New Roman" w:hAnsi="Times New Roman" w:cs="Times New Roman"/>
                <w:lang w:eastAsia="zh-CN"/>
              </w:rPr>
              <w:t>、</w:t>
            </w:r>
            <w:r>
              <w:rPr>
                <w:rFonts w:hint="default" w:ascii="Times New Roman" w:hAnsi="Times New Roman" w:cs="Times New Roman"/>
              </w:rPr>
              <w:t>D4430热力生产和供应</w:t>
            </w:r>
            <w:r>
              <w:rPr>
                <w:rFonts w:hint="eastAsia" w:ascii="Times New Roman" w:hAnsi="Times New Roman" w:cs="Times New Roman"/>
                <w:lang w:eastAsia="zh-CN"/>
              </w:rPr>
              <w:t>及</w:t>
            </w:r>
            <w:r>
              <w:rPr>
                <w:rFonts w:hint="default" w:ascii="Times New Roman" w:hAnsi="Times New Roman" w:cs="Times New Roman"/>
              </w:rPr>
              <w:t>N7723固体废物治</w:t>
            </w:r>
            <w:r>
              <w:rPr>
                <w:rFonts w:hint="default" w:ascii="Times New Roman" w:hAnsi="Times New Roman" w:cs="Times New Roman"/>
                <w:lang w:eastAsia="zh-CN"/>
              </w:rPr>
              <w:t>理</w:t>
            </w:r>
            <w:r>
              <w:rPr>
                <w:rFonts w:hint="eastAsia" w:ascii="Times New Roman" w:hAnsi="Times New Roman" w:cs="Times New Roman"/>
                <w:lang w:eastAsia="zh-CN"/>
              </w:rPr>
              <w:t>项目</w:t>
            </w:r>
            <w:r>
              <w:rPr>
                <w:rFonts w:hint="default" w:ascii="Times New Roman" w:hAnsi="Times New Roman" w:eastAsia="宋体" w:cs="Times New Roman"/>
                <w:kern w:val="2"/>
                <w:sz w:val="24"/>
                <w:szCs w:val="24"/>
                <w:lang w:val="en-US" w:eastAsia="zh-CN" w:bidi="ar-SA"/>
              </w:rPr>
              <w:t>，不属于</w:t>
            </w:r>
            <w:r>
              <w:rPr>
                <w:rFonts w:hint="eastAsia" w:ascii="Times New Roman" w:hAnsi="Times New Roman" w:eastAsia="宋体" w:cs="Times New Roman"/>
                <w:kern w:val="2"/>
                <w:sz w:val="24"/>
                <w:szCs w:val="24"/>
                <w:lang w:val="en-US" w:eastAsia="zh-CN" w:bidi="ar-SA"/>
              </w:rPr>
              <w:t>广西壮族自治区国家重点生态功能区划准入负面清单内禁止新建、扩建产业。</w:t>
            </w:r>
          </w:p>
          <w:p w14:paraId="7CCCACEC">
            <w:pPr>
              <w:ind w:firstLine="480"/>
              <w:jc w:val="both"/>
              <w:rPr>
                <w:rFonts w:hint="eastAsia" w:ascii="Times New Roman" w:hAnsi="Times New Roman" w:eastAsia="宋体" w:cs="Times New Roman"/>
                <w:kern w:val="2"/>
                <w:sz w:val="24"/>
                <w:szCs w:val="24"/>
                <w:lang w:val="en-US" w:eastAsia="zh-CN" w:bidi="ar-SA"/>
              </w:rPr>
            </w:pPr>
            <w:r>
              <w:t>综上，项目选址符合所在区域现行生态环境约束性要求；项目生产原料资源条件有保障，满足资源利用上线要求；项目不涉及环境准入负面清单；项目产生的污染物经采取相应防护措施后可做到达标排放，不会降低区域环境质量等级，对环境影响不大。</w:t>
            </w:r>
          </w:p>
          <w:p w14:paraId="4D1EC934">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1.2.5、</w:t>
            </w:r>
            <w:r>
              <w:rPr>
                <w:rFonts w:hint="eastAsia"/>
                <w:lang w:eastAsia="zh-CN"/>
              </w:rPr>
              <w:t>桂林</w:t>
            </w:r>
            <w:r>
              <w:rPr>
                <w:rFonts w:hint="eastAsia"/>
              </w:rPr>
              <w:t>市“三线一单”生态环境分区管控</w:t>
            </w:r>
          </w:p>
          <w:p w14:paraId="06453CA7">
            <w:pPr>
              <w:ind w:firstLine="480"/>
              <w:rPr>
                <w:rFonts w:hint="eastAsia"/>
                <w:color w:val="auto"/>
              </w:rPr>
            </w:pPr>
            <w:r>
              <w:rPr>
                <w:rFonts w:hint="eastAsia"/>
                <w:color w:val="auto"/>
              </w:rPr>
              <w:t>根据</w:t>
            </w:r>
            <w:r>
              <w:rPr>
                <w:rFonts w:hint="eastAsia" w:ascii="宋体" w:hAnsi="宋体" w:eastAsia="宋体" w:cs="宋体"/>
                <w:color w:val="000000" w:themeColor="text1"/>
                <w:sz w:val="24"/>
                <w:szCs w:val="24"/>
                <w:highlight w:val="none"/>
                <w:lang w:val="en-US" w:eastAsia="zh-CN"/>
                <w14:textFill>
                  <w14:solidFill>
                    <w14:schemeClr w14:val="tx1"/>
                  </w14:solidFill>
                </w14:textFill>
              </w:rPr>
              <w:t>《桂林市生态环境准入及管控要求清单(2023年修订)》</w:t>
            </w:r>
            <w:r>
              <w:rPr>
                <w:rFonts w:hint="eastAsia"/>
                <w:color w:val="auto"/>
              </w:rPr>
              <w:t>，</w:t>
            </w:r>
            <w:r>
              <w:rPr>
                <w:rFonts w:hint="eastAsia"/>
                <w:color w:val="auto"/>
                <w:lang w:val="en-US" w:eastAsia="zh-CN"/>
              </w:rPr>
              <w:t>桂林市</w:t>
            </w:r>
            <w:r>
              <w:rPr>
                <w:rFonts w:hint="eastAsia"/>
                <w:color w:val="auto"/>
              </w:rPr>
              <w:t>共划定环境管控单元</w:t>
            </w:r>
            <w:r>
              <w:rPr>
                <w:rFonts w:hint="eastAsia"/>
                <w:color w:val="auto"/>
                <w:lang w:val="en-US" w:eastAsia="zh-CN"/>
              </w:rPr>
              <w:t>195</w:t>
            </w:r>
            <w:r>
              <w:rPr>
                <w:rFonts w:hint="eastAsia"/>
                <w:color w:val="auto"/>
              </w:rPr>
              <w:t>个，分为优先保护单元、重点管控单元和一般管控单元三类，实施分类管控。</w:t>
            </w:r>
          </w:p>
          <w:p w14:paraId="64DA2F57">
            <w:pPr>
              <w:ind w:firstLine="480"/>
              <w:rPr>
                <w:rFonts w:hint="eastAsia"/>
                <w:color w:val="auto"/>
              </w:rPr>
            </w:pPr>
            <w:r>
              <w:rPr>
                <w:rFonts w:hint="eastAsia"/>
                <w:color w:val="auto"/>
              </w:rPr>
              <w:t>优先保护单元主要包括生态保护红线、一般生态空间、县级以上饮用水水源保护区、环境空气一类功能区等生态功能区域，全市划定优先保护单元</w:t>
            </w:r>
            <w:r>
              <w:rPr>
                <w:rFonts w:hint="eastAsia"/>
                <w:color w:val="auto"/>
                <w:lang w:val="en-US" w:eastAsia="zh-CN"/>
              </w:rPr>
              <w:t>120</w:t>
            </w:r>
            <w:r>
              <w:rPr>
                <w:rFonts w:hint="eastAsia"/>
                <w:color w:val="auto"/>
              </w:rPr>
              <w:t>个。</w:t>
            </w:r>
          </w:p>
          <w:p w14:paraId="7C787350">
            <w:pPr>
              <w:ind w:firstLine="480"/>
              <w:rPr>
                <w:rFonts w:hint="eastAsia"/>
                <w:color w:val="auto"/>
              </w:rPr>
            </w:pPr>
            <w:r>
              <w:rPr>
                <w:rFonts w:hint="eastAsia"/>
                <w:color w:val="auto"/>
              </w:rPr>
              <w:t>重点管控单元主要包括工业园区、县级以上城镇中心城区及规划区、矿产开采区、港区等开发强度高、污染物排放强度大的区域，以及环境问题相对集中的区域，全市划定重点管控单元</w:t>
            </w:r>
            <w:r>
              <w:rPr>
                <w:rFonts w:hint="eastAsia"/>
                <w:color w:val="auto"/>
                <w:lang w:val="en-US" w:eastAsia="zh-CN"/>
              </w:rPr>
              <w:t>58</w:t>
            </w:r>
            <w:r>
              <w:rPr>
                <w:rFonts w:hint="eastAsia"/>
                <w:color w:val="auto"/>
              </w:rPr>
              <w:t>个。</w:t>
            </w:r>
          </w:p>
          <w:p w14:paraId="1AD7ABB9">
            <w:pPr>
              <w:ind w:firstLine="480"/>
              <w:rPr>
                <w:rFonts w:hint="eastAsia" w:eastAsia="宋体"/>
                <w:color w:val="auto"/>
                <w:lang w:eastAsia="zh-CN"/>
              </w:rPr>
            </w:pPr>
            <w:r>
              <w:rPr>
                <w:rFonts w:hint="eastAsia"/>
                <w:color w:val="auto"/>
              </w:rPr>
              <w:t>一般管控单元为优先保护单元、重点管控单元以外的区域，衔接乡镇边界形成管控单元，全市划定一般管控单元</w:t>
            </w:r>
            <w:r>
              <w:rPr>
                <w:rFonts w:hint="eastAsia"/>
                <w:color w:val="auto"/>
                <w:lang w:val="en-US" w:eastAsia="zh-CN"/>
              </w:rPr>
              <w:t>17</w:t>
            </w:r>
            <w:r>
              <w:rPr>
                <w:rFonts w:hint="eastAsia"/>
                <w:color w:val="auto"/>
              </w:rPr>
              <w:t>个</w:t>
            </w:r>
            <w:r>
              <w:rPr>
                <w:rFonts w:hint="eastAsia"/>
                <w:color w:val="auto"/>
                <w:lang w:eastAsia="zh-CN"/>
              </w:rPr>
              <w:t>。</w:t>
            </w:r>
          </w:p>
          <w:p w14:paraId="71DC2DD0">
            <w:pPr>
              <w:pStyle w:val="8"/>
              <w:numPr>
                <w:ilvl w:val="5"/>
                <w:numId w:val="0"/>
              </w:numPr>
              <w:ind w:left="0" w:leftChars="0" w:firstLine="480" w:firstLineChars="200"/>
              <w:rPr>
                <w:color w:val="auto"/>
              </w:rPr>
            </w:pPr>
            <w:r>
              <w:rPr>
                <w:rFonts w:hint="default" w:ascii="Times New Roman" w:hAnsi="Times New Roman" w:eastAsia="宋体" w:cs="Times New Roman"/>
                <w:b/>
                <w:i w:val="0"/>
                <w:color w:val="auto"/>
                <w:kern w:val="2"/>
                <w:sz w:val="24"/>
                <w:szCs w:val="24"/>
                <w:shd w:val="clear" w:fill="FFFFFF"/>
                <w:lang w:val="en-US" w:eastAsia="zh-CN" w:bidi="ar-SA"/>
              </w:rPr>
              <w:t>表1-2</w:t>
            </w:r>
            <w:r>
              <w:rPr>
                <w:rFonts w:hint="eastAsia"/>
                <w:color w:val="auto"/>
                <w:lang w:eastAsia="zh-CN"/>
              </w:rPr>
              <w:t>桂林</w:t>
            </w:r>
            <w:r>
              <w:rPr>
                <w:color w:val="auto"/>
              </w:rPr>
              <w:t>市环境管控单元名录</w:t>
            </w:r>
            <w:r>
              <w:rPr>
                <w:rFonts w:hint="eastAsia"/>
                <w:color w:val="auto"/>
              </w:rPr>
              <w:t>（</w:t>
            </w:r>
            <w:r>
              <w:rPr>
                <w:rFonts w:hint="eastAsia"/>
                <w:color w:val="auto"/>
                <w:lang w:eastAsia="zh-CN"/>
              </w:rPr>
              <w:t>全州县</w:t>
            </w:r>
            <w:r>
              <w:rPr>
                <w:rFonts w:hint="eastAsia"/>
                <w:color w:val="auto"/>
              </w:rPr>
              <w:t>部分）</w:t>
            </w:r>
          </w:p>
          <w:tbl>
            <w:tblPr>
              <w:tblStyle w:val="2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5"/>
              <w:gridCol w:w="567"/>
              <w:gridCol w:w="1417"/>
              <w:gridCol w:w="4986"/>
            </w:tblGrid>
            <w:tr w14:paraId="1F90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595" w:type="dxa"/>
                  <w:vAlign w:val="center"/>
                </w:tcPr>
                <w:p w14:paraId="6911AE7D">
                  <w:pPr>
                    <w:pStyle w:val="42"/>
                    <w:rPr>
                      <w:rFonts w:hint="eastAsia"/>
                      <w:color w:val="auto"/>
                    </w:rPr>
                  </w:pPr>
                  <w:r>
                    <w:rPr>
                      <w:rFonts w:hint="eastAsia"/>
                      <w:color w:val="auto"/>
                    </w:rPr>
                    <w:t>行政区域</w:t>
                  </w:r>
                </w:p>
              </w:tc>
              <w:tc>
                <w:tcPr>
                  <w:tcW w:w="567" w:type="dxa"/>
                  <w:vAlign w:val="center"/>
                </w:tcPr>
                <w:p w14:paraId="5B5A29EA">
                  <w:pPr>
                    <w:pStyle w:val="42"/>
                    <w:rPr>
                      <w:rFonts w:hint="eastAsia"/>
                      <w:color w:val="auto"/>
                    </w:rPr>
                  </w:pPr>
                  <w:r>
                    <w:rPr>
                      <w:rFonts w:hint="eastAsia"/>
                      <w:color w:val="auto"/>
                    </w:rPr>
                    <w:t>单元总数</w:t>
                  </w:r>
                </w:p>
              </w:tc>
              <w:tc>
                <w:tcPr>
                  <w:tcW w:w="1417" w:type="dxa"/>
                  <w:vAlign w:val="center"/>
                </w:tcPr>
                <w:p w14:paraId="73BBA100">
                  <w:pPr>
                    <w:pStyle w:val="42"/>
                    <w:rPr>
                      <w:rFonts w:hint="eastAsia"/>
                      <w:color w:val="auto"/>
                    </w:rPr>
                  </w:pPr>
                  <w:r>
                    <w:rPr>
                      <w:rFonts w:hint="eastAsia"/>
                      <w:color w:val="auto"/>
                    </w:rPr>
                    <w:t>环境管控单元分类</w:t>
                  </w:r>
                </w:p>
              </w:tc>
              <w:tc>
                <w:tcPr>
                  <w:tcW w:w="4986" w:type="dxa"/>
                  <w:vAlign w:val="center"/>
                </w:tcPr>
                <w:p w14:paraId="4ADEED7F">
                  <w:pPr>
                    <w:pStyle w:val="42"/>
                    <w:rPr>
                      <w:rFonts w:hint="eastAsia"/>
                      <w:color w:val="auto"/>
                    </w:rPr>
                  </w:pPr>
                  <w:r>
                    <w:rPr>
                      <w:rFonts w:hint="eastAsia"/>
                      <w:color w:val="auto"/>
                    </w:rPr>
                    <w:t>环境管控单元名称</w:t>
                  </w:r>
                </w:p>
              </w:tc>
            </w:tr>
            <w:tr w14:paraId="337C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595" w:type="dxa"/>
                  <w:vMerge w:val="restart"/>
                  <w:vAlign w:val="center"/>
                </w:tcPr>
                <w:p w14:paraId="6D0A4212">
                  <w:pPr>
                    <w:pStyle w:val="42"/>
                    <w:rPr>
                      <w:rFonts w:hint="eastAsia"/>
                      <w:color w:val="auto"/>
                    </w:rPr>
                  </w:pPr>
                  <w:r>
                    <w:rPr>
                      <w:rFonts w:hint="eastAsia"/>
                      <w:color w:val="auto"/>
                      <w:lang w:val="en-US" w:eastAsia="zh-CN"/>
                    </w:rPr>
                    <w:t>全州县</w:t>
                  </w:r>
                </w:p>
              </w:tc>
              <w:tc>
                <w:tcPr>
                  <w:tcW w:w="567" w:type="dxa"/>
                  <w:vMerge w:val="restart"/>
                  <w:vAlign w:val="center"/>
                </w:tcPr>
                <w:p w14:paraId="79322562">
                  <w:pPr>
                    <w:pStyle w:val="42"/>
                    <w:rPr>
                      <w:rFonts w:hint="eastAsia"/>
                      <w:color w:val="auto"/>
                    </w:rPr>
                  </w:pPr>
                  <w:r>
                    <w:rPr>
                      <w:rFonts w:hint="eastAsia"/>
                      <w:color w:val="auto"/>
                      <w:lang w:val="en-US" w:eastAsia="zh-CN"/>
                    </w:rPr>
                    <w:t>13</w:t>
                  </w:r>
                  <w:r>
                    <w:rPr>
                      <w:rFonts w:hint="eastAsia"/>
                      <w:color w:val="auto"/>
                    </w:rPr>
                    <w:t>个</w:t>
                  </w:r>
                </w:p>
              </w:tc>
              <w:tc>
                <w:tcPr>
                  <w:tcW w:w="1417" w:type="dxa"/>
                  <w:vMerge w:val="restart"/>
                  <w:vAlign w:val="center"/>
                </w:tcPr>
                <w:p w14:paraId="60C9B464">
                  <w:pPr>
                    <w:pStyle w:val="42"/>
                    <w:rPr>
                      <w:rFonts w:hint="eastAsia"/>
                      <w:color w:val="auto"/>
                    </w:rPr>
                  </w:pPr>
                  <w:r>
                    <w:rPr>
                      <w:rFonts w:hint="eastAsia"/>
                      <w:color w:val="auto"/>
                    </w:rPr>
                    <w:t>优先保护单元（</w:t>
                  </w:r>
                  <w:r>
                    <w:rPr>
                      <w:rFonts w:hint="eastAsia"/>
                      <w:color w:val="auto"/>
                      <w:lang w:val="en-US" w:eastAsia="zh-CN"/>
                    </w:rPr>
                    <w:t>9</w:t>
                  </w:r>
                  <w:r>
                    <w:rPr>
                      <w:rFonts w:hint="eastAsia"/>
                      <w:color w:val="auto"/>
                    </w:rPr>
                    <w:t>个）</w:t>
                  </w:r>
                </w:p>
              </w:tc>
              <w:tc>
                <w:tcPr>
                  <w:tcW w:w="4986" w:type="dxa"/>
                  <w:vAlign w:val="center"/>
                </w:tcPr>
                <w:p w14:paraId="142C534D">
                  <w:pPr>
                    <w:pStyle w:val="42"/>
                    <w:rPr>
                      <w:rFonts w:hint="eastAsia"/>
                      <w:color w:val="auto"/>
                    </w:rPr>
                  </w:pPr>
                  <w:r>
                    <w:rPr>
                      <w:rFonts w:hint="eastAsia"/>
                      <w:color w:val="auto"/>
                    </w:rPr>
                    <w:t>广西桂林海洋山自治区级自然保护区生态保护红线</w:t>
                  </w:r>
                </w:p>
              </w:tc>
            </w:tr>
            <w:tr w14:paraId="40A1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595" w:type="dxa"/>
                  <w:vMerge w:val="continue"/>
                  <w:vAlign w:val="center"/>
                </w:tcPr>
                <w:p w14:paraId="506713BF">
                  <w:pPr>
                    <w:pStyle w:val="42"/>
                    <w:rPr>
                      <w:rFonts w:hint="eastAsia"/>
                      <w:color w:val="auto"/>
                    </w:rPr>
                  </w:pPr>
                </w:p>
              </w:tc>
              <w:tc>
                <w:tcPr>
                  <w:tcW w:w="567" w:type="dxa"/>
                  <w:vMerge w:val="continue"/>
                  <w:vAlign w:val="center"/>
                </w:tcPr>
                <w:p w14:paraId="0EBD41A5">
                  <w:pPr>
                    <w:pStyle w:val="42"/>
                    <w:rPr>
                      <w:rFonts w:hint="eastAsia"/>
                      <w:color w:val="auto"/>
                    </w:rPr>
                  </w:pPr>
                </w:p>
              </w:tc>
              <w:tc>
                <w:tcPr>
                  <w:tcW w:w="1417" w:type="dxa"/>
                  <w:vMerge w:val="continue"/>
                  <w:vAlign w:val="center"/>
                </w:tcPr>
                <w:p w14:paraId="706B882F">
                  <w:pPr>
                    <w:pStyle w:val="42"/>
                    <w:rPr>
                      <w:rFonts w:hint="eastAsia"/>
                      <w:color w:val="auto"/>
                    </w:rPr>
                  </w:pPr>
                </w:p>
              </w:tc>
              <w:tc>
                <w:tcPr>
                  <w:tcW w:w="4986" w:type="dxa"/>
                  <w:vAlign w:val="center"/>
                </w:tcPr>
                <w:p w14:paraId="1A92EEEB">
                  <w:pPr>
                    <w:pStyle w:val="42"/>
                    <w:rPr>
                      <w:rFonts w:hint="eastAsia"/>
                      <w:color w:val="auto"/>
                    </w:rPr>
                  </w:pPr>
                  <w:r>
                    <w:rPr>
                      <w:rFonts w:hint="eastAsia"/>
                      <w:color w:val="auto"/>
                    </w:rPr>
                    <w:t>广西桂林五福宝顶自治区级自然保护区生态保护红线</w:t>
                  </w:r>
                </w:p>
              </w:tc>
            </w:tr>
            <w:tr w14:paraId="748C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595" w:type="dxa"/>
                  <w:vMerge w:val="continue"/>
                  <w:vAlign w:val="center"/>
                </w:tcPr>
                <w:p w14:paraId="16B68360">
                  <w:pPr>
                    <w:pStyle w:val="42"/>
                    <w:rPr>
                      <w:rFonts w:hint="eastAsia"/>
                      <w:color w:val="auto"/>
                    </w:rPr>
                  </w:pPr>
                </w:p>
              </w:tc>
              <w:tc>
                <w:tcPr>
                  <w:tcW w:w="567" w:type="dxa"/>
                  <w:vMerge w:val="continue"/>
                  <w:vAlign w:val="center"/>
                </w:tcPr>
                <w:p w14:paraId="64CF7D7A">
                  <w:pPr>
                    <w:pStyle w:val="42"/>
                    <w:rPr>
                      <w:rFonts w:hint="eastAsia"/>
                      <w:color w:val="auto"/>
                    </w:rPr>
                  </w:pPr>
                </w:p>
              </w:tc>
              <w:tc>
                <w:tcPr>
                  <w:tcW w:w="1417" w:type="dxa"/>
                  <w:vMerge w:val="continue"/>
                  <w:vAlign w:val="center"/>
                </w:tcPr>
                <w:p w14:paraId="0ABAEC7D">
                  <w:pPr>
                    <w:pStyle w:val="42"/>
                    <w:rPr>
                      <w:rFonts w:hint="eastAsia"/>
                      <w:color w:val="auto"/>
                    </w:rPr>
                  </w:pPr>
                </w:p>
              </w:tc>
              <w:tc>
                <w:tcPr>
                  <w:tcW w:w="4986" w:type="dxa"/>
                  <w:vAlign w:val="center"/>
                </w:tcPr>
                <w:p w14:paraId="39C8ABD8">
                  <w:pPr>
                    <w:pStyle w:val="42"/>
                    <w:rPr>
                      <w:rFonts w:hint="eastAsia"/>
                      <w:color w:val="auto"/>
                    </w:rPr>
                  </w:pPr>
                  <w:r>
                    <w:rPr>
                      <w:rFonts w:hint="eastAsia"/>
                      <w:color w:val="auto"/>
                    </w:rPr>
                    <w:t>桂北山地水源涵养与生物多样性维护生态保护红线</w:t>
                  </w:r>
                </w:p>
              </w:tc>
            </w:tr>
            <w:tr w14:paraId="2BA6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595" w:type="dxa"/>
                  <w:vMerge w:val="continue"/>
                  <w:vAlign w:val="center"/>
                </w:tcPr>
                <w:p w14:paraId="6DCFD0C4">
                  <w:pPr>
                    <w:pStyle w:val="42"/>
                    <w:rPr>
                      <w:rFonts w:hint="eastAsia"/>
                      <w:color w:val="auto"/>
                    </w:rPr>
                  </w:pPr>
                </w:p>
              </w:tc>
              <w:tc>
                <w:tcPr>
                  <w:tcW w:w="567" w:type="dxa"/>
                  <w:vMerge w:val="continue"/>
                  <w:vAlign w:val="center"/>
                </w:tcPr>
                <w:p w14:paraId="0EA77114">
                  <w:pPr>
                    <w:pStyle w:val="42"/>
                    <w:rPr>
                      <w:rFonts w:hint="eastAsia"/>
                      <w:color w:val="auto"/>
                    </w:rPr>
                  </w:pPr>
                </w:p>
              </w:tc>
              <w:tc>
                <w:tcPr>
                  <w:tcW w:w="1417" w:type="dxa"/>
                  <w:vMerge w:val="continue"/>
                  <w:vAlign w:val="center"/>
                </w:tcPr>
                <w:p w14:paraId="6FF934CB">
                  <w:pPr>
                    <w:pStyle w:val="42"/>
                    <w:rPr>
                      <w:rFonts w:hint="eastAsia"/>
                      <w:color w:val="auto"/>
                    </w:rPr>
                  </w:pPr>
                </w:p>
              </w:tc>
              <w:tc>
                <w:tcPr>
                  <w:tcW w:w="4986" w:type="dxa"/>
                  <w:vAlign w:val="center"/>
                </w:tcPr>
                <w:p w14:paraId="4CFE2022">
                  <w:pPr>
                    <w:pStyle w:val="42"/>
                    <w:rPr>
                      <w:rFonts w:hint="eastAsia"/>
                      <w:color w:val="auto"/>
                    </w:rPr>
                  </w:pPr>
                  <w:r>
                    <w:rPr>
                      <w:rFonts w:hint="eastAsia"/>
                      <w:color w:val="auto"/>
                    </w:rPr>
                    <w:t>海洋山—都庞岭—花山水源涵养与生物多样性维护生态保护红线</w:t>
                  </w:r>
                </w:p>
              </w:tc>
            </w:tr>
            <w:tr w14:paraId="3859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595" w:type="dxa"/>
                  <w:vMerge w:val="continue"/>
                  <w:vAlign w:val="center"/>
                </w:tcPr>
                <w:p w14:paraId="02EBA954">
                  <w:pPr>
                    <w:pStyle w:val="42"/>
                    <w:rPr>
                      <w:rFonts w:hint="eastAsia"/>
                      <w:color w:val="auto"/>
                    </w:rPr>
                  </w:pPr>
                </w:p>
              </w:tc>
              <w:tc>
                <w:tcPr>
                  <w:tcW w:w="567" w:type="dxa"/>
                  <w:vMerge w:val="continue"/>
                  <w:vAlign w:val="center"/>
                </w:tcPr>
                <w:p w14:paraId="10F84131">
                  <w:pPr>
                    <w:pStyle w:val="42"/>
                    <w:rPr>
                      <w:rFonts w:hint="eastAsia"/>
                      <w:color w:val="auto"/>
                    </w:rPr>
                  </w:pPr>
                </w:p>
              </w:tc>
              <w:tc>
                <w:tcPr>
                  <w:tcW w:w="1417" w:type="dxa"/>
                  <w:vMerge w:val="continue"/>
                  <w:vAlign w:val="center"/>
                </w:tcPr>
                <w:p w14:paraId="5B315E40">
                  <w:pPr>
                    <w:pStyle w:val="42"/>
                    <w:rPr>
                      <w:rFonts w:hint="eastAsia"/>
                      <w:color w:val="auto"/>
                    </w:rPr>
                  </w:pPr>
                </w:p>
              </w:tc>
              <w:tc>
                <w:tcPr>
                  <w:tcW w:w="4986" w:type="dxa"/>
                  <w:vAlign w:val="center"/>
                </w:tcPr>
                <w:p w14:paraId="41987314">
                  <w:pPr>
                    <w:pStyle w:val="42"/>
                    <w:rPr>
                      <w:rFonts w:hint="eastAsia"/>
                      <w:color w:val="auto"/>
                    </w:rPr>
                  </w:pPr>
                  <w:r>
                    <w:rPr>
                      <w:rFonts w:hint="eastAsia"/>
                      <w:color w:val="auto"/>
                    </w:rPr>
                    <w:t>全州东山山地水土保持生态保护红线</w:t>
                  </w:r>
                </w:p>
              </w:tc>
            </w:tr>
            <w:tr w14:paraId="2166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595" w:type="dxa"/>
                  <w:vMerge w:val="continue"/>
                  <w:vAlign w:val="center"/>
                </w:tcPr>
                <w:p w14:paraId="03FD45BE">
                  <w:pPr>
                    <w:pStyle w:val="42"/>
                    <w:rPr>
                      <w:rFonts w:hint="eastAsia"/>
                      <w:color w:val="auto"/>
                    </w:rPr>
                  </w:pPr>
                </w:p>
              </w:tc>
              <w:tc>
                <w:tcPr>
                  <w:tcW w:w="567" w:type="dxa"/>
                  <w:vMerge w:val="continue"/>
                  <w:vAlign w:val="center"/>
                </w:tcPr>
                <w:p w14:paraId="65A88090">
                  <w:pPr>
                    <w:pStyle w:val="42"/>
                    <w:rPr>
                      <w:rFonts w:hint="eastAsia"/>
                      <w:color w:val="auto"/>
                    </w:rPr>
                  </w:pPr>
                </w:p>
              </w:tc>
              <w:tc>
                <w:tcPr>
                  <w:tcW w:w="1417" w:type="dxa"/>
                  <w:vMerge w:val="continue"/>
                  <w:vAlign w:val="center"/>
                </w:tcPr>
                <w:p w14:paraId="7CD33364">
                  <w:pPr>
                    <w:pStyle w:val="42"/>
                    <w:rPr>
                      <w:rFonts w:hint="eastAsia"/>
                      <w:color w:val="auto"/>
                    </w:rPr>
                  </w:pPr>
                </w:p>
              </w:tc>
              <w:tc>
                <w:tcPr>
                  <w:tcW w:w="4986" w:type="dxa"/>
                  <w:vAlign w:val="center"/>
                </w:tcPr>
                <w:p w14:paraId="3EFDDFA2">
                  <w:pPr>
                    <w:pStyle w:val="42"/>
                    <w:rPr>
                      <w:rFonts w:hint="eastAsia"/>
                      <w:color w:val="auto"/>
                    </w:rPr>
                  </w:pPr>
                  <w:r>
                    <w:rPr>
                      <w:rFonts w:hint="eastAsia"/>
                      <w:color w:val="auto"/>
                    </w:rPr>
                    <w:t>广西全州天湖国家湿地公园生态保护红线</w:t>
                  </w:r>
                </w:p>
              </w:tc>
            </w:tr>
            <w:tr w14:paraId="6A7B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595" w:type="dxa"/>
                  <w:vMerge w:val="continue"/>
                  <w:vAlign w:val="center"/>
                </w:tcPr>
                <w:p w14:paraId="680C5BA3">
                  <w:pPr>
                    <w:pStyle w:val="42"/>
                    <w:rPr>
                      <w:rFonts w:hint="eastAsia"/>
                      <w:color w:val="auto"/>
                    </w:rPr>
                  </w:pPr>
                </w:p>
              </w:tc>
              <w:tc>
                <w:tcPr>
                  <w:tcW w:w="567" w:type="dxa"/>
                  <w:vMerge w:val="continue"/>
                  <w:vAlign w:val="center"/>
                </w:tcPr>
                <w:p w14:paraId="0C0804E0">
                  <w:pPr>
                    <w:pStyle w:val="42"/>
                    <w:rPr>
                      <w:rFonts w:hint="eastAsia"/>
                      <w:color w:val="auto"/>
                    </w:rPr>
                  </w:pPr>
                </w:p>
              </w:tc>
              <w:tc>
                <w:tcPr>
                  <w:tcW w:w="1417" w:type="dxa"/>
                  <w:vMerge w:val="continue"/>
                  <w:vAlign w:val="center"/>
                </w:tcPr>
                <w:p w14:paraId="4D2DCA24">
                  <w:pPr>
                    <w:pStyle w:val="42"/>
                    <w:rPr>
                      <w:rFonts w:hint="eastAsia"/>
                      <w:color w:val="auto"/>
                    </w:rPr>
                  </w:pPr>
                </w:p>
              </w:tc>
              <w:tc>
                <w:tcPr>
                  <w:tcW w:w="4986" w:type="dxa"/>
                  <w:vAlign w:val="center"/>
                </w:tcPr>
                <w:p w14:paraId="53522406">
                  <w:pPr>
                    <w:pStyle w:val="42"/>
                    <w:rPr>
                      <w:rFonts w:hint="eastAsia"/>
                      <w:color w:val="auto"/>
                    </w:rPr>
                  </w:pPr>
                  <w:r>
                    <w:rPr>
                      <w:rFonts w:hint="eastAsia"/>
                      <w:color w:val="auto"/>
                    </w:rPr>
                    <w:t>湘江—桂江流域水源涵养生态保护红线</w:t>
                  </w:r>
                </w:p>
              </w:tc>
            </w:tr>
            <w:tr w14:paraId="5139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595" w:type="dxa"/>
                  <w:vMerge w:val="continue"/>
                  <w:vAlign w:val="center"/>
                </w:tcPr>
                <w:p w14:paraId="1C44DA3F">
                  <w:pPr>
                    <w:pStyle w:val="42"/>
                    <w:rPr>
                      <w:rFonts w:hint="eastAsia"/>
                      <w:color w:val="auto"/>
                    </w:rPr>
                  </w:pPr>
                </w:p>
              </w:tc>
              <w:tc>
                <w:tcPr>
                  <w:tcW w:w="567" w:type="dxa"/>
                  <w:vMerge w:val="continue"/>
                  <w:vAlign w:val="center"/>
                </w:tcPr>
                <w:p w14:paraId="037FA1C8">
                  <w:pPr>
                    <w:pStyle w:val="42"/>
                    <w:rPr>
                      <w:rFonts w:hint="eastAsia"/>
                      <w:color w:val="auto"/>
                    </w:rPr>
                  </w:pPr>
                </w:p>
              </w:tc>
              <w:tc>
                <w:tcPr>
                  <w:tcW w:w="1417" w:type="dxa"/>
                  <w:vMerge w:val="continue"/>
                  <w:vAlign w:val="center"/>
                </w:tcPr>
                <w:p w14:paraId="418ABADB">
                  <w:pPr>
                    <w:pStyle w:val="42"/>
                    <w:rPr>
                      <w:rFonts w:hint="eastAsia"/>
                      <w:color w:val="auto"/>
                    </w:rPr>
                  </w:pPr>
                </w:p>
              </w:tc>
              <w:tc>
                <w:tcPr>
                  <w:tcW w:w="4986" w:type="dxa"/>
                  <w:vAlign w:val="center"/>
                </w:tcPr>
                <w:p w14:paraId="790324EC">
                  <w:pPr>
                    <w:pStyle w:val="42"/>
                    <w:rPr>
                      <w:rFonts w:hint="eastAsia"/>
                      <w:color w:val="auto"/>
                    </w:rPr>
                  </w:pPr>
                  <w:r>
                    <w:rPr>
                      <w:rFonts w:hint="eastAsia"/>
                      <w:color w:val="auto"/>
                    </w:rPr>
                    <w:t>全州县县城饮用水水源保护区一般生态空间</w:t>
                  </w:r>
                </w:p>
              </w:tc>
            </w:tr>
            <w:tr w14:paraId="5968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595" w:type="dxa"/>
                  <w:vMerge w:val="continue"/>
                  <w:vAlign w:val="center"/>
                </w:tcPr>
                <w:p w14:paraId="128163A7">
                  <w:pPr>
                    <w:pStyle w:val="42"/>
                    <w:rPr>
                      <w:rFonts w:hint="eastAsia"/>
                      <w:color w:val="auto"/>
                    </w:rPr>
                  </w:pPr>
                </w:p>
              </w:tc>
              <w:tc>
                <w:tcPr>
                  <w:tcW w:w="567" w:type="dxa"/>
                  <w:vMerge w:val="continue"/>
                  <w:vAlign w:val="center"/>
                </w:tcPr>
                <w:p w14:paraId="44D5C6B2">
                  <w:pPr>
                    <w:pStyle w:val="42"/>
                    <w:rPr>
                      <w:rFonts w:hint="eastAsia"/>
                      <w:color w:val="auto"/>
                    </w:rPr>
                  </w:pPr>
                </w:p>
              </w:tc>
              <w:tc>
                <w:tcPr>
                  <w:tcW w:w="1417" w:type="dxa"/>
                  <w:vMerge w:val="continue"/>
                  <w:vAlign w:val="center"/>
                </w:tcPr>
                <w:p w14:paraId="6CAFA2E8">
                  <w:pPr>
                    <w:pStyle w:val="42"/>
                    <w:rPr>
                      <w:rFonts w:hint="eastAsia"/>
                      <w:color w:val="auto"/>
                    </w:rPr>
                  </w:pPr>
                </w:p>
              </w:tc>
              <w:tc>
                <w:tcPr>
                  <w:tcW w:w="4986" w:type="dxa"/>
                  <w:vAlign w:val="center"/>
                </w:tcPr>
                <w:p w14:paraId="27023E43">
                  <w:pPr>
                    <w:pStyle w:val="42"/>
                    <w:rPr>
                      <w:rFonts w:hint="eastAsia"/>
                      <w:color w:val="auto"/>
                    </w:rPr>
                  </w:pPr>
                  <w:r>
                    <w:rPr>
                      <w:rFonts w:hint="eastAsia"/>
                      <w:color w:val="auto"/>
                    </w:rPr>
                    <w:t>全州县其他优先保护单元</w:t>
                  </w:r>
                </w:p>
              </w:tc>
            </w:tr>
            <w:tr w14:paraId="0A83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595" w:type="dxa"/>
                  <w:vMerge w:val="continue"/>
                  <w:vAlign w:val="center"/>
                </w:tcPr>
                <w:p w14:paraId="5A3A4FF1">
                  <w:pPr>
                    <w:pStyle w:val="42"/>
                    <w:rPr>
                      <w:rFonts w:hint="eastAsia"/>
                      <w:color w:val="auto"/>
                    </w:rPr>
                  </w:pPr>
                </w:p>
              </w:tc>
              <w:tc>
                <w:tcPr>
                  <w:tcW w:w="567" w:type="dxa"/>
                  <w:vMerge w:val="continue"/>
                  <w:vAlign w:val="center"/>
                </w:tcPr>
                <w:p w14:paraId="1243E933">
                  <w:pPr>
                    <w:pStyle w:val="42"/>
                    <w:rPr>
                      <w:rFonts w:hint="eastAsia"/>
                      <w:color w:val="auto"/>
                    </w:rPr>
                  </w:pPr>
                </w:p>
              </w:tc>
              <w:tc>
                <w:tcPr>
                  <w:tcW w:w="1417" w:type="dxa"/>
                  <w:vMerge w:val="restart"/>
                  <w:vAlign w:val="center"/>
                </w:tcPr>
                <w:p w14:paraId="12C7CEB0">
                  <w:pPr>
                    <w:pStyle w:val="42"/>
                    <w:rPr>
                      <w:rFonts w:hint="eastAsia"/>
                      <w:color w:val="auto"/>
                    </w:rPr>
                  </w:pPr>
                  <w:r>
                    <w:rPr>
                      <w:rFonts w:hint="eastAsia"/>
                      <w:color w:val="auto"/>
                    </w:rPr>
                    <w:t>重点管控单元（</w:t>
                  </w:r>
                  <w:r>
                    <w:rPr>
                      <w:rFonts w:hint="eastAsia"/>
                      <w:color w:val="auto"/>
                      <w:lang w:val="en-US" w:eastAsia="zh-CN"/>
                    </w:rPr>
                    <w:t>3</w:t>
                  </w:r>
                  <w:r>
                    <w:rPr>
                      <w:rFonts w:hint="eastAsia"/>
                      <w:color w:val="auto"/>
                    </w:rPr>
                    <w:t>个）</w:t>
                  </w:r>
                </w:p>
              </w:tc>
              <w:tc>
                <w:tcPr>
                  <w:tcW w:w="4986" w:type="dxa"/>
                  <w:vAlign w:val="center"/>
                </w:tcPr>
                <w:p w14:paraId="6925041F">
                  <w:pPr>
                    <w:pStyle w:val="42"/>
                    <w:rPr>
                      <w:rFonts w:hint="eastAsia"/>
                      <w:color w:val="auto"/>
                    </w:rPr>
                  </w:pPr>
                  <w:r>
                    <w:rPr>
                      <w:rFonts w:hint="eastAsia"/>
                      <w:color w:val="auto"/>
                    </w:rPr>
                    <w:t>全州县工业集中区重点管控单元</w:t>
                  </w:r>
                </w:p>
              </w:tc>
            </w:tr>
            <w:tr w14:paraId="347E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595" w:type="dxa"/>
                  <w:vMerge w:val="continue"/>
                  <w:vAlign w:val="center"/>
                </w:tcPr>
                <w:p w14:paraId="623B1377">
                  <w:pPr>
                    <w:pStyle w:val="42"/>
                    <w:rPr>
                      <w:rFonts w:hint="eastAsia"/>
                      <w:color w:val="auto"/>
                    </w:rPr>
                  </w:pPr>
                </w:p>
              </w:tc>
              <w:tc>
                <w:tcPr>
                  <w:tcW w:w="567" w:type="dxa"/>
                  <w:vMerge w:val="continue"/>
                  <w:vAlign w:val="center"/>
                </w:tcPr>
                <w:p w14:paraId="18D96D81">
                  <w:pPr>
                    <w:pStyle w:val="42"/>
                    <w:rPr>
                      <w:rFonts w:hint="eastAsia"/>
                      <w:color w:val="auto"/>
                    </w:rPr>
                  </w:pPr>
                </w:p>
              </w:tc>
              <w:tc>
                <w:tcPr>
                  <w:tcW w:w="1417" w:type="dxa"/>
                  <w:vMerge w:val="continue"/>
                  <w:vAlign w:val="center"/>
                </w:tcPr>
                <w:p w14:paraId="01461884">
                  <w:pPr>
                    <w:pStyle w:val="42"/>
                    <w:rPr>
                      <w:rFonts w:hint="eastAsia"/>
                      <w:color w:val="auto"/>
                    </w:rPr>
                  </w:pPr>
                </w:p>
              </w:tc>
              <w:tc>
                <w:tcPr>
                  <w:tcW w:w="4986" w:type="dxa"/>
                  <w:vAlign w:val="center"/>
                </w:tcPr>
                <w:p w14:paraId="33F7E333">
                  <w:pPr>
                    <w:pStyle w:val="42"/>
                    <w:rPr>
                      <w:rFonts w:hint="eastAsia"/>
                      <w:color w:val="auto"/>
                    </w:rPr>
                  </w:pPr>
                  <w:r>
                    <w:rPr>
                      <w:rFonts w:hint="eastAsia"/>
                      <w:color w:val="auto"/>
                    </w:rPr>
                    <w:t>全州县城镇空间重点管控单元</w:t>
                  </w:r>
                </w:p>
              </w:tc>
            </w:tr>
            <w:tr w14:paraId="488F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595" w:type="dxa"/>
                  <w:vMerge w:val="continue"/>
                  <w:vAlign w:val="center"/>
                </w:tcPr>
                <w:p w14:paraId="0062DDE6">
                  <w:pPr>
                    <w:pStyle w:val="42"/>
                    <w:rPr>
                      <w:rFonts w:hint="eastAsia"/>
                      <w:color w:val="auto"/>
                    </w:rPr>
                  </w:pPr>
                </w:p>
              </w:tc>
              <w:tc>
                <w:tcPr>
                  <w:tcW w:w="567" w:type="dxa"/>
                  <w:vMerge w:val="continue"/>
                  <w:vAlign w:val="center"/>
                </w:tcPr>
                <w:p w14:paraId="29416F71">
                  <w:pPr>
                    <w:pStyle w:val="42"/>
                    <w:rPr>
                      <w:rFonts w:hint="eastAsia"/>
                      <w:color w:val="auto"/>
                    </w:rPr>
                  </w:pPr>
                </w:p>
              </w:tc>
              <w:tc>
                <w:tcPr>
                  <w:tcW w:w="1417" w:type="dxa"/>
                  <w:vMerge w:val="continue"/>
                  <w:vAlign w:val="center"/>
                </w:tcPr>
                <w:p w14:paraId="49144823">
                  <w:pPr>
                    <w:pStyle w:val="42"/>
                    <w:rPr>
                      <w:rFonts w:hint="eastAsia"/>
                      <w:color w:val="auto"/>
                    </w:rPr>
                  </w:pPr>
                </w:p>
              </w:tc>
              <w:tc>
                <w:tcPr>
                  <w:tcW w:w="4986" w:type="dxa"/>
                  <w:vAlign w:val="center"/>
                </w:tcPr>
                <w:p w14:paraId="13129E37">
                  <w:pPr>
                    <w:pStyle w:val="42"/>
                    <w:rPr>
                      <w:rFonts w:hint="eastAsia"/>
                      <w:color w:val="auto"/>
                    </w:rPr>
                  </w:pPr>
                  <w:r>
                    <w:rPr>
                      <w:rFonts w:hint="eastAsia"/>
                      <w:color w:val="auto"/>
                    </w:rPr>
                    <w:t>全州县其他重点管控单元</w:t>
                  </w:r>
                </w:p>
              </w:tc>
            </w:tr>
            <w:tr w14:paraId="1E08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 w:hRule="atLeast"/>
              </w:trPr>
              <w:tc>
                <w:tcPr>
                  <w:tcW w:w="595" w:type="dxa"/>
                  <w:vMerge w:val="continue"/>
                  <w:vAlign w:val="center"/>
                </w:tcPr>
                <w:p w14:paraId="1A38F372">
                  <w:pPr>
                    <w:pStyle w:val="42"/>
                    <w:rPr>
                      <w:rFonts w:hint="eastAsia"/>
                      <w:color w:val="auto"/>
                    </w:rPr>
                  </w:pPr>
                </w:p>
              </w:tc>
              <w:tc>
                <w:tcPr>
                  <w:tcW w:w="567" w:type="dxa"/>
                  <w:vMerge w:val="continue"/>
                  <w:vAlign w:val="center"/>
                </w:tcPr>
                <w:p w14:paraId="43E97C34">
                  <w:pPr>
                    <w:pStyle w:val="42"/>
                    <w:rPr>
                      <w:rFonts w:hint="eastAsia"/>
                      <w:color w:val="auto"/>
                    </w:rPr>
                  </w:pPr>
                </w:p>
              </w:tc>
              <w:tc>
                <w:tcPr>
                  <w:tcW w:w="1417" w:type="dxa"/>
                  <w:vAlign w:val="center"/>
                </w:tcPr>
                <w:p w14:paraId="492AB762">
                  <w:pPr>
                    <w:pStyle w:val="42"/>
                    <w:rPr>
                      <w:rFonts w:hint="eastAsia"/>
                      <w:color w:val="auto"/>
                    </w:rPr>
                  </w:pPr>
                  <w:r>
                    <w:rPr>
                      <w:rFonts w:hint="eastAsia"/>
                      <w:color w:val="auto"/>
                    </w:rPr>
                    <w:t>一般管控单元（1个）</w:t>
                  </w:r>
                </w:p>
              </w:tc>
              <w:tc>
                <w:tcPr>
                  <w:tcW w:w="4986" w:type="dxa"/>
                  <w:vAlign w:val="center"/>
                </w:tcPr>
                <w:p w14:paraId="30811EC9">
                  <w:pPr>
                    <w:pStyle w:val="42"/>
                    <w:rPr>
                      <w:rFonts w:hint="eastAsia"/>
                      <w:color w:val="auto"/>
                    </w:rPr>
                  </w:pPr>
                  <w:r>
                    <w:rPr>
                      <w:rFonts w:hint="eastAsia"/>
                      <w:color w:val="auto"/>
                    </w:rPr>
                    <w:t>全州县一般管控单元</w:t>
                  </w:r>
                </w:p>
              </w:tc>
            </w:tr>
          </w:tbl>
          <w:p w14:paraId="1EDEEE80">
            <w:pPr>
              <w:ind w:firstLine="480"/>
              <w:rPr>
                <w:rFonts w:hint="default" w:eastAsia="宋体"/>
                <w:lang w:val="en-US" w:eastAsia="zh-CN"/>
              </w:rPr>
            </w:pPr>
            <w:r>
              <w:rPr>
                <w:rFonts w:hint="eastAsia"/>
                <w:color w:val="auto"/>
              </w:rPr>
              <w:t>根据现场调查及查阅相关资料，拟建项目评价范围内无需特殊保护的风景名胜区、自然保护区、饮用水水源保护区、森林公园、地质公园、湿地公园、水土流失重点预防区等重点生态功能区和生态敏感区；根据</w:t>
            </w:r>
            <w:r>
              <w:rPr>
                <w:rFonts w:hint="eastAsia"/>
                <w:color w:val="auto"/>
                <w:lang w:val="en-US" w:eastAsia="zh-CN"/>
              </w:rPr>
              <w:t>桂林</w:t>
            </w:r>
            <w:r>
              <w:rPr>
                <w:rFonts w:hint="eastAsia"/>
                <w:color w:val="auto"/>
              </w:rPr>
              <w:t>市环境管控单元分类图，项目位于</w:t>
            </w:r>
            <w:r>
              <w:rPr>
                <w:rFonts w:hint="eastAsia"/>
                <w:color w:val="auto"/>
                <w:lang w:eastAsia="zh-CN"/>
              </w:rPr>
              <w:t>全州县</w:t>
            </w:r>
            <w:r>
              <w:rPr>
                <w:rFonts w:hint="eastAsia"/>
                <w:color w:val="auto"/>
              </w:rPr>
              <w:t>城镇空间重点管控单元</w:t>
            </w:r>
            <w:r>
              <w:rPr>
                <w:rFonts w:hint="eastAsia"/>
                <w:color w:val="auto"/>
                <w:lang w:eastAsia="zh-CN"/>
              </w:rPr>
              <w:t>（ZH45032420002）</w:t>
            </w:r>
            <w:r>
              <w:rPr>
                <w:rFonts w:hint="eastAsia"/>
                <w:color w:val="auto"/>
              </w:rPr>
              <w:t>，本项目用地属于重点管控单元</w:t>
            </w:r>
            <w:r>
              <w:rPr>
                <w:rFonts w:hint="eastAsia"/>
                <w:color w:val="auto"/>
                <w:lang w:eastAsia="zh-CN"/>
              </w:rPr>
              <w:t>，桂林市生态环境局预计将本项目用地调整为全州县工业集中区重点管控单元（ZH4503242000</w:t>
            </w:r>
            <w:r>
              <w:rPr>
                <w:rFonts w:hint="eastAsia"/>
                <w:color w:val="auto"/>
                <w:lang w:val="en-US" w:eastAsia="zh-CN"/>
              </w:rPr>
              <w:t>1</w:t>
            </w:r>
            <w:r>
              <w:rPr>
                <w:rFonts w:hint="eastAsia"/>
                <w:color w:val="auto"/>
                <w:lang w:eastAsia="zh-CN"/>
              </w:rPr>
              <w:t>）</w:t>
            </w:r>
            <w:r>
              <w:rPr>
                <w:rFonts w:hint="eastAsia"/>
                <w:color w:val="auto"/>
              </w:rPr>
              <w:t>。生态环境管控单元分类图</w:t>
            </w:r>
            <w:r>
              <w:rPr>
                <w:rFonts w:hint="eastAsia"/>
                <w:color w:val="auto"/>
                <w:lang w:eastAsia="zh-CN"/>
              </w:rPr>
              <w:t>见附图</w:t>
            </w:r>
            <w:r>
              <w:rPr>
                <w:rFonts w:hint="eastAsia"/>
                <w:color w:val="auto"/>
                <w:lang w:val="en-US" w:eastAsia="zh-CN"/>
              </w:rPr>
              <w:t>6。</w:t>
            </w:r>
          </w:p>
          <w:p w14:paraId="3D7E3C33">
            <w:pPr>
              <w:ind w:firstLine="480"/>
              <w:rPr>
                <w:color w:val="auto"/>
              </w:rPr>
            </w:pPr>
            <w:r>
              <w:rPr>
                <w:rFonts w:hint="eastAsia"/>
                <w:color w:val="auto"/>
              </w:rPr>
              <w:t>“在重点管控单元内，根据单元内生态环境质量目标和资源环境管控要求，结合经济社会发展水平，按照差别化的生态环境准入要求，优化空间和产业布局，加强污染物排放控制和环境风险防控，不断提升资源开发利用效率，解决局部生态环境质量不达标、生态环境风险高的问题。”</w:t>
            </w:r>
          </w:p>
          <w:p w14:paraId="440C3EAC">
            <w:pPr>
              <w:ind w:firstLine="480"/>
              <w:rPr>
                <w:rFonts w:ascii="Helvetica" w:hAnsi="Helvetica"/>
                <w:color w:val="FF0000"/>
                <w:shd w:val="clear" w:color="auto" w:fill="FFFFFF"/>
              </w:rPr>
            </w:pPr>
            <w:r>
              <w:rPr>
                <w:rFonts w:hint="eastAsia"/>
                <w:color w:val="auto"/>
              </w:rPr>
              <w:t>在建设和运营过程中采取文本中提到的有效的环保措施并落到实处，以降低对生态环境的影响，项目是符合</w:t>
            </w:r>
            <w:r>
              <w:rPr>
                <w:rFonts w:ascii="Helvetica" w:hAnsi="Helvetica"/>
                <w:color w:val="auto"/>
                <w:shd w:val="clear" w:color="auto" w:fill="FFFFFF"/>
              </w:rPr>
              <w:t>生态环境分区管控</w:t>
            </w:r>
            <w:r>
              <w:rPr>
                <w:rFonts w:hint="eastAsia" w:ascii="Helvetica" w:hAnsi="Helvetica"/>
                <w:color w:val="auto"/>
                <w:shd w:val="clear" w:color="auto" w:fill="FFFFFF"/>
              </w:rPr>
              <w:t>要求。</w:t>
            </w:r>
          </w:p>
          <w:p w14:paraId="1453A704">
            <w:pPr>
              <w:pStyle w:val="8"/>
              <w:numPr>
                <w:ilvl w:val="5"/>
                <w:numId w:val="0"/>
              </w:numPr>
              <w:ind w:left="0" w:leftChars="0" w:firstLine="480" w:firstLineChars="200"/>
              <w:rPr>
                <w:color w:val="FF0000"/>
              </w:rPr>
            </w:pPr>
            <w:bookmarkStart w:id="1" w:name="_Ref157255044"/>
            <w:r>
              <w:rPr>
                <w:rFonts w:hint="default" w:ascii="Times New Roman" w:hAnsi="Times New Roman" w:eastAsia="宋体" w:cs="Times New Roman"/>
                <w:b/>
                <w:i w:val="0"/>
                <w:color w:val="auto"/>
                <w:kern w:val="2"/>
                <w:sz w:val="24"/>
                <w:szCs w:val="24"/>
                <w:shd w:val="clear" w:fill="FFFFFF"/>
                <w:lang w:val="en-US" w:eastAsia="zh-CN" w:bidi="ar-SA"/>
              </w:rPr>
              <w:t>表1-3</w:t>
            </w:r>
            <w:r>
              <w:rPr>
                <w:rFonts w:hint="eastAsia"/>
                <w:color w:val="auto"/>
                <w:lang w:val="en-US" w:eastAsia="zh-CN"/>
              </w:rPr>
              <w:t>桂林</w:t>
            </w:r>
            <w:r>
              <w:rPr>
                <w:rFonts w:hint="eastAsia"/>
                <w:color w:val="auto"/>
              </w:rPr>
              <w:t>市环境管控单元生态环境准入及管控要求</w:t>
            </w:r>
            <w:bookmarkEnd w:id="1"/>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709"/>
              <w:gridCol w:w="3402"/>
              <w:gridCol w:w="1843"/>
              <w:gridCol w:w="733"/>
            </w:tblGrid>
            <w:tr w14:paraId="5819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Align w:val="center"/>
                </w:tcPr>
                <w:p w14:paraId="138969C3">
                  <w:pPr>
                    <w:pStyle w:val="42"/>
                    <w:rPr>
                      <w:rFonts w:ascii="Times New Roman" w:hAnsi="Times New Roman" w:eastAsia="宋体"/>
                      <w:color w:val="auto"/>
                    </w:rPr>
                  </w:pPr>
                  <w:bookmarkStart w:id="2" w:name="_Ref157255049"/>
                  <w:r>
                    <w:rPr>
                      <w:rFonts w:hint="eastAsia" w:ascii="Times New Roman" w:hAnsi="Times New Roman" w:eastAsia="宋体"/>
                      <w:color w:val="auto"/>
                    </w:rPr>
                    <w:t>适用范围</w:t>
                  </w:r>
                </w:p>
              </w:tc>
              <w:tc>
                <w:tcPr>
                  <w:tcW w:w="4111" w:type="dxa"/>
                  <w:gridSpan w:val="2"/>
                  <w:vAlign w:val="center"/>
                </w:tcPr>
                <w:p w14:paraId="3E9FC00E">
                  <w:pPr>
                    <w:pStyle w:val="42"/>
                    <w:rPr>
                      <w:rFonts w:ascii="Times New Roman" w:hAnsi="Times New Roman" w:eastAsia="宋体"/>
                      <w:color w:val="auto"/>
                    </w:rPr>
                  </w:pPr>
                  <w:r>
                    <w:rPr>
                      <w:rFonts w:hint="eastAsia" w:ascii="Times New Roman" w:hAnsi="Times New Roman" w:eastAsia="宋体"/>
                      <w:color w:val="auto"/>
                    </w:rPr>
                    <w:t>环境管控单元生态环境准入及管控要求</w:t>
                  </w:r>
                </w:p>
              </w:tc>
              <w:tc>
                <w:tcPr>
                  <w:tcW w:w="1843" w:type="dxa"/>
                  <w:vAlign w:val="center"/>
                </w:tcPr>
                <w:p w14:paraId="233AFA33">
                  <w:pPr>
                    <w:pStyle w:val="42"/>
                    <w:rPr>
                      <w:rFonts w:ascii="Times New Roman" w:hAnsi="Times New Roman" w:eastAsia="宋体"/>
                      <w:color w:val="auto"/>
                    </w:rPr>
                  </w:pPr>
                  <w:r>
                    <w:rPr>
                      <w:rFonts w:hint="eastAsia" w:ascii="Times New Roman" w:hAnsi="Times New Roman" w:eastAsia="宋体"/>
                      <w:color w:val="auto"/>
                    </w:rPr>
                    <w:t>项目情况</w:t>
                  </w:r>
                </w:p>
              </w:tc>
              <w:tc>
                <w:tcPr>
                  <w:tcW w:w="733" w:type="dxa"/>
                  <w:vAlign w:val="center"/>
                </w:tcPr>
                <w:p w14:paraId="7F9FEA79">
                  <w:pPr>
                    <w:pStyle w:val="42"/>
                    <w:rPr>
                      <w:rFonts w:ascii="Times New Roman" w:hAnsi="Times New Roman" w:eastAsia="宋体"/>
                      <w:color w:val="auto"/>
                    </w:rPr>
                  </w:pPr>
                  <w:r>
                    <w:rPr>
                      <w:rFonts w:hint="eastAsia" w:ascii="Times New Roman" w:hAnsi="Times New Roman" w:eastAsia="宋体"/>
                      <w:color w:val="auto"/>
                    </w:rPr>
                    <w:t>是否符合</w:t>
                  </w:r>
                </w:p>
              </w:tc>
            </w:tr>
            <w:tr w14:paraId="6489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restart"/>
                  <w:vAlign w:val="center"/>
                </w:tcPr>
                <w:p w14:paraId="15FB2D14">
                  <w:pPr>
                    <w:pStyle w:val="42"/>
                    <w:rPr>
                      <w:rFonts w:ascii="Times New Roman" w:hAnsi="Times New Roman" w:eastAsia="宋体"/>
                      <w:color w:val="auto"/>
                    </w:rPr>
                  </w:pPr>
                  <w:r>
                    <w:rPr>
                      <w:rFonts w:hint="eastAsia" w:ascii="Times New Roman" w:hAnsi="Times New Roman" w:eastAsia="宋体"/>
                      <w:color w:val="auto"/>
                    </w:rPr>
                    <w:t>全市</w:t>
                  </w:r>
                </w:p>
              </w:tc>
              <w:tc>
                <w:tcPr>
                  <w:tcW w:w="709" w:type="dxa"/>
                  <w:vMerge w:val="restart"/>
                  <w:vAlign w:val="center"/>
                </w:tcPr>
                <w:p w14:paraId="4D65B252">
                  <w:pPr>
                    <w:pStyle w:val="42"/>
                    <w:rPr>
                      <w:rFonts w:ascii="Times New Roman" w:hAnsi="Times New Roman" w:eastAsia="宋体"/>
                      <w:color w:val="auto"/>
                    </w:rPr>
                  </w:pPr>
                  <w:r>
                    <w:rPr>
                      <w:rFonts w:hint="eastAsia" w:ascii="Times New Roman" w:hAnsi="Times New Roman" w:eastAsia="宋体"/>
                      <w:color w:val="auto"/>
                    </w:rPr>
                    <w:t>空间布局约束</w:t>
                  </w:r>
                </w:p>
              </w:tc>
              <w:tc>
                <w:tcPr>
                  <w:tcW w:w="3402" w:type="dxa"/>
                  <w:vAlign w:val="center"/>
                </w:tcPr>
                <w:p w14:paraId="44E8ED14">
                  <w:pPr>
                    <w:pStyle w:val="42"/>
                    <w:jc w:val="both"/>
                    <w:rPr>
                      <w:rFonts w:ascii="Times New Roman" w:hAnsi="Times New Roman" w:eastAsia="宋体"/>
                      <w:color w:val="auto"/>
                    </w:rPr>
                  </w:pPr>
                  <w:r>
                    <w:rPr>
                      <w:rFonts w:hint="eastAsia" w:ascii="Times New Roman" w:hAnsi="Times New Roman" w:eastAsia="宋体"/>
                      <w:color w:val="auto"/>
                    </w:rPr>
                    <w:t>1．自然保护地、饮用水水源保护区、风景名胜区、公益林、天然林等具有法律地位、有管理条例、规定、办法等的各类保护地，其管控要求原则上按照各类保护地的现行规定进行管理，重叠区域以最严格的要求进行管理。纳入生态保护红线管理的各类自然保护地，还应执行国家、自治区有关生态保护红线内各类开发活动的准入及管控规定和要求。</w:t>
                  </w:r>
                </w:p>
              </w:tc>
              <w:tc>
                <w:tcPr>
                  <w:tcW w:w="1843" w:type="dxa"/>
                  <w:vAlign w:val="center"/>
                </w:tcPr>
                <w:p w14:paraId="17CE1A8D">
                  <w:pPr>
                    <w:pStyle w:val="42"/>
                    <w:jc w:val="both"/>
                    <w:rPr>
                      <w:rFonts w:ascii="Times New Roman" w:hAnsi="Times New Roman" w:eastAsia="宋体"/>
                      <w:color w:val="auto"/>
                    </w:rPr>
                  </w:pPr>
                  <w:r>
                    <w:rPr>
                      <w:rFonts w:hint="eastAsia" w:ascii="Times New Roman" w:hAnsi="Times New Roman" w:eastAsia="宋体"/>
                      <w:color w:val="auto"/>
                    </w:rPr>
                    <w:t>本项目位于重点管控单元，不在生态环境保护红线范围内，符合生态保护红线相关要求。</w:t>
                  </w:r>
                </w:p>
              </w:tc>
              <w:tc>
                <w:tcPr>
                  <w:tcW w:w="733" w:type="dxa"/>
                  <w:vAlign w:val="center"/>
                </w:tcPr>
                <w:p w14:paraId="14C2D4AF">
                  <w:pPr>
                    <w:pStyle w:val="42"/>
                    <w:rPr>
                      <w:rFonts w:ascii="Times New Roman" w:hAnsi="Times New Roman" w:eastAsia="宋体"/>
                      <w:color w:val="auto"/>
                    </w:rPr>
                  </w:pPr>
                  <w:r>
                    <w:rPr>
                      <w:rFonts w:hint="eastAsia" w:ascii="Times New Roman" w:hAnsi="Times New Roman" w:eastAsia="宋体"/>
                      <w:color w:val="auto"/>
                    </w:rPr>
                    <w:t>符合</w:t>
                  </w:r>
                </w:p>
              </w:tc>
            </w:tr>
            <w:tr w14:paraId="5B68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3C7C7C11">
                  <w:pPr>
                    <w:pStyle w:val="42"/>
                    <w:rPr>
                      <w:rFonts w:hint="eastAsia" w:ascii="Times New Roman" w:hAnsi="Times New Roman" w:eastAsia="宋体"/>
                      <w:color w:val="auto"/>
                    </w:rPr>
                  </w:pPr>
                </w:p>
              </w:tc>
              <w:tc>
                <w:tcPr>
                  <w:tcW w:w="709" w:type="dxa"/>
                  <w:vMerge w:val="continue"/>
                  <w:vAlign w:val="center"/>
                </w:tcPr>
                <w:p w14:paraId="6B4D03AF">
                  <w:pPr>
                    <w:pStyle w:val="42"/>
                    <w:rPr>
                      <w:rFonts w:hint="eastAsia" w:ascii="Times New Roman" w:hAnsi="Times New Roman" w:eastAsia="宋体"/>
                      <w:color w:val="auto"/>
                    </w:rPr>
                  </w:pPr>
                </w:p>
              </w:tc>
              <w:tc>
                <w:tcPr>
                  <w:tcW w:w="3402" w:type="dxa"/>
                  <w:shd w:val="clear" w:color="auto" w:fill="auto"/>
                  <w:vAlign w:val="center"/>
                </w:tcPr>
                <w:p w14:paraId="2335CF1C">
                  <w:pPr>
                    <w:pStyle w:val="42"/>
                    <w:ind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2．加强生态保护红线区域内项目、设施的排查摸底，对生态保护红线区域内不符合保护要求的项目加大整治力度，明确时限要求，及时关闭、拆除原有违法违规项目，同步做好生态修复，确保红线区域的生态质量稳步提高。</w:t>
                  </w:r>
                </w:p>
              </w:tc>
              <w:tc>
                <w:tcPr>
                  <w:tcW w:w="1843" w:type="dxa"/>
                  <w:shd w:val="clear" w:color="auto" w:fill="auto"/>
                  <w:vAlign w:val="center"/>
                </w:tcPr>
                <w:p w14:paraId="6829CD7A">
                  <w:pPr>
                    <w:pStyle w:val="42"/>
                    <w:ind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本项目位于重点管控单元，不在生态环境保护红线范围内，符合生态保护红线相关要求。</w:t>
                  </w:r>
                </w:p>
              </w:tc>
              <w:tc>
                <w:tcPr>
                  <w:tcW w:w="733" w:type="dxa"/>
                  <w:shd w:val="clear" w:color="auto" w:fill="auto"/>
                  <w:vAlign w:val="center"/>
                </w:tcPr>
                <w:p w14:paraId="48598015">
                  <w:pPr>
                    <w:pStyle w:val="42"/>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符合</w:t>
                  </w:r>
                </w:p>
              </w:tc>
            </w:tr>
            <w:tr w14:paraId="0CF6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4CA8E64A">
                  <w:pPr>
                    <w:pStyle w:val="42"/>
                    <w:rPr>
                      <w:rFonts w:hint="eastAsia" w:ascii="Times New Roman" w:hAnsi="Times New Roman" w:eastAsia="宋体"/>
                      <w:color w:val="auto"/>
                    </w:rPr>
                  </w:pPr>
                </w:p>
              </w:tc>
              <w:tc>
                <w:tcPr>
                  <w:tcW w:w="709" w:type="dxa"/>
                  <w:vMerge w:val="continue"/>
                  <w:vAlign w:val="center"/>
                </w:tcPr>
                <w:p w14:paraId="43515776">
                  <w:pPr>
                    <w:pStyle w:val="42"/>
                    <w:rPr>
                      <w:rFonts w:hint="eastAsia" w:ascii="Times New Roman" w:hAnsi="Times New Roman" w:eastAsia="宋体"/>
                      <w:color w:val="auto"/>
                    </w:rPr>
                  </w:pPr>
                </w:p>
              </w:tc>
              <w:tc>
                <w:tcPr>
                  <w:tcW w:w="3402" w:type="dxa"/>
                  <w:shd w:val="clear" w:color="auto" w:fill="auto"/>
                  <w:vAlign w:val="center"/>
                </w:tcPr>
                <w:p w14:paraId="6B9BDAF5">
                  <w:pPr>
                    <w:pStyle w:val="42"/>
                    <w:ind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3．禁止新建不符合国家和自治区发展规划、国土空间规划、产业政策和行业准入条件的项目。禁止新建属于限制类和淘汰类的涉重金属和高排放高耗能的项目。严格控制产能严重过剩行业新增产能，不得以任何名义核准、备案产能严重过剩行业新增产能项目。提高行业准入门槛，强化节能、环保、土地等指标。</w:t>
                  </w:r>
                </w:p>
              </w:tc>
              <w:tc>
                <w:tcPr>
                  <w:tcW w:w="1843" w:type="dxa"/>
                  <w:shd w:val="clear" w:color="auto" w:fill="auto"/>
                  <w:vAlign w:val="center"/>
                </w:tcPr>
                <w:p w14:paraId="5E631E32">
                  <w:pPr>
                    <w:pStyle w:val="42"/>
                    <w:ind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不涉及</w:t>
                  </w:r>
                </w:p>
              </w:tc>
              <w:tc>
                <w:tcPr>
                  <w:tcW w:w="733" w:type="dxa"/>
                  <w:shd w:val="clear" w:color="auto" w:fill="auto"/>
                  <w:vAlign w:val="center"/>
                </w:tcPr>
                <w:p w14:paraId="4F6F591E">
                  <w:pPr>
                    <w:pStyle w:val="42"/>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符合</w:t>
                  </w:r>
                </w:p>
              </w:tc>
            </w:tr>
            <w:tr w14:paraId="5B18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3D42AF1F">
                  <w:pPr>
                    <w:pStyle w:val="42"/>
                    <w:rPr>
                      <w:rFonts w:hint="eastAsia" w:ascii="Times New Roman" w:hAnsi="Times New Roman" w:eastAsia="宋体"/>
                      <w:color w:val="auto"/>
                    </w:rPr>
                  </w:pPr>
                </w:p>
              </w:tc>
              <w:tc>
                <w:tcPr>
                  <w:tcW w:w="709" w:type="dxa"/>
                  <w:vMerge w:val="continue"/>
                  <w:vAlign w:val="center"/>
                </w:tcPr>
                <w:p w14:paraId="508E0FF7">
                  <w:pPr>
                    <w:pStyle w:val="42"/>
                    <w:rPr>
                      <w:rFonts w:hint="eastAsia" w:ascii="Times New Roman" w:hAnsi="Times New Roman" w:eastAsia="宋体"/>
                      <w:color w:val="auto"/>
                    </w:rPr>
                  </w:pPr>
                </w:p>
              </w:tc>
              <w:tc>
                <w:tcPr>
                  <w:tcW w:w="3402" w:type="dxa"/>
                  <w:shd w:val="clear" w:color="auto" w:fill="auto"/>
                  <w:vAlign w:val="center"/>
                </w:tcPr>
                <w:p w14:paraId="140DA6E2">
                  <w:pPr>
                    <w:pStyle w:val="42"/>
                    <w:ind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4．在禁燃区范围内禁止销售和使用高污染燃料，全部改用符合国家规定的能源。加强煤炭生产经营用户的煤质管理，禁燃区范围内全面禁止民用散煤使用，其他区域探索实行民用散煤的专供专营。</w:t>
                  </w:r>
                </w:p>
              </w:tc>
              <w:tc>
                <w:tcPr>
                  <w:tcW w:w="1843" w:type="dxa"/>
                  <w:shd w:val="clear" w:color="auto" w:fill="auto"/>
                  <w:vAlign w:val="center"/>
                </w:tcPr>
                <w:p w14:paraId="6F92E2BF">
                  <w:pPr>
                    <w:pStyle w:val="42"/>
                    <w:ind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不涉及</w:t>
                  </w:r>
                </w:p>
              </w:tc>
              <w:tc>
                <w:tcPr>
                  <w:tcW w:w="733" w:type="dxa"/>
                  <w:shd w:val="clear" w:color="auto" w:fill="auto"/>
                  <w:vAlign w:val="center"/>
                </w:tcPr>
                <w:p w14:paraId="204E595B">
                  <w:pPr>
                    <w:pStyle w:val="42"/>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符合</w:t>
                  </w:r>
                </w:p>
              </w:tc>
            </w:tr>
            <w:tr w14:paraId="15DD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4BF6E0AE">
                  <w:pPr>
                    <w:pStyle w:val="42"/>
                    <w:rPr>
                      <w:rFonts w:hint="eastAsia" w:ascii="Times New Roman" w:hAnsi="Times New Roman" w:eastAsia="宋体"/>
                      <w:color w:val="auto"/>
                    </w:rPr>
                  </w:pPr>
                </w:p>
              </w:tc>
              <w:tc>
                <w:tcPr>
                  <w:tcW w:w="709" w:type="dxa"/>
                  <w:vMerge w:val="continue"/>
                  <w:vAlign w:val="center"/>
                </w:tcPr>
                <w:p w14:paraId="7B90D1E4">
                  <w:pPr>
                    <w:pStyle w:val="42"/>
                    <w:rPr>
                      <w:rFonts w:hint="eastAsia" w:ascii="Times New Roman" w:hAnsi="Times New Roman" w:eastAsia="宋体"/>
                      <w:color w:val="auto"/>
                    </w:rPr>
                  </w:pPr>
                </w:p>
              </w:tc>
              <w:tc>
                <w:tcPr>
                  <w:tcW w:w="3402" w:type="dxa"/>
                  <w:shd w:val="clear" w:color="auto" w:fill="auto"/>
                  <w:vAlign w:val="center"/>
                </w:tcPr>
                <w:p w14:paraId="49609A28">
                  <w:pPr>
                    <w:pStyle w:val="42"/>
                    <w:ind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5．禁止在饮用水源保护区范围内新建、扩建造纸、化工、冶炼和危险废物综合利用或处置等污染项目以及排放有毒有害物等项目。</w:t>
                  </w:r>
                </w:p>
              </w:tc>
              <w:tc>
                <w:tcPr>
                  <w:tcW w:w="1843" w:type="dxa"/>
                  <w:shd w:val="clear" w:color="auto" w:fill="auto"/>
                  <w:vAlign w:val="center"/>
                </w:tcPr>
                <w:p w14:paraId="0704D8F8">
                  <w:pPr>
                    <w:pStyle w:val="42"/>
                    <w:ind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本项目</w:t>
                  </w:r>
                  <w:r>
                    <w:rPr>
                      <w:rFonts w:hint="eastAsia" w:ascii="Times New Roman" w:hAnsi="Times New Roman" w:eastAsia="宋体"/>
                      <w:color w:val="auto"/>
                      <w:lang w:val="en-US" w:eastAsia="zh-CN"/>
                    </w:rPr>
                    <w:t>不在</w:t>
                  </w:r>
                  <w:r>
                    <w:rPr>
                      <w:rFonts w:hint="eastAsia" w:ascii="Times New Roman" w:hAnsi="Times New Roman" w:eastAsia="宋体"/>
                      <w:color w:val="auto"/>
                    </w:rPr>
                    <w:t>饮用水源保护区范围内</w:t>
                  </w:r>
                </w:p>
              </w:tc>
              <w:tc>
                <w:tcPr>
                  <w:tcW w:w="733" w:type="dxa"/>
                  <w:shd w:val="clear" w:color="auto" w:fill="auto"/>
                  <w:vAlign w:val="center"/>
                </w:tcPr>
                <w:p w14:paraId="1263C64A">
                  <w:pPr>
                    <w:pStyle w:val="42"/>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符合</w:t>
                  </w:r>
                </w:p>
              </w:tc>
            </w:tr>
            <w:tr w14:paraId="2DB2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4C7A2BBA">
                  <w:pPr>
                    <w:pStyle w:val="42"/>
                    <w:rPr>
                      <w:rFonts w:ascii="Times New Roman" w:hAnsi="Times New Roman" w:eastAsia="宋体"/>
                      <w:color w:val="auto"/>
                    </w:rPr>
                  </w:pPr>
                </w:p>
              </w:tc>
              <w:tc>
                <w:tcPr>
                  <w:tcW w:w="709" w:type="dxa"/>
                  <w:vMerge w:val="continue"/>
                  <w:vAlign w:val="center"/>
                </w:tcPr>
                <w:p w14:paraId="73174610">
                  <w:pPr>
                    <w:pStyle w:val="42"/>
                    <w:rPr>
                      <w:rFonts w:ascii="Times New Roman" w:hAnsi="Times New Roman" w:eastAsia="宋体"/>
                      <w:color w:val="auto"/>
                    </w:rPr>
                  </w:pPr>
                </w:p>
              </w:tc>
              <w:tc>
                <w:tcPr>
                  <w:tcW w:w="3402" w:type="dxa"/>
                  <w:shd w:val="clear" w:color="auto" w:fill="auto"/>
                  <w:vAlign w:val="center"/>
                </w:tcPr>
                <w:p w14:paraId="01D373C6">
                  <w:pPr>
                    <w:pStyle w:val="42"/>
                    <w:ind w:firstLine="0" w:firstLineChars="0"/>
                    <w:jc w:val="both"/>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6．资源县、阳朔县、灌阳县、龙胜各族自治县、恭城瑶族自治县属于国家级重点生态功能区，各县区须执行重点生态功能区县产业准入负面清单。</w:t>
                  </w:r>
                </w:p>
              </w:tc>
              <w:tc>
                <w:tcPr>
                  <w:tcW w:w="1843" w:type="dxa"/>
                  <w:shd w:val="clear" w:color="auto" w:fill="auto"/>
                  <w:vAlign w:val="center"/>
                </w:tcPr>
                <w:p w14:paraId="4021A554">
                  <w:pPr>
                    <w:pStyle w:val="42"/>
                    <w:ind w:firstLine="0" w:firstLineChars="0"/>
                    <w:jc w:val="both"/>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不涉及</w:t>
                  </w:r>
                </w:p>
              </w:tc>
              <w:tc>
                <w:tcPr>
                  <w:tcW w:w="733" w:type="dxa"/>
                  <w:shd w:val="clear" w:color="auto" w:fill="auto"/>
                  <w:vAlign w:val="center"/>
                </w:tcPr>
                <w:p w14:paraId="0E077D58">
                  <w:pPr>
                    <w:pStyle w:val="42"/>
                    <w:ind w:firstLine="0" w:firstLineChars="0"/>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符合</w:t>
                  </w:r>
                </w:p>
              </w:tc>
            </w:tr>
            <w:tr w14:paraId="7E3E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7014EA06">
                  <w:pPr>
                    <w:pStyle w:val="42"/>
                    <w:rPr>
                      <w:rFonts w:ascii="Times New Roman" w:hAnsi="Times New Roman" w:eastAsia="宋体"/>
                      <w:color w:val="auto"/>
                    </w:rPr>
                  </w:pPr>
                </w:p>
              </w:tc>
              <w:tc>
                <w:tcPr>
                  <w:tcW w:w="709" w:type="dxa"/>
                  <w:vMerge w:val="continue"/>
                  <w:vAlign w:val="center"/>
                </w:tcPr>
                <w:p w14:paraId="72CEB706">
                  <w:pPr>
                    <w:pStyle w:val="42"/>
                    <w:rPr>
                      <w:rFonts w:ascii="Times New Roman" w:hAnsi="Times New Roman" w:eastAsia="宋体"/>
                      <w:color w:val="auto"/>
                    </w:rPr>
                  </w:pPr>
                </w:p>
              </w:tc>
              <w:tc>
                <w:tcPr>
                  <w:tcW w:w="3402" w:type="dxa"/>
                  <w:shd w:val="clear" w:color="auto" w:fill="auto"/>
                  <w:vAlign w:val="center"/>
                </w:tcPr>
                <w:p w14:paraId="668BC976">
                  <w:pPr>
                    <w:pStyle w:val="42"/>
                    <w:ind w:firstLine="0" w:firstLineChars="0"/>
                    <w:jc w:val="both"/>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7．在桂林市建成区严格控制新建、扩建石化、重化工、有色金属冶炼、水泥、平板玻璃、建筑陶瓷、砖瓦等高排放、高污染项目，已建企业应当加快实施污染治理升级改造或者转型。推进工业污染源全面达标排放，鼓励实施超低排放改造。</w:t>
                  </w:r>
                </w:p>
              </w:tc>
              <w:tc>
                <w:tcPr>
                  <w:tcW w:w="1843" w:type="dxa"/>
                  <w:shd w:val="clear" w:color="auto" w:fill="auto"/>
                  <w:vAlign w:val="center"/>
                </w:tcPr>
                <w:p w14:paraId="42520930">
                  <w:pPr>
                    <w:pStyle w:val="42"/>
                    <w:ind w:firstLine="0" w:firstLineChars="0"/>
                    <w:jc w:val="both"/>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不涉及</w:t>
                  </w:r>
                </w:p>
              </w:tc>
              <w:tc>
                <w:tcPr>
                  <w:tcW w:w="733" w:type="dxa"/>
                  <w:shd w:val="clear" w:color="auto" w:fill="auto"/>
                  <w:vAlign w:val="center"/>
                </w:tcPr>
                <w:p w14:paraId="1F08529C">
                  <w:pPr>
                    <w:pStyle w:val="42"/>
                    <w:ind w:firstLine="0" w:firstLineChars="0"/>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符合</w:t>
                  </w:r>
                </w:p>
              </w:tc>
            </w:tr>
            <w:tr w14:paraId="71AA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66485553">
                  <w:pPr>
                    <w:pStyle w:val="42"/>
                    <w:rPr>
                      <w:rFonts w:ascii="Times New Roman" w:hAnsi="Times New Roman" w:eastAsia="宋体"/>
                      <w:color w:val="auto"/>
                    </w:rPr>
                  </w:pPr>
                </w:p>
              </w:tc>
              <w:tc>
                <w:tcPr>
                  <w:tcW w:w="709" w:type="dxa"/>
                  <w:vMerge w:val="continue"/>
                  <w:vAlign w:val="center"/>
                </w:tcPr>
                <w:p w14:paraId="25E3B726">
                  <w:pPr>
                    <w:pStyle w:val="42"/>
                    <w:rPr>
                      <w:rFonts w:ascii="Times New Roman" w:hAnsi="Times New Roman" w:eastAsia="宋体"/>
                      <w:color w:val="auto"/>
                    </w:rPr>
                  </w:pPr>
                </w:p>
              </w:tc>
              <w:tc>
                <w:tcPr>
                  <w:tcW w:w="3402" w:type="dxa"/>
                  <w:shd w:val="clear" w:color="auto" w:fill="auto"/>
                  <w:vAlign w:val="center"/>
                </w:tcPr>
                <w:p w14:paraId="2B375437">
                  <w:pPr>
                    <w:pStyle w:val="42"/>
                    <w:jc w:val="both"/>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8．现有不符合产业政策的落后企业、未能达标排放企业、“僵尸企业”以及环境风险、安全隐患突出而又无法转型企业限期退出或是关停。 对“散乱污”企业分类实施关停取缔、整合搬迁、整改提升。</w:t>
                  </w:r>
                </w:p>
              </w:tc>
              <w:tc>
                <w:tcPr>
                  <w:tcW w:w="1843" w:type="dxa"/>
                  <w:shd w:val="clear" w:color="auto" w:fill="auto"/>
                  <w:vAlign w:val="center"/>
                </w:tcPr>
                <w:p w14:paraId="4D8B823C">
                  <w:pPr>
                    <w:pStyle w:val="42"/>
                    <w:ind w:firstLine="0" w:firstLineChars="0"/>
                    <w:jc w:val="both"/>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不涉及</w:t>
                  </w:r>
                </w:p>
              </w:tc>
              <w:tc>
                <w:tcPr>
                  <w:tcW w:w="733" w:type="dxa"/>
                  <w:shd w:val="clear" w:color="auto" w:fill="auto"/>
                  <w:vAlign w:val="center"/>
                </w:tcPr>
                <w:p w14:paraId="25A7DEE1">
                  <w:pPr>
                    <w:pStyle w:val="42"/>
                    <w:ind w:firstLine="0" w:firstLineChars="0"/>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符合</w:t>
                  </w:r>
                </w:p>
              </w:tc>
            </w:tr>
            <w:tr w14:paraId="6C00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7B5B18C4">
                  <w:pPr>
                    <w:pStyle w:val="42"/>
                    <w:rPr>
                      <w:rFonts w:ascii="Times New Roman" w:hAnsi="Times New Roman" w:eastAsia="宋体"/>
                      <w:color w:val="auto"/>
                    </w:rPr>
                  </w:pPr>
                </w:p>
              </w:tc>
              <w:tc>
                <w:tcPr>
                  <w:tcW w:w="709" w:type="dxa"/>
                  <w:vMerge w:val="continue"/>
                  <w:vAlign w:val="center"/>
                </w:tcPr>
                <w:p w14:paraId="31A265C9">
                  <w:pPr>
                    <w:pStyle w:val="42"/>
                    <w:rPr>
                      <w:rFonts w:ascii="Times New Roman" w:hAnsi="Times New Roman" w:eastAsia="宋体"/>
                      <w:color w:val="auto"/>
                    </w:rPr>
                  </w:pPr>
                </w:p>
              </w:tc>
              <w:tc>
                <w:tcPr>
                  <w:tcW w:w="3402" w:type="dxa"/>
                  <w:vAlign w:val="center"/>
                </w:tcPr>
                <w:p w14:paraId="07153270">
                  <w:pPr>
                    <w:pStyle w:val="42"/>
                    <w:jc w:val="both"/>
                    <w:rPr>
                      <w:rFonts w:ascii="Times New Roman" w:hAnsi="Times New Roman" w:eastAsia="宋体"/>
                      <w:color w:val="auto"/>
                      <w:sz w:val="21"/>
                      <w:szCs w:val="21"/>
                    </w:rPr>
                  </w:pPr>
                  <w:r>
                    <w:rPr>
                      <w:rFonts w:ascii="Times New Roman" w:hAnsi="Times New Roman" w:eastAsia="宋体" w:cs="宋体"/>
                      <w:sz w:val="21"/>
                      <w:szCs w:val="21"/>
                    </w:rPr>
                    <w:t>9．漓江流域应保持山水生态的原真性和完整性，深入推进生态修复和环境污染治理，杜绝滥采乱挖，推动流域生态环境持续改善、生态系统持续优化、 整体功能持续提升。</w:t>
                  </w:r>
                </w:p>
              </w:tc>
              <w:tc>
                <w:tcPr>
                  <w:tcW w:w="1843" w:type="dxa"/>
                  <w:vAlign w:val="center"/>
                </w:tcPr>
                <w:p w14:paraId="28DC139B">
                  <w:pPr>
                    <w:pStyle w:val="42"/>
                    <w:jc w:val="both"/>
                    <w:rPr>
                      <w:rFonts w:ascii="Times New Roman" w:hAnsi="Times New Roman" w:eastAsia="宋体"/>
                      <w:color w:val="auto"/>
                    </w:rPr>
                  </w:pPr>
                  <w:r>
                    <w:rPr>
                      <w:rFonts w:hint="eastAsia" w:ascii="Times New Roman" w:hAnsi="Times New Roman" w:eastAsia="宋体"/>
                      <w:color w:val="auto"/>
                    </w:rPr>
                    <w:t>不涉及</w:t>
                  </w:r>
                </w:p>
              </w:tc>
              <w:tc>
                <w:tcPr>
                  <w:tcW w:w="733" w:type="dxa"/>
                  <w:vAlign w:val="center"/>
                </w:tcPr>
                <w:p w14:paraId="73E933DA">
                  <w:pPr>
                    <w:pStyle w:val="42"/>
                    <w:rPr>
                      <w:rFonts w:ascii="Times New Roman" w:hAnsi="Times New Roman" w:eastAsia="宋体"/>
                      <w:color w:val="auto"/>
                    </w:rPr>
                  </w:pPr>
                  <w:r>
                    <w:rPr>
                      <w:rFonts w:hint="eastAsia" w:ascii="Times New Roman" w:hAnsi="Times New Roman" w:eastAsia="宋体"/>
                      <w:color w:val="auto"/>
                    </w:rPr>
                    <w:t>符合</w:t>
                  </w:r>
                </w:p>
              </w:tc>
            </w:tr>
            <w:tr w14:paraId="115F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733442AA">
                  <w:pPr>
                    <w:pStyle w:val="42"/>
                    <w:rPr>
                      <w:rFonts w:ascii="Times New Roman" w:hAnsi="Times New Roman" w:eastAsia="宋体"/>
                      <w:color w:val="auto"/>
                    </w:rPr>
                  </w:pPr>
                </w:p>
              </w:tc>
              <w:tc>
                <w:tcPr>
                  <w:tcW w:w="709" w:type="dxa"/>
                  <w:vMerge w:val="continue"/>
                  <w:vAlign w:val="center"/>
                </w:tcPr>
                <w:p w14:paraId="1AE61269">
                  <w:pPr>
                    <w:pStyle w:val="42"/>
                    <w:rPr>
                      <w:rFonts w:ascii="Times New Roman" w:hAnsi="Times New Roman" w:eastAsia="宋体"/>
                      <w:color w:val="auto"/>
                    </w:rPr>
                  </w:pPr>
                </w:p>
              </w:tc>
              <w:tc>
                <w:tcPr>
                  <w:tcW w:w="3402" w:type="dxa"/>
                  <w:vAlign w:val="center"/>
                </w:tcPr>
                <w:p w14:paraId="39637678">
                  <w:pPr>
                    <w:pStyle w:val="42"/>
                    <w:jc w:val="both"/>
                    <w:rPr>
                      <w:rFonts w:ascii="Times New Roman" w:hAnsi="Times New Roman" w:eastAsia="宋体"/>
                      <w:color w:val="auto"/>
                      <w:sz w:val="21"/>
                      <w:szCs w:val="21"/>
                    </w:rPr>
                  </w:pPr>
                  <w:r>
                    <w:rPr>
                      <w:rFonts w:ascii="Times New Roman" w:hAnsi="Times New Roman" w:eastAsia="宋体" w:cs="宋体"/>
                      <w:sz w:val="21"/>
                      <w:szCs w:val="21"/>
                    </w:rPr>
                    <w:t>10．禁止在漓江流域与城镇建城区新改扩建增加重金属污染物排放量的项目，严格限制非重点防控区域涉重金属污染物的新建项目，坚决不予受理不符 合规划或规划环评的项目，控制重金属污染物排放总量。</w:t>
                  </w:r>
                </w:p>
              </w:tc>
              <w:tc>
                <w:tcPr>
                  <w:tcW w:w="1843" w:type="dxa"/>
                  <w:shd w:val="clear" w:color="auto" w:fill="auto"/>
                  <w:vAlign w:val="center"/>
                </w:tcPr>
                <w:p w14:paraId="37004654">
                  <w:pPr>
                    <w:pStyle w:val="42"/>
                    <w:ind w:firstLine="0" w:firstLineChars="0"/>
                    <w:jc w:val="both"/>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不涉及</w:t>
                  </w:r>
                </w:p>
              </w:tc>
              <w:tc>
                <w:tcPr>
                  <w:tcW w:w="733" w:type="dxa"/>
                  <w:shd w:val="clear" w:color="auto" w:fill="auto"/>
                  <w:vAlign w:val="center"/>
                </w:tcPr>
                <w:p w14:paraId="49DEB12E">
                  <w:pPr>
                    <w:pStyle w:val="42"/>
                    <w:ind w:firstLine="0" w:firstLineChars="0"/>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rPr>
                    <w:t>符合</w:t>
                  </w:r>
                </w:p>
              </w:tc>
            </w:tr>
            <w:tr w14:paraId="7CFB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6C171D39">
                  <w:pPr>
                    <w:pStyle w:val="42"/>
                    <w:rPr>
                      <w:rFonts w:ascii="Times New Roman" w:hAnsi="Times New Roman" w:eastAsia="宋体"/>
                      <w:color w:val="auto"/>
                    </w:rPr>
                  </w:pPr>
                </w:p>
              </w:tc>
              <w:tc>
                <w:tcPr>
                  <w:tcW w:w="709" w:type="dxa"/>
                  <w:vMerge w:val="continue"/>
                  <w:vAlign w:val="center"/>
                </w:tcPr>
                <w:p w14:paraId="47F805B5">
                  <w:pPr>
                    <w:pStyle w:val="42"/>
                    <w:rPr>
                      <w:rFonts w:ascii="Times New Roman" w:hAnsi="Times New Roman" w:eastAsia="宋体"/>
                      <w:color w:val="auto"/>
                    </w:rPr>
                  </w:pPr>
                </w:p>
              </w:tc>
              <w:tc>
                <w:tcPr>
                  <w:tcW w:w="3402" w:type="dxa"/>
                  <w:vAlign w:val="center"/>
                </w:tcPr>
                <w:p w14:paraId="445A4050">
                  <w:pPr>
                    <w:pStyle w:val="42"/>
                    <w:jc w:val="both"/>
                    <w:rPr>
                      <w:rFonts w:ascii="Times New Roman" w:hAnsi="Times New Roman" w:eastAsia="宋体"/>
                      <w:color w:val="auto"/>
                      <w:sz w:val="21"/>
                      <w:szCs w:val="21"/>
                    </w:rPr>
                  </w:pPr>
                  <w:r>
                    <w:rPr>
                      <w:rFonts w:ascii="Times New Roman" w:hAnsi="Times New Roman" w:eastAsia="宋体" w:cs="宋体"/>
                      <w:sz w:val="21"/>
                      <w:szCs w:val="21"/>
                    </w:rPr>
                    <w:t>11．新建、改建、扩建项目应按照国家、自治区行业建设项目环境影响评价文件审批原则入园。</w:t>
                  </w:r>
                </w:p>
              </w:tc>
              <w:tc>
                <w:tcPr>
                  <w:tcW w:w="1843" w:type="dxa"/>
                  <w:shd w:val="clear" w:color="auto" w:fill="auto"/>
                  <w:vAlign w:val="center"/>
                </w:tcPr>
                <w:p w14:paraId="61EC356A">
                  <w:pPr>
                    <w:pStyle w:val="42"/>
                    <w:ind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lang w:val="en-US" w:eastAsia="zh-CN"/>
                    </w:rPr>
                    <w:t>本项目</w:t>
                  </w:r>
                  <w:r>
                    <w:rPr>
                      <w:rFonts w:hint="eastAsia"/>
                      <w:color w:val="auto"/>
                      <w:lang w:val="en-US" w:eastAsia="zh-CN"/>
                    </w:rPr>
                    <w:t>符合</w:t>
                  </w:r>
                  <w:r>
                    <w:rPr>
                      <w:rFonts w:hint="eastAsia" w:ascii="Times New Roman" w:hAnsi="Times New Roman" w:eastAsia="宋体"/>
                      <w:color w:val="auto"/>
                      <w:lang w:val="en-US" w:eastAsia="zh-CN"/>
                    </w:rPr>
                    <w:t>全州县工业集中区综合产业园</w:t>
                  </w:r>
                  <w:r>
                    <w:rPr>
                      <w:rFonts w:hint="eastAsia"/>
                      <w:color w:val="auto"/>
                      <w:lang w:val="en-US" w:eastAsia="zh-CN"/>
                    </w:rPr>
                    <w:t>入园要求</w:t>
                  </w:r>
                </w:p>
              </w:tc>
              <w:tc>
                <w:tcPr>
                  <w:tcW w:w="733" w:type="dxa"/>
                  <w:shd w:val="clear" w:color="auto" w:fill="auto"/>
                  <w:vAlign w:val="center"/>
                </w:tcPr>
                <w:p w14:paraId="19C4E6AF">
                  <w:pPr>
                    <w:pStyle w:val="42"/>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lang w:val="en-US" w:eastAsia="zh-CN"/>
                    </w:rPr>
                    <w:t>符合</w:t>
                  </w:r>
                </w:p>
              </w:tc>
            </w:tr>
            <w:tr w14:paraId="15ED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4F2361FC">
                  <w:pPr>
                    <w:pStyle w:val="42"/>
                    <w:rPr>
                      <w:rFonts w:ascii="Times New Roman" w:hAnsi="Times New Roman" w:eastAsia="宋体"/>
                      <w:color w:val="auto"/>
                    </w:rPr>
                  </w:pPr>
                </w:p>
              </w:tc>
              <w:tc>
                <w:tcPr>
                  <w:tcW w:w="709" w:type="dxa"/>
                  <w:vMerge w:val="continue"/>
                  <w:vAlign w:val="center"/>
                </w:tcPr>
                <w:p w14:paraId="13C0C79D">
                  <w:pPr>
                    <w:pStyle w:val="42"/>
                    <w:rPr>
                      <w:rFonts w:ascii="Times New Roman" w:hAnsi="Times New Roman" w:eastAsia="宋体"/>
                      <w:color w:val="auto"/>
                    </w:rPr>
                  </w:pPr>
                </w:p>
              </w:tc>
              <w:tc>
                <w:tcPr>
                  <w:tcW w:w="3402" w:type="dxa"/>
                  <w:vAlign w:val="center"/>
                </w:tcPr>
                <w:p w14:paraId="4E78804C">
                  <w:pPr>
                    <w:pStyle w:val="42"/>
                    <w:jc w:val="both"/>
                    <w:rPr>
                      <w:rFonts w:ascii="Times New Roman" w:hAnsi="Times New Roman" w:eastAsia="宋体"/>
                      <w:color w:val="auto"/>
                      <w:sz w:val="21"/>
                      <w:szCs w:val="21"/>
                    </w:rPr>
                  </w:pPr>
                  <w:r>
                    <w:rPr>
                      <w:rFonts w:ascii="Times New Roman" w:hAnsi="Times New Roman" w:eastAsia="宋体" w:cs="宋体"/>
                      <w:color w:val="auto"/>
                      <w:sz w:val="21"/>
                      <w:szCs w:val="21"/>
                    </w:rPr>
                    <w:t>12．除上述空间布局约束外，应遵循国土空间规划管控要求。</w:t>
                  </w:r>
                </w:p>
              </w:tc>
              <w:tc>
                <w:tcPr>
                  <w:tcW w:w="1843" w:type="dxa"/>
                  <w:shd w:val="clear" w:color="auto" w:fill="auto"/>
                  <w:vAlign w:val="center"/>
                </w:tcPr>
                <w:p w14:paraId="6222DFA1">
                  <w:pPr>
                    <w:pStyle w:val="42"/>
                    <w:ind w:firstLine="0" w:firstLineChars="0"/>
                    <w:jc w:val="both"/>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highlight w:val="none"/>
                      <w:lang w:val="en-US" w:eastAsia="zh-CN"/>
                    </w:rPr>
                    <w:t>本项目</w:t>
                  </w:r>
                  <w:r>
                    <w:rPr>
                      <w:rFonts w:hint="eastAsia"/>
                      <w:color w:val="auto"/>
                      <w:highlight w:val="none"/>
                      <w:lang w:val="en-US" w:eastAsia="zh-CN"/>
                    </w:rPr>
                    <w:t>符合</w:t>
                  </w:r>
                  <w:r>
                    <w:rPr>
                      <w:rFonts w:ascii="Times New Roman" w:hAnsi="Times New Roman" w:eastAsia="宋体" w:cs="宋体"/>
                      <w:color w:val="auto"/>
                      <w:sz w:val="21"/>
                      <w:szCs w:val="21"/>
                    </w:rPr>
                    <w:t>国土空间规划管控要求</w:t>
                  </w:r>
                </w:p>
              </w:tc>
              <w:tc>
                <w:tcPr>
                  <w:tcW w:w="733" w:type="dxa"/>
                  <w:shd w:val="clear" w:color="auto" w:fill="auto"/>
                  <w:vAlign w:val="center"/>
                </w:tcPr>
                <w:p w14:paraId="75D2399E">
                  <w:pPr>
                    <w:pStyle w:val="42"/>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lang w:val="en-US" w:eastAsia="zh-CN"/>
                    </w:rPr>
                    <w:t>符合</w:t>
                  </w:r>
                </w:p>
              </w:tc>
            </w:tr>
            <w:tr w14:paraId="099B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32AB77C9">
                  <w:pPr>
                    <w:pStyle w:val="42"/>
                    <w:rPr>
                      <w:rFonts w:ascii="Times New Roman" w:hAnsi="Times New Roman" w:eastAsia="宋体"/>
                      <w:color w:val="auto"/>
                    </w:rPr>
                  </w:pPr>
                </w:p>
              </w:tc>
              <w:tc>
                <w:tcPr>
                  <w:tcW w:w="709" w:type="dxa"/>
                  <w:vMerge w:val="restart"/>
                  <w:vAlign w:val="center"/>
                </w:tcPr>
                <w:p w14:paraId="53F3B576">
                  <w:pPr>
                    <w:pStyle w:val="42"/>
                    <w:rPr>
                      <w:rFonts w:ascii="Times New Roman" w:hAnsi="Times New Roman" w:eastAsia="宋体"/>
                      <w:color w:val="auto"/>
                    </w:rPr>
                  </w:pPr>
                  <w:r>
                    <w:rPr>
                      <w:rFonts w:hint="eastAsia" w:ascii="Times New Roman" w:hAnsi="Times New Roman" w:eastAsia="宋体"/>
                      <w:color w:val="auto"/>
                    </w:rPr>
                    <w:t>污染物排放管控</w:t>
                  </w:r>
                </w:p>
              </w:tc>
              <w:tc>
                <w:tcPr>
                  <w:tcW w:w="3402" w:type="dxa"/>
                  <w:vAlign w:val="center"/>
                </w:tcPr>
                <w:p w14:paraId="34CD4677">
                  <w:pPr>
                    <w:pStyle w:val="42"/>
                    <w:jc w:val="both"/>
                    <w:rPr>
                      <w:rFonts w:ascii="Times New Roman" w:hAnsi="Times New Roman" w:eastAsia="宋体"/>
                      <w:color w:val="auto"/>
                    </w:rPr>
                  </w:pPr>
                  <w:r>
                    <w:rPr>
                      <w:rFonts w:hint="eastAsia" w:ascii="Times New Roman" w:hAnsi="Times New Roman" w:eastAsia="宋体"/>
                      <w:color w:val="auto"/>
                    </w:rPr>
                    <w:t>1．坚持生态环境质量只能更好、不能变坏的原则，实施污染物总量控制，以环境容量定产业、定项目、定规模，确保开发建设行为不突破生态环境承载力。</w:t>
                  </w:r>
                </w:p>
              </w:tc>
              <w:tc>
                <w:tcPr>
                  <w:tcW w:w="1843" w:type="dxa"/>
                  <w:shd w:val="clear" w:color="auto" w:fill="auto"/>
                  <w:vAlign w:val="center"/>
                </w:tcPr>
                <w:p w14:paraId="74D3B65E">
                  <w:pPr>
                    <w:pStyle w:val="42"/>
                    <w:ind w:firstLine="0" w:firstLineChars="0"/>
                    <w:jc w:val="both"/>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lang w:val="en-US" w:eastAsia="zh-CN"/>
                    </w:rPr>
                    <w:t>本项目建设</w:t>
                  </w:r>
                  <w:r>
                    <w:rPr>
                      <w:rFonts w:hint="eastAsia" w:ascii="Times New Roman" w:hAnsi="Times New Roman" w:eastAsia="宋体"/>
                      <w:color w:val="auto"/>
                    </w:rPr>
                    <w:t>不突破生态环境承载力</w:t>
                  </w:r>
                </w:p>
              </w:tc>
              <w:tc>
                <w:tcPr>
                  <w:tcW w:w="733" w:type="dxa"/>
                  <w:shd w:val="clear" w:color="auto" w:fill="auto"/>
                  <w:vAlign w:val="center"/>
                </w:tcPr>
                <w:p w14:paraId="349D6248">
                  <w:pPr>
                    <w:pStyle w:val="42"/>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lang w:val="en-US" w:eastAsia="zh-CN"/>
                    </w:rPr>
                    <w:t>符合</w:t>
                  </w:r>
                </w:p>
              </w:tc>
            </w:tr>
            <w:tr w14:paraId="1AF1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74B50A20">
                  <w:pPr>
                    <w:pStyle w:val="42"/>
                    <w:rPr>
                      <w:rFonts w:ascii="Times New Roman" w:hAnsi="Times New Roman" w:eastAsia="宋体"/>
                      <w:color w:val="auto"/>
                    </w:rPr>
                  </w:pPr>
                </w:p>
              </w:tc>
              <w:tc>
                <w:tcPr>
                  <w:tcW w:w="709" w:type="dxa"/>
                  <w:vMerge w:val="continue"/>
                  <w:vAlign w:val="center"/>
                </w:tcPr>
                <w:p w14:paraId="4193988B">
                  <w:pPr>
                    <w:pStyle w:val="42"/>
                    <w:rPr>
                      <w:rFonts w:ascii="Times New Roman" w:hAnsi="Times New Roman" w:eastAsia="宋体"/>
                      <w:color w:val="auto"/>
                    </w:rPr>
                  </w:pPr>
                </w:p>
              </w:tc>
              <w:tc>
                <w:tcPr>
                  <w:tcW w:w="3402" w:type="dxa"/>
                  <w:vAlign w:val="center"/>
                </w:tcPr>
                <w:p w14:paraId="3696EC91">
                  <w:pPr>
                    <w:pStyle w:val="42"/>
                    <w:jc w:val="both"/>
                    <w:rPr>
                      <w:rFonts w:ascii="Times New Roman" w:hAnsi="Times New Roman" w:eastAsia="宋体"/>
                      <w:color w:val="auto"/>
                    </w:rPr>
                  </w:pPr>
                  <w:r>
                    <w:rPr>
                      <w:rFonts w:hint="eastAsia" w:ascii="Times New Roman" w:hAnsi="Times New Roman" w:eastAsia="宋体"/>
                      <w:color w:val="auto"/>
                    </w:rPr>
                    <w:t>2．新建、改建、扩建“两高”项目在符合生态环境保护法律法规和相关法定规划的前提下，应满足区域环境质量改善、重点污染物排放总量控制、碳排放达峰目标和相关规划环评要求。环境质量超标地区新建、扩建“两高”项目，还应通过产业结构调整、煤炭消费替代、污染物区域削减等措施腾出环境容量。</w:t>
                  </w:r>
                </w:p>
              </w:tc>
              <w:tc>
                <w:tcPr>
                  <w:tcW w:w="1843" w:type="dxa"/>
                  <w:vAlign w:val="center"/>
                </w:tcPr>
                <w:p w14:paraId="5AE74F12">
                  <w:pPr>
                    <w:pStyle w:val="42"/>
                    <w:jc w:val="both"/>
                    <w:rPr>
                      <w:rFonts w:hint="default" w:ascii="Times New Roman" w:hAnsi="Times New Roman" w:eastAsia="宋体"/>
                      <w:color w:val="auto"/>
                      <w:lang w:val="en-US" w:eastAsia="zh-CN"/>
                    </w:rPr>
                  </w:pPr>
                  <w:r>
                    <w:rPr>
                      <w:rFonts w:hint="eastAsia" w:ascii="Times New Roman" w:hAnsi="Times New Roman" w:eastAsia="宋体"/>
                      <w:color w:val="auto"/>
                      <w:lang w:val="en-US" w:eastAsia="zh-CN"/>
                    </w:rPr>
                    <w:t>本项目不属于</w:t>
                  </w:r>
                  <w:r>
                    <w:rPr>
                      <w:rFonts w:hint="eastAsia" w:ascii="Times New Roman" w:hAnsi="Times New Roman" w:eastAsia="宋体"/>
                      <w:color w:val="auto"/>
                    </w:rPr>
                    <w:t>“两高”项目</w:t>
                  </w:r>
                </w:p>
              </w:tc>
              <w:tc>
                <w:tcPr>
                  <w:tcW w:w="733" w:type="dxa"/>
                  <w:vAlign w:val="center"/>
                </w:tcPr>
                <w:p w14:paraId="77072A8E">
                  <w:pPr>
                    <w:pStyle w:val="42"/>
                    <w:rPr>
                      <w:rFonts w:hint="eastAsia" w:ascii="Times New Roman" w:hAnsi="Times New Roman" w:eastAsia="宋体"/>
                      <w:color w:val="auto"/>
                      <w:lang w:val="en-US" w:eastAsia="zh-CN"/>
                    </w:rPr>
                  </w:pPr>
                  <w:r>
                    <w:rPr>
                      <w:rFonts w:hint="eastAsia" w:ascii="Times New Roman" w:hAnsi="Times New Roman" w:eastAsia="宋体"/>
                      <w:color w:val="auto"/>
                      <w:lang w:val="en-US" w:eastAsia="zh-CN"/>
                    </w:rPr>
                    <w:t>符合</w:t>
                  </w:r>
                </w:p>
              </w:tc>
            </w:tr>
            <w:tr w14:paraId="0F7D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7BEACBBB">
                  <w:pPr>
                    <w:pStyle w:val="42"/>
                    <w:rPr>
                      <w:rFonts w:ascii="Times New Roman" w:hAnsi="Times New Roman" w:eastAsia="宋体"/>
                      <w:color w:val="auto"/>
                    </w:rPr>
                  </w:pPr>
                </w:p>
              </w:tc>
              <w:tc>
                <w:tcPr>
                  <w:tcW w:w="709" w:type="dxa"/>
                  <w:vMerge w:val="continue"/>
                  <w:vAlign w:val="center"/>
                </w:tcPr>
                <w:p w14:paraId="2EAD3969">
                  <w:pPr>
                    <w:pStyle w:val="42"/>
                    <w:rPr>
                      <w:rFonts w:ascii="Times New Roman" w:hAnsi="Times New Roman" w:eastAsia="宋体"/>
                      <w:color w:val="auto"/>
                    </w:rPr>
                  </w:pPr>
                </w:p>
              </w:tc>
              <w:tc>
                <w:tcPr>
                  <w:tcW w:w="3402" w:type="dxa"/>
                  <w:vAlign w:val="center"/>
                </w:tcPr>
                <w:p w14:paraId="7BCC15B5">
                  <w:pPr>
                    <w:pStyle w:val="42"/>
                    <w:jc w:val="both"/>
                    <w:rPr>
                      <w:rFonts w:ascii="Times New Roman" w:hAnsi="Times New Roman" w:eastAsia="宋体"/>
                      <w:color w:val="auto"/>
                    </w:rPr>
                  </w:pPr>
                  <w:r>
                    <w:rPr>
                      <w:rFonts w:hint="eastAsia"/>
                    </w:rPr>
                    <w:t>3．推进重点行业企业达标排放限期改造。落实《广西壮族自治区工业污染源全面达标排放计划实施方案》，以砖瓦、火电、水泥、煤炭、造纸、印染、污水处理、垃圾焚烧、制糖、酒精、有色金属、化工、铁合金、氮肥、农副食品加工、原料药制造、制革、农药、电镀、印刷、垃圾填埋等行业为重点，全面推进行业达标排放改造。禁止新建不符合国家、自治区和桂林市发展规划、产业政策和行业准入条件的项目，禁止新建属于限制类和淘汰类的涉重金属和高排放高耗能的项目。</w:t>
                  </w:r>
                </w:p>
              </w:tc>
              <w:tc>
                <w:tcPr>
                  <w:tcW w:w="1843" w:type="dxa"/>
                  <w:vAlign w:val="center"/>
                </w:tcPr>
                <w:p w14:paraId="4335518B">
                  <w:pPr>
                    <w:pStyle w:val="42"/>
                    <w:jc w:val="both"/>
                    <w:rPr>
                      <w:rFonts w:hint="default" w:ascii="Times New Roman" w:hAnsi="Times New Roman" w:eastAsia="宋体"/>
                      <w:color w:val="auto"/>
                      <w:lang w:val="en-US" w:eastAsia="zh-CN"/>
                    </w:rPr>
                  </w:pPr>
                  <w:r>
                    <w:rPr>
                      <w:rFonts w:hint="eastAsia" w:ascii="Times New Roman" w:hAnsi="Times New Roman" w:eastAsia="宋体"/>
                      <w:color w:val="auto"/>
                      <w:highlight w:val="none"/>
                      <w:lang w:val="en-US" w:eastAsia="zh-CN"/>
                    </w:rPr>
                    <w:t>不涉及</w:t>
                  </w:r>
                </w:p>
              </w:tc>
              <w:tc>
                <w:tcPr>
                  <w:tcW w:w="733" w:type="dxa"/>
                  <w:vAlign w:val="center"/>
                </w:tcPr>
                <w:p w14:paraId="56D2C088">
                  <w:pPr>
                    <w:pStyle w:val="42"/>
                    <w:rPr>
                      <w:rFonts w:hint="eastAsia" w:ascii="Times New Roman" w:hAnsi="Times New Roman" w:eastAsia="宋体"/>
                      <w:color w:val="auto"/>
                      <w:lang w:val="en-US" w:eastAsia="zh-CN"/>
                    </w:rPr>
                  </w:pPr>
                  <w:r>
                    <w:rPr>
                      <w:rFonts w:hint="eastAsia" w:ascii="Times New Roman" w:hAnsi="Times New Roman" w:eastAsia="宋体"/>
                      <w:color w:val="auto"/>
                      <w:lang w:val="en-US" w:eastAsia="zh-CN"/>
                    </w:rPr>
                    <w:t>符合</w:t>
                  </w:r>
                </w:p>
              </w:tc>
            </w:tr>
            <w:tr w14:paraId="55D8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2C032A08">
                  <w:pPr>
                    <w:pStyle w:val="42"/>
                    <w:rPr>
                      <w:rFonts w:ascii="Times New Roman" w:hAnsi="Times New Roman" w:eastAsia="宋体"/>
                      <w:color w:val="auto"/>
                    </w:rPr>
                  </w:pPr>
                </w:p>
              </w:tc>
              <w:tc>
                <w:tcPr>
                  <w:tcW w:w="709" w:type="dxa"/>
                  <w:vMerge w:val="continue"/>
                  <w:vAlign w:val="center"/>
                </w:tcPr>
                <w:p w14:paraId="79427911">
                  <w:pPr>
                    <w:pStyle w:val="42"/>
                    <w:rPr>
                      <w:rFonts w:ascii="Times New Roman" w:hAnsi="Times New Roman" w:eastAsia="宋体"/>
                      <w:color w:val="auto"/>
                    </w:rPr>
                  </w:pPr>
                </w:p>
              </w:tc>
              <w:tc>
                <w:tcPr>
                  <w:tcW w:w="3402" w:type="dxa"/>
                  <w:vAlign w:val="center"/>
                </w:tcPr>
                <w:p w14:paraId="24CE12D5">
                  <w:pPr>
                    <w:pStyle w:val="42"/>
                    <w:jc w:val="both"/>
                    <w:rPr>
                      <w:rFonts w:ascii="Times New Roman" w:hAnsi="Times New Roman" w:eastAsia="宋体"/>
                      <w:color w:val="auto"/>
                    </w:rPr>
                  </w:pPr>
                  <w:r>
                    <w:rPr>
                      <w:rFonts w:hint="eastAsia" w:ascii="Times New Roman" w:hAnsi="Times New Roman" w:eastAsia="宋体"/>
                      <w:color w:val="auto"/>
                    </w:rPr>
                    <w:t>4．深入开展锅炉、炉窑综合整治，鼓励燃气锅炉开展低氮改造，推动生物质锅炉规范化运行，禁止掺烧煤炭、垃圾、工业固体废物等其他物料，并配套高效除尘设施，确保污染物稳定达标排放。</w:t>
                  </w:r>
                </w:p>
              </w:tc>
              <w:tc>
                <w:tcPr>
                  <w:tcW w:w="1843" w:type="dxa"/>
                  <w:shd w:val="clear" w:color="auto" w:fill="auto"/>
                  <w:vAlign w:val="center"/>
                </w:tcPr>
                <w:p w14:paraId="02056ABB">
                  <w:pPr>
                    <w:pStyle w:val="42"/>
                    <w:ind w:firstLine="0" w:firstLineChars="0"/>
                    <w:jc w:val="both"/>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本项目锅炉为生物质锅炉，燃料为生物质颗粒，不涉及燃烧</w:t>
                  </w:r>
                  <w:r>
                    <w:rPr>
                      <w:rFonts w:hint="eastAsia" w:ascii="Times New Roman" w:hAnsi="Times New Roman" w:eastAsia="宋体"/>
                      <w:color w:val="auto"/>
                    </w:rPr>
                    <w:t>煤炭、垃圾、工业固体废物</w:t>
                  </w:r>
                </w:p>
              </w:tc>
              <w:tc>
                <w:tcPr>
                  <w:tcW w:w="733" w:type="dxa"/>
                  <w:shd w:val="clear" w:color="auto" w:fill="auto"/>
                  <w:vAlign w:val="center"/>
                </w:tcPr>
                <w:p w14:paraId="5C6D6D7F">
                  <w:pPr>
                    <w:pStyle w:val="42"/>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lang w:val="en-US" w:eastAsia="zh-CN"/>
                    </w:rPr>
                    <w:t>符合</w:t>
                  </w:r>
                </w:p>
              </w:tc>
            </w:tr>
            <w:tr w14:paraId="5C9C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339FAAFC">
                  <w:pPr>
                    <w:pStyle w:val="42"/>
                    <w:rPr>
                      <w:rFonts w:ascii="Times New Roman" w:hAnsi="Times New Roman" w:eastAsia="宋体"/>
                      <w:color w:val="auto"/>
                    </w:rPr>
                  </w:pPr>
                </w:p>
              </w:tc>
              <w:tc>
                <w:tcPr>
                  <w:tcW w:w="709" w:type="dxa"/>
                  <w:vMerge w:val="continue"/>
                  <w:vAlign w:val="center"/>
                </w:tcPr>
                <w:p w14:paraId="64EC5930">
                  <w:pPr>
                    <w:pStyle w:val="42"/>
                    <w:rPr>
                      <w:rFonts w:ascii="Times New Roman" w:hAnsi="Times New Roman" w:eastAsia="宋体"/>
                      <w:color w:val="auto"/>
                    </w:rPr>
                  </w:pPr>
                </w:p>
              </w:tc>
              <w:tc>
                <w:tcPr>
                  <w:tcW w:w="3402" w:type="dxa"/>
                  <w:vAlign w:val="center"/>
                </w:tcPr>
                <w:p w14:paraId="00584599">
                  <w:pPr>
                    <w:pStyle w:val="42"/>
                    <w:jc w:val="both"/>
                    <w:rPr>
                      <w:rFonts w:ascii="Times New Roman" w:hAnsi="Times New Roman" w:eastAsia="宋体"/>
                      <w:color w:val="auto"/>
                    </w:rPr>
                  </w:pPr>
                  <w:r>
                    <w:rPr>
                      <w:rFonts w:hint="eastAsia" w:ascii="Times New Roman" w:hAnsi="Times New Roman" w:eastAsia="宋体"/>
                      <w:color w:val="auto"/>
                    </w:rPr>
                    <w:t>5．开展挥发性有机物（VOCs）综合整治，按照源头替代、过程管理、末端治理的原则，推行涉VOCs排放企业的深度治理。新、改、扩建项目排放VOCs的车间有机废气收集率应大于90%。</w:t>
                  </w:r>
                </w:p>
              </w:tc>
              <w:tc>
                <w:tcPr>
                  <w:tcW w:w="1843" w:type="dxa"/>
                  <w:shd w:val="clear" w:color="auto" w:fill="auto"/>
                  <w:vAlign w:val="center"/>
                </w:tcPr>
                <w:p w14:paraId="38ADF199">
                  <w:pPr>
                    <w:pStyle w:val="42"/>
                    <w:ind w:firstLine="0" w:firstLineChars="0"/>
                    <w:jc w:val="both"/>
                    <w:rPr>
                      <w:rFonts w:hint="default" w:ascii="Times New Roman" w:hAnsi="Times New Roman" w:eastAsia="宋体" w:cs="Times New Roman"/>
                      <w:color w:val="FF0000"/>
                      <w:kern w:val="2"/>
                      <w:sz w:val="21"/>
                      <w:szCs w:val="21"/>
                      <w:lang w:val="en-US" w:eastAsia="zh-CN" w:bidi="ar-SA"/>
                    </w:rPr>
                  </w:pPr>
                  <w:r>
                    <w:rPr>
                      <w:rFonts w:hint="eastAsia" w:ascii="Times New Roman" w:hAnsi="Times New Roman" w:eastAsia="宋体"/>
                      <w:color w:val="auto"/>
                      <w:lang w:val="en-US" w:eastAsia="zh-CN"/>
                    </w:rPr>
                    <w:t>本项目</w:t>
                  </w:r>
                  <w:r>
                    <w:rPr>
                      <w:rFonts w:hint="eastAsia" w:ascii="Times New Roman" w:hAnsi="Times New Roman" w:eastAsia="宋体"/>
                      <w:color w:val="auto"/>
                    </w:rPr>
                    <w:t>VOCs的车间有机废气收集率大于90%。</w:t>
                  </w:r>
                </w:p>
              </w:tc>
              <w:tc>
                <w:tcPr>
                  <w:tcW w:w="733" w:type="dxa"/>
                  <w:shd w:val="clear" w:color="auto" w:fill="auto"/>
                  <w:vAlign w:val="center"/>
                </w:tcPr>
                <w:p w14:paraId="7E099B73">
                  <w:pPr>
                    <w:pStyle w:val="42"/>
                    <w:ind w:firstLine="0" w:firstLineChars="0"/>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olor w:val="auto"/>
                      <w:lang w:val="en-US" w:eastAsia="zh-CN"/>
                    </w:rPr>
                    <w:t>符合</w:t>
                  </w:r>
                </w:p>
              </w:tc>
            </w:tr>
            <w:tr w14:paraId="5AFF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2A2B87CF">
                  <w:pPr>
                    <w:pStyle w:val="42"/>
                    <w:rPr>
                      <w:rFonts w:ascii="Times New Roman" w:hAnsi="Times New Roman" w:eastAsia="宋体"/>
                      <w:color w:val="auto"/>
                    </w:rPr>
                  </w:pPr>
                </w:p>
              </w:tc>
              <w:tc>
                <w:tcPr>
                  <w:tcW w:w="709" w:type="dxa"/>
                  <w:vMerge w:val="continue"/>
                  <w:vAlign w:val="center"/>
                </w:tcPr>
                <w:p w14:paraId="2612FFF2">
                  <w:pPr>
                    <w:pStyle w:val="42"/>
                    <w:rPr>
                      <w:rFonts w:ascii="Times New Roman" w:hAnsi="Times New Roman" w:eastAsia="宋体"/>
                      <w:color w:val="auto"/>
                    </w:rPr>
                  </w:pPr>
                </w:p>
              </w:tc>
              <w:tc>
                <w:tcPr>
                  <w:tcW w:w="3402" w:type="dxa"/>
                  <w:vAlign w:val="center"/>
                </w:tcPr>
                <w:p w14:paraId="5777AC68">
                  <w:pPr>
                    <w:pStyle w:val="42"/>
                    <w:jc w:val="both"/>
                    <w:rPr>
                      <w:rFonts w:ascii="Times New Roman" w:hAnsi="Times New Roman" w:eastAsia="宋体"/>
                      <w:color w:val="auto"/>
                    </w:rPr>
                  </w:pPr>
                  <w:r>
                    <w:rPr>
                      <w:rFonts w:hint="eastAsia" w:ascii="Times New Roman" w:hAnsi="Times New Roman" w:eastAsia="宋体"/>
                      <w:color w:val="auto"/>
                    </w:rPr>
                    <w:t>6．深入推进各类工业污染源稳定达标排放，加强工业废水末端排放管理，强化监管，重点推进加工企业清洁化改造。实施工业集聚区污水治理设施分类管理，推进企业废水分收集、分质处理，加强污水集中处理设施监管，确保稳定达标排放。</w:t>
                  </w:r>
                </w:p>
              </w:tc>
              <w:tc>
                <w:tcPr>
                  <w:tcW w:w="1843" w:type="dxa"/>
                  <w:shd w:val="clear" w:color="auto" w:fill="auto"/>
                  <w:vAlign w:val="center"/>
                </w:tcPr>
                <w:p w14:paraId="3AE55811">
                  <w:pPr>
                    <w:pStyle w:val="42"/>
                    <w:ind w:firstLine="0" w:firstLineChars="0"/>
                    <w:jc w:val="both"/>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lang w:val="en-US" w:eastAsia="zh-CN"/>
                    </w:rPr>
                    <w:t>不涉及</w:t>
                  </w:r>
                </w:p>
              </w:tc>
              <w:tc>
                <w:tcPr>
                  <w:tcW w:w="733" w:type="dxa"/>
                  <w:shd w:val="clear" w:color="auto" w:fill="auto"/>
                  <w:vAlign w:val="center"/>
                </w:tcPr>
                <w:p w14:paraId="1ACB865E">
                  <w:pPr>
                    <w:pStyle w:val="42"/>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lang w:val="en-US" w:eastAsia="zh-CN"/>
                    </w:rPr>
                    <w:t>符合</w:t>
                  </w:r>
                </w:p>
              </w:tc>
            </w:tr>
            <w:tr w14:paraId="1C0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73C6D389">
                  <w:pPr>
                    <w:pStyle w:val="42"/>
                    <w:rPr>
                      <w:rFonts w:ascii="Times New Roman" w:hAnsi="Times New Roman" w:eastAsia="宋体"/>
                      <w:color w:val="auto"/>
                    </w:rPr>
                  </w:pPr>
                </w:p>
              </w:tc>
              <w:tc>
                <w:tcPr>
                  <w:tcW w:w="709" w:type="dxa"/>
                  <w:vMerge w:val="continue"/>
                  <w:vAlign w:val="center"/>
                </w:tcPr>
                <w:p w14:paraId="467A82CF">
                  <w:pPr>
                    <w:pStyle w:val="42"/>
                    <w:rPr>
                      <w:rFonts w:ascii="Times New Roman" w:hAnsi="Times New Roman" w:eastAsia="宋体"/>
                      <w:color w:val="auto"/>
                    </w:rPr>
                  </w:pPr>
                </w:p>
              </w:tc>
              <w:tc>
                <w:tcPr>
                  <w:tcW w:w="3402" w:type="dxa"/>
                  <w:vAlign w:val="center"/>
                </w:tcPr>
                <w:p w14:paraId="019A0FE6">
                  <w:pPr>
                    <w:pStyle w:val="42"/>
                    <w:jc w:val="both"/>
                    <w:rPr>
                      <w:rFonts w:ascii="Times New Roman" w:hAnsi="Times New Roman" w:eastAsia="宋体"/>
                      <w:color w:val="auto"/>
                    </w:rPr>
                  </w:pPr>
                  <w:r>
                    <w:rPr>
                      <w:rFonts w:hint="eastAsia" w:ascii="Times New Roman" w:hAnsi="Times New Roman" w:eastAsia="宋体"/>
                      <w:color w:val="auto"/>
                    </w:rPr>
                    <w:t>7．实施余热余压回收、中水回用、废渣资源化等绿色化改造工程，促进生产过程废弃物和资源循环利用。</w:t>
                  </w:r>
                </w:p>
              </w:tc>
              <w:tc>
                <w:tcPr>
                  <w:tcW w:w="1843" w:type="dxa"/>
                  <w:shd w:val="clear" w:color="auto" w:fill="auto"/>
                  <w:vAlign w:val="center"/>
                </w:tcPr>
                <w:p w14:paraId="5CD601FD">
                  <w:pPr>
                    <w:pStyle w:val="42"/>
                    <w:ind w:firstLine="0" w:firstLineChars="0"/>
                    <w:jc w:val="both"/>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highlight w:val="none"/>
                      <w:lang w:val="en-US" w:eastAsia="zh-CN"/>
                    </w:rPr>
                    <w:t>不涉及</w:t>
                  </w:r>
                </w:p>
              </w:tc>
              <w:tc>
                <w:tcPr>
                  <w:tcW w:w="733" w:type="dxa"/>
                  <w:shd w:val="clear" w:color="auto" w:fill="auto"/>
                  <w:vAlign w:val="center"/>
                </w:tcPr>
                <w:p w14:paraId="7A440144">
                  <w:pPr>
                    <w:pStyle w:val="42"/>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lang w:val="en-US" w:eastAsia="zh-CN"/>
                    </w:rPr>
                    <w:t>符合</w:t>
                  </w:r>
                </w:p>
              </w:tc>
            </w:tr>
            <w:tr w14:paraId="2B09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5308E296">
                  <w:pPr>
                    <w:pStyle w:val="42"/>
                    <w:rPr>
                      <w:rFonts w:ascii="Times New Roman" w:hAnsi="Times New Roman" w:eastAsia="宋体"/>
                      <w:color w:val="auto"/>
                    </w:rPr>
                  </w:pPr>
                </w:p>
              </w:tc>
              <w:tc>
                <w:tcPr>
                  <w:tcW w:w="709" w:type="dxa"/>
                  <w:vMerge w:val="continue"/>
                  <w:vAlign w:val="center"/>
                </w:tcPr>
                <w:p w14:paraId="2E0104FF">
                  <w:pPr>
                    <w:pStyle w:val="42"/>
                    <w:rPr>
                      <w:rFonts w:ascii="Times New Roman" w:hAnsi="Times New Roman" w:eastAsia="宋体"/>
                      <w:color w:val="auto"/>
                    </w:rPr>
                  </w:pPr>
                </w:p>
              </w:tc>
              <w:tc>
                <w:tcPr>
                  <w:tcW w:w="3402" w:type="dxa"/>
                  <w:vAlign w:val="center"/>
                </w:tcPr>
                <w:p w14:paraId="33BABC0C">
                  <w:pPr>
                    <w:pStyle w:val="42"/>
                    <w:jc w:val="both"/>
                    <w:rPr>
                      <w:rFonts w:ascii="Times New Roman" w:hAnsi="Times New Roman" w:eastAsia="宋体"/>
                      <w:color w:val="auto"/>
                    </w:rPr>
                  </w:pPr>
                  <w:r>
                    <w:rPr>
                      <w:rFonts w:hint="eastAsia" w:ascii="Times New Roman" w:hAnsi="Times New Roman" w:eastAsia="宋体"/>
                      <w:color w:val="auto"/>
                    </w:rPr>
                    <w:t>8．加快推进城镇污水处理设施提质增效，规范污泥处置管理，推广污泥资源化利用和无害化处理。</w:t>
                  </w:r>
                </w:p>
              </w:tc>
              <w:tc>
                <w:tcPr>
                  <w:tcW w:w="1843" w:type="dxa"/>
                  <w:shd w:val="clear" w:color="auto" w:fill="auto"/>
                  <w:vAlign w:val="center"/>
                </w:tcPr>
                <w:p w14:paraId="5FC02682">
                  <w:pPr>
                    <w:pStyle w:val="42"/>
                    <w:ind w:firstLine="0" w:firstLineChars="0"/>
                    <w:jc w:val="both"/>
                    <w:rPr>
                      <w:rFonts w:hint="default" w:ascii="Times New Roman" w:hAnsi="Times New Roman" w:eastAsia="宋体" w:cs="Times New Roman"/>
                      <w:color w:val="FF0000"/>
                      <w:kern w:val="2"/>
                      <w:sz w:val="21"/>
                      <w:szCs w:val="21"/>
                      <w:lang w:val="en-US" w:eastAsia="zh-CN" w:bidi="ar-SA"/>
                    </w:rPr>
                  </w:pPr>
                  <w:r>
                    <w:rPr>
                      <w:rFonts w:hint="eastAsia" w:ascii="Times New Roman" w:hAnsi="Times New Roman" w:eastAsia="宋体"/>
                      <w:color w:val="auto"/>
                      <w:lang w:val="en-US" w:eastAsia="zh-CN"/>
                    </w:rPr>
                    <w:t>本项目</w:t>
                  </w:r>
                  <w:r>
                    <w:rPr>
                      <w:rFonts w:hint="eastAsia"/>
                      <w:color w:val="auto"/>
                      <w:lang w:val="en-US" w:eastAsia="zh-CN"/>
                    </w:rPr>
                    <w:t>无废水排放</w:t>
                  </w:r>
                </w:p>
              </w:tc>
              <w:tc>
                <w:tcPr>
                  <w:tcW w:w="733" w:type="dxa"/>
                  <w:shd w:val="clear" w:color="auto" w:fill="auto"/>
                  <w:vAlign w:val="center"/>
                </w:tcPr>
                <w:p w14:paraId="5451E7F7">
                  <w:pPr>
                    <w:pStyle w:val="42"/>
                    <w:ind w:firstLine="0" w:firstLineChars="0"/>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olor w:val="auto"/>
                      <w:lang w:val="en-US" w:eastAsia="zh-CN"/>
                    </w:rPr>
                    <w:t>符合</w:t>
                  </w:r>
                </w:p>
              </w:tc>
            </w:tr>
            <w:tr w14:paraId="374F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7E8AE58A">
                  <w:pPr>
                    <w:pStyle w:val="42"/>
                    <w:rPr>
                      <w:rFonts w:ascii="Times New Roman" w:hAnsi="Times New Roman" w:eastAsia="宋体"/>
                      <w:color w:val="auto"/>
                    </w:rPr>
                  </w:pPr>
                </w:p>
              </w:tc>
              <w:tc>
                <w:tcPr>
                  <w:tcW w:w="709" w:type="dxa"/>
                  <w:vMerge w:val="restart"/>
                  <w:vAlign w:val="center"/>
                </w:tcPr>
                <w:p w14:paraId="1949A599">
                  <w:pPr>
                    <w:pStyle w:val="42"/>
                    <w:rPr>
                      <w:rFonts w:ascii="Times New Roman" w:hAnsi="Times New Roman" w:eastAsia="宋体"/>
                      <w:color w:val="auto"/>
                    </w:rPr>
                  </w:pPr>
                  <w:r>
                    <w:rPr>
                      <w:rFonts w:hint="eastAsia" w:ascii="Times New Roman" w:hAnsi="Times New Roman" w:eastAsia="宋体"/>
                      <w:color w:val="auto"/>
                    </w:rPr>
                    <w:t>环境风险防控</w:t>
                  </w:r>
                </w:p>
              </w:tc>
              <w:tc>
                <w:tcPr>
                  <w:tcW w:w="3402" w:type="dxa"/>
                  <w:vAlign w:val="center"/>
                </w:tcPr>
                <w:p w14:paraId="553DA155">
                  <w:pPr>
                    <w:pStyle w:val="42"/>
                    <w:jc w:val="both"/>
                    <w:rPr>
                      <w:rFonts w:ascii="Times New Roman" w:hAnsi="Times New Roman" w:eastAsia="宋体"/>
                      <w:color w:val="auto"/>
                    </w:rPr>
                  </w:pPr>
                  <w:r>
                    <w:rPr>
                      <w:rFonts w:hint="eastAsia" w:ascii="Times New Roman" w:hAnsi="Times New Roman" w:eastAsia="宋体"/>
                      <w:color w:val="auto"/>
                    </w:rPr>
                    <w:t>1．开展环境风险评估，制定突发环境事件应急预案并备案，配备应急能力和物资，建设环境应急队伍，并定期演练。企业、园区与地方人民政府环境应急预案应当有机衔接。</w:t>
                  </w:r>
                </w:p>
              </w:tc>
              <w:tc>
                <w:tcPr>
                  <w:tcW w:w="1843" w:type="dxa"/>
                  <w:shd w:val="clear" w:color="auto" w:fill="auto"/>
                  <w:vAlign w:val="center"/>
                </w:tcPr>
                <w:p w14:paraId="6CDD37D6">
                  <w:pPr>
                    <w:pStyle w:val="42"/>
                    <w:ind w:firstLine="0" w:firstLineChars="0"/>
                    <w:jc w:val="both"/>
                    <w:rPr>
                      <w:rFonts w:hint="default" w:ascii="Times New Roman" w:hAnsi="Times New Roman" w:eastAsia="宋体" w:cs="Times New Roman"/>
                      <w:color w:val="FF0000"/>
                      <w:kern w:val="2"/>
                      <w:sz w:val="21"/>
                      <w:szCs w:val="21"/>
                      <w:lang w:val="en-US" w:eastAsia="zh-CN" w:bidi="ar-SA"/>
                    </w:rPr>
                  </w:pPr>
                  <w:r>
                    <w:rPr>
                      <w:rFonts w:hint="eastAsia" w:ascii="Times New Roman" w:hAnsi="Times New Roman" w:eastAsia="宋体"/>
                      <w:color w:val="auto"/>
                      <w:lang w:val="en-US" w:eastAsia="zh-CN"/>
                    </w:rPr>
                    <w:t>本项目环境风险评估、应急预案正同步编制中</w:t>
                  </w:r>
                </w:p>
              </w:tc>
              <w:tc>
                <w:tcPr>
                  <w:tcW w:w="733" w:type="dxa"/>
                  <w:shd w:val="clear" w:color="auto" w:fill="auto"/>
                  <w:vAlign w:val="center"/>
                </w:tcPr>
                <w:p w14:paraId="0060D8F8">
                  <w:pPr>
                    <w:pStyle w:val="42"/>
                    <w:ind w:firstLine="0" w:firstLineChars="0"/>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olor w:val="auto"/>
                      <w:lang w:val="en-US" w:eastAsia="zh-CN"/>
                    </w:rPr>
                    <w:t>符合</w:t>
                  </w:r>
                </w:p>
              </w:tc>
            </w:tr>
            <w:tr w14:paraId="1F5E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2910B5B3">
                  <w:pPr>
                    <w:pStyle w:val="42"/>
                    <w:rPr>
                      <w:rFonts w:ascii="Times New Roman" w:hAnsi="Times New Roman" w:eastAsia="宋体"/>
                      <w:color w:val="auto"/>
                    </w:rPr>
                  </w:pPr>
                </w:p>
              </w:tc>
              <w:tc>
                <w:tcPr>
                  <w:tcW w:w="709" w:type="dxa"/>
                  <w:vMerge w:val="continue"/>
                  <w:vAlign w:val="center"/>
                </w:tcPr>
                <w:p w14:paraId="4EB952EF">
                  <w:pPr>
                    <w:pStyle w:val="42"/>
                    <w:rPr>
                      <w:rFonts w:ascii="Times New Roman" w:hAnsi="Times New Roman" w:eastAsia="宋体"/>
                      <w:color w:val="auto"/>
                    </w:rPr>
                  </w:pPr>
                </w:p>
              </w:tc>
              <w:tc>
                <w:tcPr>
                  <w:tcW w:w="3402" w:type="dxa"/>
                  <w:vAlign w:val="center"/>
                </w:tcPr>
                <w:p w14:paraId="4DA8C51A">
                  <w:pPr>
                    <w:pStyle w:val="42"/>
                    <w:jc w:val="both"/>
                    <w:rPr>
                      <w:rFonts w:ascii="Times New Roman" w:hAnsi="Times New Roman" w:eastAsia="宋体"/>
                      <w:color w:val="auto"/>
                    </w:rPr>
                  </w:pPr>
                  <w:r>
                    <w:rPr>
                      <w:rFonts w:hint="eastAsia" w:ascii="Times New Roman" w:hAnsi="Times New Roman" w:eastAsia="宋体"/>
                      <w:color w:val="auto"/>
                    </w:rPr>
                    <w:t>2．开展区域联防联控和污染天气应急应对，减轻污染天气影响。深化与永州、邵阳等周边城市的区域协作，建立健全跨区域大气污染防治协作机制。</w:t>
                  </w:r>
                </w:p>
              </w:tc>
              <w:tc>
                <w:tcPr>
                  <w:tcW w:w="1843" w:type="dxa"/>
                  <w:shd w:val="clear" w:color="auto" w:fill="auto"/>
                  <w:vAlign w:val="center"/>
                </w:tcPr>
                <w:p w14:paraId="2284D5C9">
                  <w:pPr>
                    <w:pStyle w:val="42"/>
                    <w:ind w:firstLine="0" w:firstLineChars="0"/>
                    <w:jc w:val="both"/>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lang w:val="en-US" w:eastAsia="zh-CN"/>
                    </w:rPr>
                    <w:t>不涉及</w:t>
                  </w:r>
                </w:p>
              </w:tc>
              <w:tc>
                <w:tcPr>
                  <w:tcW w:w="733" w:type="dxa"/>
                  <w:shd w:val="clear" w:color="auto" w:fill="auto"/>
                  <w:vAlign w:val="center"/>
                </w:tcPr>
                <w:p w14:paraId="7778D9BC">
                  <w:pPr>
                    <w:pStyle w:val="42"/>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lang w:val="en-US" w:eastAsia="zh-CN"/>
                    </w:rPr>
                    <w:t>符合</w:t>
                  </w:r>
                </w:p>
              </w:tc>
            </w:tr>
            <w:tr w14:paraId="7636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1A90E54F">
                  <w:pPr>
                    <w:pStyle w:val="42"/>
                    <w:rPr>
                      <w:rFonts w:ascii="Times New Roman" w:hAnsi="Times New Roman" w:eastAsia="宋体"/>
                      <w:color w:val="auto"/>
                    </w:rPr>
                  </w:pPr>
                </w:p>
              </w:tc>
              <w:tc>
                <w:tcPr>
                  <w:tcW w:w="709" w:type="dxa"/>
                  <w:vMerge w:val="continue"/>
                  <w:vAlign w:val="center"/>
                </w:tcPr>
                <w:p w14:paraId="39D894BB">
                  <w:pPr>
                    <w:pStyle w:val="42"/>
                    <w:rPr>
                      <w:rFonts w:ascii="Times New Roman" w:hAnsi="Times New Roman" w:eastAsia="宋体"/>
                      <w:color w:val="auto"/>
                    </w:rPr>
                  </w:pPr>
                </w:p>
              </w:tc>
              <w:tc>
                <w:tcPr>
                  <w:tcW w:w="3402" w:type="dxa"/>
                  <w:vAlign w:val="center"/>
                </w:tcPr>
                <w:p w14:paraId="55DA0529">
                  <w:pPr>
                    <w:pStyle w:val="42"/>
                    <w:jc w:val="both"/>
                    <w:rPr>
                      <w:rFonts w:ascii="Times New Roman" w:hAnsi="Times New Roman" w:eastAsia="宋体"/>
                      <w:color w:val="auto"/>
                    </w:rPr>
                  </w:pPr>
                  <w:r>
                    <w:rPr>
                      <w:rFonts w:hint="eastAsia" w:ascii="Times New Roman" w:hAnsi="Times New Roman" w:eastAsia="宋体"/>
                      <w:color w:val="auto"/>
                    </w:rPr>
                    <w:t>3．严格建设项目环境准入，永久基本农田集中区域禁止规划新建可能造成土壤污染的建设项目；新（改、扩）建涉有毒有害物质可能造成土壤污染的建设项目，提出并落实污染防治要求。</w:t>
                  </w:r>
                </w:p>
              </w:tc>
              <w:tc>
                <w:tcPr>
                  <w:tcW w:w="1843" w:type="dxa"/>
                  <w:shd w:val="clear" w:color="auto" w:fill="auto"/>
                  <w:vAlign w:val="center"/>
                </w:tcPr>
                <w:p w14:paraId="1E425ABC">
                  <w:pPr>
                    <w:pStyle w:val="42"/>
                    <w:ind w:firstLine="0" w:firstLineChars="0"/>
                    <w:jc w:val="both"/>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lang w:val="en-US" w:eastAsia="zh-CN"/>
                    </w:rPr>
                    <w:t>本项目</w:t>
                  </w:r>
                  <w:r>
                    <w:rPr>
                      <w:rFonts w:hint="eastAsia"/>
                      <w:color w:val="auto"/>
                      <w:lang w:val="en-US" w:eastAsia="zh-CN"/>
                    </w:rPr>
                    <w:t>位于全州县工业集中区，不涉及永久基本农田，不涉及有毒有害物质</w:t>
                  </w:r>
                </w:p>
              </w:tc>
              <w:tc>
                <w:tcPr>
                  <w:tcW w:w="733" w:type="dxa"/>
                  <w:shd w:val="clear" w:color="auto" w:fill="auto"/>
                  <w:vAlign w:val="center"/>
                </w:tcPr>
                <w:p w14:paraId="6D12571C">
                  <w:pPr>
                    <w:pStyle w:val="42"/>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lang w:val="en-US" w:eastAsia="zh-CN"/>
                    </w:rPr>
                    <w:t>符合</w:t>
                  </w:r>
                </w:p>
              </w:tc>
            </w:tr>
            <w:tr w14:paraId="3E01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3564F393">
                  <w:pPr>
                    <w:pStyle w:val="42"/>
                    <w:rPr>
                      <w:rFonts w:ascii="Times New Roman" w:hAnsi="Times New Roman" w:eastAsia="宋体"/>
                      <w:color w:val="auto"/>
                    </w:rPr>
                  </w:pPr>
                </w:p>
              </w:tc>
              <w:tc>
                <w:tcPr>
                  <w:tcW w:w="709" w:type="dxa"/>
                  <w:vMerge w:val="continue"/>
                  <w:vAlign w:val="center"/>
                </w:tcPr>
                <w:p w14:paraId="41304340">
                  <w:pPr>
                    <w:pStyle w:val="42"/>
                    <w:rPr>
                      <w:rFonts w:ascii="Times New Roman" w:hAnsi="Times New Roman" w:eastAsia="宋体"/>
                      <w:color w:val="auto"/>
                    </w:rPr>
                  </w:pPr>
                </w:p>
              </w:tc>
              <w:tc>
                <w:tcPr>
                  <w:tcW w:w="3402" w:type="dxa"/>
                  <w:vAlign w:val="center"/>
                </w:tcPr>
                <w:p w14:paraId="1AFE67C9">
                  <w:pPr>
                    <w:pStyle w:val="42"/>
                    <w:jc w:val="both"/>
                    <w:rPr>
                      <w:rFonts w:ascii="Times New Roman" w:hAnsi="Times New Roman" w:eastAsia="宋体"/>
                      <w:color w:val="auto"/>
                    </w:rPr>
                  </w:pPr>
                  <w:r>
                    <w:rPr>
                      <w:rFonts w:hint="eastAsia" w:ascii="Times New Roman" w:hAnsi="Times New Roman" w:eastAsia="宋体"/>
                      <w:color w:val="auto"/>
                    </w:rPr>
                    <w:t>4．建立饮用水水源保护区环境风险定期排查制度，持续开展县级及以上集中式饮用水水源保护区水质状况监（检）测与评估，强化饮用水水源环境风险管控；稳步推进单一水源的县（市）备用水源建设；加快不达标饮用水水源治理或替换。</w:t>
                  </w:r>
                </w:p>
              </w:tc>
              <w:tc>
                <w:tcPr>
                  <w:tcW w:w="1843" w:type="dxa"/>
                  <w:shd w:val="clear" w:color="auto" w:fill="auto"/>
                  <w:vAlign w:val="center"/>
                </w:tcPr>
                <w:p w14:paraId="32107532">
                  <w:pPr>
                    <w:pStyle w:val="42"/>
                    <w:ind w:firstLine="0" w:firstLineChars="0"/>
                    <w:jc w:val="both"/>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lang w:val="en-US" w:eastAsia="zh-CN"/>
                    </w:rPr>
                    <w:t>不涉及</w:t>
                  </w:r>
                </w:p>
              </w:tc>
              <w:tc>
                <w:tcPr>
                  <w:tcW w:w="733" w:type="dxa"/>
                  <w:shd w:val="clear" w:color="auto" w:fill="auto"/>
                  <w:vAlign w:val="center"/>
                </w:tcPr>
                <w:p w14:paraId="78C144BA">
                  <w:pPr>
                    <w:pStyle w:val="42"/>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lang w:val="en-US" w:eastAsia="zh-CN"/>
                    </w:rPr>
                    <w:t>符合</w:t>
                  </w:r>
                </w:p>
              </w:tc>
            </w:tr>
            <w:tr w14:paraId="5A16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77D7934C">
                  <w:pPr>
                    <w:pStyle w:val="42"/>
                    <w:rPr>
                      <w:rFonts w:ascii="Times New Roman" w:hAnsi="Times New Roman" w:eastAsia="宋体"/>
                      <w:color w:val="auto"/>
                    </w:rPr>
                  </w:pPr>
                </w:p>
              </w:tc>
              <w:tc>
                <w:tcPr>
                  <w:tcW w:w="709" w:type="dxa"/>
                  <w:vMerge w:val="continue"/>
                  <w:vAlign w:val="center"/>
                </w:tcPr>
                <w:p w14:paraId="4A541BB0">
                  <w:pPr>
                    <w:pStyle w:val="42"/>
                    <w:rPr>
                      <w:rFonts w:ascii="Times New Roman" w:hAnsi="Times New Roman" w:eastAsia="宋体"/>
                      <w:color w:val="auto"/>
                    </w:rPr>
                  </w:pPr>
                </w:p>
              </w:tc>
              <w:tc>
                <w:tcPr>
                  <w:tcW w:w="3402" w:type="dxa"/>
                  <w:vAlign w:val="center"/>
                </w:tcPr>
                <w:p w14:paraId="54E967B6">
                  <w:pPr>
                    <w:pStyle w:val="42"/>
                    <w:jc w:val="both"/>
                    <w:rPr>
                      <w:rFonts w:ascii="Times New Roman" w:hAnsi="Times New Roman" w:eastAsia="宋体"/>
                      <w:color w:val="auto"/>
                    </w:rPr>
                  </w:pPr>
                  <w:r>
                    <w:rPr>
                      <w:rFonts w:hint="eastAsia" w:ascii="Times New Roman" w:hAnsi="Times New Roman" w:eastAsia="宋体"/>
                      <w:color w:val="auto"/>
                    </w:rPr>
                    <w:t>5．推进城镇生活垃圾治理能力建设，强化渗滤液处理设施运营管理，防止渗滤液积存；加强农村生活垃圾收运、处理体系建设，降低农村垃圾焚烧污染。</w:t>
                  </w:r>
                </w:p>
              </w:tc>
              <w:tc>
                <w:tcPr>
                  <w:tcW w:w="1843" w:type="dxa"/>
                  <w:shd w:val="clear" w:color="auto" w:fill="auto"/>
                  <w:vAlign w:val="center"/>
                </w:tcPr>
                <w:p w14:paraId="23018F39">
                  <w:pPr>
                    <w:pStyle w:val="42"/>
                    <w:ind w:firstLine="0" w:firstLineChars="0"/>
                    <w:jc w:val="both"/>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lang w:val="en-US" w:eastAsia="zh-CN"/>
                    </w:rPr>
                    <w:t>不涉及</w:t>
                  </w:r>
                </w:p>
              </w:tc>
              <w:tc>
                <w:tcPr>
                  <w:tcW w:w="733" w:type="dxa"/>
                  <w:shd w:val="clear" w:color="auto" w:fill="auto"/>
                  <w:vAlign w:val="center"/>
                </w:tcPr>
                <w:p w14:paraId="5C58D54D">
                  <w:pPr>
                    <w:pStyle w:val="42"/>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lang w:val="en-US" w:eastAsia="zh-CN"/>
                    </w:rPr>
                    <w:t>符合</w:t>
                  </w:r>
                </w:p>
              </w:tc>
            </w:tr>
            <w:tr w14:paraId="1D65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2AAEB792">
                  <w:pPr>
                    <w:pStyle w:val="42"/>
                    <w:rPr>
                      <w:rFonts w:ascii="Times New Roman" w:hAnsi="Times New Roman" w:eastAsia="宋体"/>
                      <w:color w:val="auto"/>
                    </w:rPr>
                  </w:pPr>
                </w:p>
              </w:tc>
              <w:tc>
                <w:tcPr>
                  <w:tcW w:w="709" w:type="dxa"/>
                  <w:vMerge w:val="restart"/>
                  <w:vAlign w:val="center"/>
                </w:tcPr>
                <w:p w14:paraId="7BB336A2">
                  <w:pPr>
                    <w:pStyle w:val="42"/>
                    <w:rPr>
                      <w:rFonts w:ascii="Times New Roman" w:hAnsi="Times New Roman" w:eastAsia="宋体"/>
                      <w:color w:val="auto"/>
                    </w:rPr>
                  </w:pPr>
                  <w:r>
                    <w:rPr>
                      <w:rFonts w:hint="eastAsia" w:ascii="Times New Roman" w:hAnsi="Times New Roman" w:eastAsia="宋体"/>
                      <w:color w:val="auto"/>
                    </w:rPr>
                    <w:t>资源开发利用效率要求</w:t>
                  </w:r>
                </w:p>
              </w:tc>
              <w:tc>
                <w:tcPr>
                  <w:tcW w:w="3402" w:type="dxa"/>
                  <w:vAlign w:val="center"/>
                </w:tcPr>
                <w:p w14:paraId="48459E92">
                  <w:pPr>
                    <w:pStyle w:val="42"/>
                    <w:jc w:val="both"/>
                    <w:rPr>
                      <w:rFonts w:ascii="Times New Roman" w:hAnsi="Times New Roman" w:eastAsia="宋体"/>
                      <w:color w:val="auto"/>
                    </w:rPr>
                  </w:pPr>
                  <w:r>
                    <w:rPr>
                      <w:rFonts w:hint="eastAsia" w:ascii="Times New Roman" w:hAnsi="Times New Roman" w:eastAsia="宋体"/>
                      <w:color w:val="auto"/>
                    </w:rPr>
                    <w:t>1．水资源：实行水资源消耗总量和强度双控。严格用水总量指标管理，健全市、县（市、区）行政区域的用水总量控制指标体系，统筹生活、生产、生态用水，大力推进农业、工业、城镇等领域节水。严格按照地下水开发利用控制目标控制地下水资源开采。</w:t>
                  </w:r>
                </w:p>
              </w:tc>
              <w:tc>
                <w:tcPr>
                  <w:tcW w:w="1843" w:type="dxa"/>
                  <w:vAlign w:val="center"/>
                </w:tcPr>
                <w:p w14:paraId="27F1ABE1">
                  <w:pPr>
                    <w:pStyle w:val="42"/>
                    <w:jc w:val="both"/>
                    <w:rPr>
                      <w:rFonts w:ascii="Times New Roman" w:hAnsi="Times New Roman" w:eastAsia="宋体"/>
                      <w:color w:val="auto"/>
                    </w:rPr>
                  </w:pPr>
                  <w:r>
                    <w:rPr>
                      <w:rFonts w:hint="eastAsia" w:ascii="Times New Roman" w:hAnsi="Times New Roman" w:eastAsia="宋体"/>
                      <w:color w:val="auto"/>
                    </w:rPr>
                    <w:t>不涉及</w:t>
                  </w:r>
                </w:p>
              </w:tc>
              <w:tc>
                <w:tcPr>
                  <w:tcW w:w="733" w:type="dxa"/>
                  <w:vAlign w:val="center"/>
                </w:tcPr>
                <w:p w14:paraId="4B94D56D">
                  <w:pPr>
                    <w:pStyle w:val="42"/>
                    <w:rPr>
                      <w:rFonts w:ascii="Times New Roman" w:hAnsi="Times New Roman" w:eastAsia="宋体"/>
                      <w:color w:val="auto"/>
                    </w:rPr>
                  </w:pPr>
                  <w:r>
                    <w:rPr>
                      <w:rFonts w:hint="eastAsia" w:ascii="Times New Roman" w:hAnsi="Times New Roman" w:eastAsia="宋体"/>
                      <w:color w:val="auto"/>
                    </w:rPr>
                    <w:t>符合</w:t>
                  </w:r>
                </w:p>
              </w:tc>
            </w:tr>
            <w:tr w14:paraId="422E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06DBEA5F">
                  <w:pPr>
                    <w:pStyle w:val="42"/>
                    <w:rPr>
                      <w:rFonts w:ascii="Times New Roman" w:hAnsi="Times New Roman" w:eastAsia="宋体"/>
                      <w:color w:val="auto"/>
                    </w:rPr>
                  </w:pPr>
                </w:p>
              </w:tc>
              <w:tc>
                <w:tcPr>
                  <w:tcW w:w="709" w:type="dxa"/>
                  <w:vMerge w:val="continue"/>
                  <w:vAlign w:val="center"/>
                </w:tcPr>
                <w:p w14:paraId="4D20FD21">
                  <w:pPr>
                    <w:pStyle w:val="42"/>
                    <w:rPr>
                      <w:rFonts w:ascii="Times New Roman" w:hAnsi="Times New Roman" w:eastAsia="宋体"/>
                      <w:color w:val="auto"/>
                    </w:rPr>
                  </w:pPr>
                </w:p>
              </w:tc>
              <w:tc>
                <w:tcPr>
                  <w:tcW w:w="3402" w:type="dxa"/>
                  <w:vAlign w:val="center"/>
                </w:tcPr>
                <w:p w14:paraId="0A8D512C">
                  <w:pPr>
                    <w:pStyle w:val="42"/>
                    <w:jc w:val="both"/>
                    <w:rPr>
                      <w:rFonts w:ascii="Times New Roman" w:hAnsi="Times New Roman" w:eastAsia="宋体"/>
                      <w:color w:val="auto"/>
                    </w:rPr>
                  </w:pPr>
                  <w:r>
                    <w:rPr>
                      <w:rFonts w:hint="eastAsia" w:ascii="Times New Roman" w:hAnsi="Times New Roman" w:eastAsia="宋体"/>
                      <w:color w:val="auto"/>
                    </w:rPr>
                    <w:t>2．土地资源：严格执行自治区下达的土地资源利用总量及效率管控指标要求。</w:t>
                  </w:r>
                </w:p>
              </w:tc>
              <w:tc>
                <w:tcPr>
                  <w:tcW w:w="1843" w:type="dxa"/>
                  <w:shd w:val="clear" w:color="auto" w:fill="auto"/>
                  <w:vAlign w:val="center"/>
                </w:tcPr>
                <w:p w14:paraId="4F65792B">
                  <w:pPr>
                    <w:pStyle w:val="42"/>
                    <w:ind w:firstLine="0" w:firstLineChars="0"/>
                    <w:jc w:val="both"/>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lang w:val="en-US" w:eastAsia="zh-CN"/>
                    </w:rPr>
                    <w:t>不涉及</w:t>
                  </w:r>
                </w:p>
              </w:tc>
              <w:tc>
                <w:tcPr>
                  <w:tcW w:w="733" w:type="dxa"/>
                  <w:shd w:val="clear" w:color="auto" w:fill="auto"/>
                  <w:vAlign w:val="center"/>
                </w:tcPr>
                <w:p w14:paraId="3B07BC2A">
                  <w:pPr>
                    <w:pStyle w:val="42"/>
                    <w:ind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lang w:val="en-US" w:eastAsia="zh-CN"/>
                    </w:rPr>
                    <w:t>符合</w:t>
                  </w:r>
                </w:p>
              </w:tc>
            </w:tr>
            <w:tr w14:paraId="3E5C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1DF7D08B">
                  <w:pPr>
                    <w:pStyle w:val="42"/>
                    <w:rPr>
                      <w:rFonts w:ascii="Times New Roman" w:hAnsi="Times New Roman" w:eastAsia="宋体"/>
                      <w:color w:val="auto"/>
                    </w:rPr>
                  </w:pPr>
                </w:p>
              </w:tc>
              <w:tc>
                <w:tcPr>
                  <w:tcW w:w="709" w:type="dxa"/>
                  <w:vMerge w:val="continue"/>
                  <w:vAlign w:val="center"/>
                </w:tcPr>
                <w:p w14:paraId="77E7B220">
                  <w:pPr>
                    <w:pStyle w:val="42"/>
                    <w:rPr>
                      <w:rFonts w:ascii="Times New Roman" w:hAnsi="Times New Roman" w:eastAsia="宋体"/>
                      <w:color w:val="auto"/>
                    </w:rPr>
                  </w:pPr>
                </w:p>
              </w:tc>
              <w:tc>
                <w:tcPr>
                  <w:tcW w:w="3402" w:type="dxa"/>
                  <w:vAlign w:val="center"/>
                </w:tcPr>
                <w:p w14:paraId="3277C356">
                  <w:pPr>
                    <w:pStyle w:val="42"/>
                    <w:jc w:val="both"/>
                    <w:rPr>
                      <w:rFonts w:ascii="Times New Roman" w:hAnsi="Times New Roman" w:eastAsia="宋体"/>
                      <w:color w:val="auto"/>
                    </w:rPr>
                  </w:pPr>
                  <w:r>
                    <w:rPr>
                      <w:rFonts w:hint="eastAsia" w:ascii="Times New Roman" w:hAnsi="Times New Roman" w:eastAsia="宋体"/>
                      <w:color w:val="auto"/>
                    </w:rPr>
                    <w:t>3．矿产资源：严格执行自治区、市、县矿产资源总体规划中关于矿产资源开发管控和矿产资源高效利用的目标要求；推进绿色矿山建设，提升矿产资源综合开发利用水平；重点加强漓江流域砂石资源的规范开发和合理利用，避免采石场开发生态破坏。</w:t>
                  </w:r>
                </w:p>
              </w:tc>
              <w:tc>
                <w:tcPr>
                  <w:tcW w:w="1843" w:type="dxa"/>
                  <w:vAlign w:val="center"/>
                </w:tcPr>
                <w:p w14:paraId="3AAAF4E5">
                  <w:pPr>
                    <w:pStyle w:val="42"/>
                    <w:ind w:firstLine="0" w:firstLineChars="0"/>
                    <w:jc w:val="both"/>
                    <w:rPr>
                      <w:rFonts w:ascii="Times New Roman" w:hAnsi="Times New Roman" w:eastAsia="宋体"/>
                      <w:color w:val="auto"/>
                    </w:rPr>
                  </w:pPr>
                  <w:r>
                    <w:rPr>
                      <w:rFonts w:hint="eastAsia" w:ascii="Times New Roman" w:hAnsi="Times New Roman" w:eastAsia="宋体"/>
                      <w:color w:val="auto"/>
                      <w:lang w:val="en-US" w:eastAsia="zh-CN"/>
                    </w:rPr>
                    <w:t>不涉及</w:t>
                  </w:r>
                </w:p>
              </w:tc>
              <w:tc>
                <w:tcPr>
                  <w:tcW w:w="733" w:type="dxa"/>
                  <w:vAlign w:val="center"/>
                </w:tcPr>
                <w:p w14:paraId="55C4C986">
                  <w:pPr>
                    <w:pStyle w:val="42"/>
                    <w:ind w:firstLine="0" w:firstLineChars="0"/>
                    <w:rPr>
                      <w:rFonts w:ascii="Times New Roman" w:hAnsi="Times New Roman" w:eastAsia="宋体"/>
                      <w:color w:val="auto"/>
                    </w:rPr>
                  </w:pPr>
                  <w:r>
                    <w:rPr>
                      <w:rFonts w:hint="eastAsia" w:ascii="Times New Roman" w:hAnsi="Times New Roman" w:eastAsia="宋体"/>
                      <w:color w:val="auto"/>
                      <w:lang w:val="en-US" w:eastAsia="zh-CN"/>
                    </w:rPr>
                    <w:t>符合</w:t>
                  </w:r>
                </w:p>
              </w:tc>
            </w:tr>
            <w:tr w14:paraId="540A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2360F92C">
                  <w:pPr>
                    <w:pStyle w:val="42"/>
                    <w:rPr>
                      <w:rFonts w:ascii="Times New Roman" w:hAnsi="Times New Roman" w:eastAsia="宋体"/>
                      <w:color w:val="auto"/>
                    </w:rPr>
                  </w:pPr>
                </w:p>
              </w:tc>
              <w:tc>
                <w:tcPr>
                  <w:tcW w:w="709" w:type="dxa"/>
                  <w:vMerge w:val="continue"/>
                  <w:vAlign w:val="center"/>
                </w:tcPr>
                <w:p w14:paraId="6728EE3C">
                  <w:pPr>
                    <w:pStyle w:val="42"/>
                    <w:rPr>
                      <w:rFonts w:ascii="Times New Roman" w:hAnsi="Times New Roman" w:eastAsia="宋体"/>
                      <w:color w:val="auto"/>
                    </w:rPr>
                  </w:pPr>
                </w:p>
              </w:tc>
              <w:tc>
                <w:tcPr>
                  <w:tcW w:w="3402" w:type="dxa"/>
                  <w:vAlign w:val="center"/>
                </w:tcPr>
                <w:p w14:paraId="367FED7E">
                  <w:pPr>
                    <w:pStyle w:val="42"/>
                    <w:jc w:val="both"/>
                    <w:rPr>
                      <w:rFonts w:ascii="Times New Roman" w:hAnsi="Times New Roman" w:eastAsia="宋体"/>
                      <w:color w:val="auto"/>
                    </w:rPr>
                  </w:pPr>
                  <w:r>
                    <w:rPr>
                      <w:rFonts w:hint="eastAsia" w:ascii="Times New Roman" w:hAnsi="Times New Roman" w:eastAsia="宋体"/>
                      <w:color w:val="auto"/>
                    </w:rPr>
                    <w:t>4．岸线资源：涉及岸线开发的工业区和港区，应严格按照相关规划实施，控制占用岸线长度，提高岸线利用效率。</w:t>
                  </w:r>
                </w:p>
              </w:tc>
              <w:tc>
                <w:tcPr>
                  <w:tcW w:w="1843" w:type="dxa"/>
                  <w:vAlign w:val="center"/>
                </w:tcPr>
                <w:p w14:paraId="5E001DDB">
                  <w:pPr>
                    <w:pStyle w:val="42"/>
                    <w:jc w:val="both"/>
                    <w:rPr>
                      <w:rFonts w:ascii="Times New Roman" w:hAnsi="Times New Roman" w:eastAsia="宋体"/>
                      <w:color w:val="auto"/>
                    </w:rPr>
                  </w:pPr>
                  <w:r>
                    <w:rPr>
                      <w:rFonts w:hint="eastAsia" w:ascii="Times New Roman" w:hAnsi="Times New Roman" w:eastAsia="宋体"/>
                      <w:color w:val="auto"/>
                    </w:rPr>
                    <w:t>不涉及</w:t>
                  </w:r>
                </w:p>
              </w:tc>
              <w:tc>
                <w:tcPr>
                  <w:tcW w:w="733" w:type="dxa"/>
                  <w:vAlign w:val="center"/>
                </w:tcPr>
                <w:p w14:paraId="05F406E0">
                  <w:pPr>
                    <w:pStyle w:val="42"/>
                    <w:rPr>
                      <w:rFonts w:ascii="Times New Roman" w:hAnsi="Times New Roman" w:eastAsia="宋体"/>
                      <w:color w:val="auto"/>
                    </w:rPr>
                  </w:pPr>
                  <w:r>
                    <w:rPr>
                      <w:rFonts w:hint="eastAsia" w:ascii="Times New Roman" w:hAnsi="Times New Roman" w:eastAsia="宋体"/>
                      <w:color w:val="auto"/>
                    </w:rPr>
                    <w:t>符合</w:t>
                  </w:r>
                </w:p>
              </w:tc>
            </w:tr>
            <w:tr w14:paraId="7E60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591B08D3">
                  <w:pPr>
                    <w:pStyle w:val="42"/>
                    <w:rPr>
                      <w:rFonts w:ascii="Times New Roman" w:hAnsi="Times New Roman" w:eastAsia="宋体"/>
                      <w:color w:val="auto"/>
                    </w:rPr>
                  </w:pPr>
                </w:p>
              </w:tc>
              <w:tc>
                <w:tcPr>
                  <w:tcW w:w="709" w:type="dxa"/>
                  <w:vMerge w:val="continue"/>
                  <w:vAlign w:val="center"/>
                </w:tcPr>
                <w:p w14:paraId="0FA16C62">
                  <w:pPr>
                    <w:pStyle w:val="42"/>
                    <w:rPr>
                      <w:rFonts w:ascii="Times New Roman" w:hAnsi="Times New Roman" w:eastAsia="宋体"/>
                      <w:color w:val="auto"/>
                    </w:rPr>
                  </w:pPr>
                </w:p>
              </w:tc>
              <w:tc>
                <w:tcPr>
                  <w:tcW w:w="3402" w:type="dxa"/>
                  <w:vAlign w:val="center"/>
                </w:tcPr>
                <w:p w14:paraId="36B23855">
                  <w:pPr>
                    <w:pStyle w:val="42"/>
                    <w:jc w:val="both"/>
                    <w:rPr>
                      <w:rFonts w:ascii="Times New Roman" w:hAnsi="Times New Roman" w:eastAsia="宋体"/>
                      <w:color w:val="auto"/>
                    </w:rPr>
                  </w:pPr>
                  <w:r>
                    <w:rPr>
                      <w:rFonts w:hint="eastAsia" w:ascii="Times New Roman" w:hAnsi="Times New Roman" w:eastAsia="宋体"/>
                      <w:color w:val="auto"/>
                    </w:rPr>
                    <w:t>5．能源资源：推进能源消耗总量和强度“双控”，严控煤炭消费总量，推进火电、钢铁、有色金属、化工等重点高耗能行业能效提升系统改造。加强煤炭清洁高效利用，提高能源利用效率，鼓励消费天然气等清洁能源。落实国家碳排放达峰行动方案，降低碳排放强度。市建成区禁止新建20蒸吨/小时以下的燃煤锅炉，县级城市建成区禁止新建10蒸吨/时以下的燃煤锅炉。加快推进65蒸吨/小时以上的燃煤锅炉（含电力）超低排放改造和生物质锅炉综合治理，鼓励35蒸吨/小时以上燃煤锅炉和自备电厂进行超低排放改造。持续推进水泥行业超低排放改造。</w:t>
                  </w:r>
                </w:p>
              </w:tc>
              <w:tc>
                <w:tcPr>
                  <w:tcW w:w="1843" w:type="dxa"/>
                  <w:vAlign w:val="center"/>
                </w:tcPr>
                <w:p w14:paraId="5202A5B7">
                  <w:pPr>
                    <w:pStyle w:val="42"/>
                    <w:jc w:val="both"/>
                    <w:rPr>
                      <w:rFonts w:ascii="Times New Roman" w:hAnsi="Times New Roman" w:eastAsia="宋体"/>
                      <w:color w:val="auto"/>
                    </w:rPr>
                  </w:pPr>
                  <w:r>
                    <w:rPr>
                      <w:rFonts w:hint="eastAsia" w:ascii="Times New Roman" w:hAnsi="Times New Roman" w:eastAsia="宋体"/>
                      <w:color w:val="auto"/>
                    </w:rPr>
                    <w:t>不涉及</w:t>
                  </w:r>
                </w:p>
              </w:tc>
              <w:tc>
                <w:tcPr>
                  <w:tcW w:w="733" w:type="dxa"/>
                  <w:vAlign w:val="center"/>
                </w:tcPr>
                <w:p w14:paraId="74DB32A8">
                  <w:pPr>
                    <w:pStyle w:val="42"/>
                    <w:rPr>
                      <w:rFonts w:ascii="Times New Roman" w:hAnsi="Times New Roman" w:eastAsia="宋体"/>
                      <w:color w:val="auto"/>
                    </w:rPr>
                  </w:pPr>
                  <w:r>
                    <w:rPr>
                      <w:rFonts w:hint="eastAsia" w:ascii="Times New Roman" w:hAnsi="Times New Roman" w:eastAsia="宋体"/>
                      <w:color w:val="auto"/>
                    </w:rPr>
                    <w:t>符合</w:t>
                  </w:r>
                </w:p>
              </w:tc>
            </w:tr>
            <w:bookmarkEnd w:id="2"/>
          </w:tbl>
          <w:p w14:paraId="35112B69">
            <w:pPr>
              <w:pStyle w:val="8"/>
              <w:numPr>
                <w:ilvl w:val="5"/>
                <w:numId w:val="0"/>
              </w:numPr>
              <w:ind w:left="0" w:leftChars="0" w:firstLine="480" w:firstLineChars="200"/>
              <w:rPr>
                <w:color w:val="FF0000"/>
              </w:rPr>
            </w:pPr>
            <w:r>
              <w:rPr>
                <w:rFonts w:hint="default" w:ascii="Times New Roman" w:hAnsi="Times New Roman" w:eastAsia="宋体" w:cs="Times New Roman"/>
                <w:b/>
                <w:i w:val="0"/>
                <w:color w:val="auto"/>
                <w:kern w:val="2"/>
                <w:sz w:val="24"/>
                <w:szCs w:val="24"/>
                <w:shd w:val="clear" w:fill="FFFFFF"/>
                <w:lang w:val="en-US" w:eastAsia="zh-CN" w:bidi="ar-SA"/>
              </w:rPr>
              <w:t>表1-4</w:t>
            </w:r>
            <w:r>
              <w:rPr>
                <w:rFonts w:hint="eastAsia"/>
                <w:color w:val="auto"/>
              </w:rPr>
              <w:t>项目与桂林市全州县生态环境准入及管控要求符合性分析</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488"/>
              <w:gridCol w:w="501"/>
              <w:gridCol w:w="2384"/>
              <w:gridCol w:w="3444"/>
              <w:gridCol w:w="464"/>
            </w:tblGrid>
            <w:tr w14:paraId="31A5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F538D6D">
                  <w:pPr>
                    <w:pStyle w:val="42"/>
                    <w:bidi w:val="0"/>
                  </w:pPr>
                  <w:r>
                    <w:rPr>
                      <w:rFonts w:hint="eastAsia"/>
                    </w:rPr>
                    <w:t>环境管控单元名称</w:t>
                  </w:r>
                </w:p>
              </w:tc>
              <w:tc>
                <w:tcPr>
                  <w:tcW w:w="0" w:type="auto"/>
                  <w:vAlign w:val="center"/>
                </w:tcPr>
                <w:p w14:paraId="44620356">
                  <w:pPr>
                    <w:pStyle w:val="42"/>
                    <w:bidi w:val="0"/>
                    <w:rPr>
                      <w:rFonts w:hint="eastAsia" w:eastAsia="宋体"/>
                      <w:lang w:eastAsia="zh-CN"/>
                    </w:rPr>
                  </w:pPr>
                  <w:r>
                    <w:rPr>
                      <w:rFonts w:hint="eastAsia"/>
                      <w:lang w:eastAsia="zh-CN"/>
                    </w:rPr>
                    <w:t>管控单元类别</w:t>
                  </w:r>
                </w:p>
              </w:tc>
              <w:tc>
                <w:tcPr>
                  <w:tcW w:w="0" w:type="auto"/>
                  <w:gridSpan w:val="2"/>
                  <w:vAlign w:val="center"/>
                </w:tcPr>
                <w:p w14:paraId="562381F9">
                  <w:pPr>
                    <w:pStyle w:val="42"/>
                    <w:bidi w:val="0"/>
                    <w:jc w:val="both"/>
                  </w:pPr>
                  <w:r>
                    <w:rPr>
                      <w:rFonts w:hint="eastAsia"/>
                    </w:rPr>
                    <w:t>环境管控单元生态环境准入及管控要求</w:t>
                  </w:r>
                </w:p>
              </w:tc>
              <w:tc>
                <w:tcPr>
                  <w:tcW w:w="0" w:type="auto"/>
                  <w:vAlign w:val="center"/>
                </w:tcPr>
                <w:p w14:paraId="7D9B7FF2">
                  <w:pPr>
                    <w:pStyle w:val="42"/>
                    <w:bidi w:val="0"/>
                    <w:jc w:val="center"/>
                  </w:pPr>
                  <w:r>
                    <w:rPr>
                      <w:rFonts w:hint="eastAsia"/>
                    </w:rPr>
                    <w:t>项目情况</w:t>
                  </w:r>
                </w:p>
              </w:tc>
              <w:tc>
                <w:tcPr>
                  <w:tcW w:w="0" w:type="auto"/>
                  <w:vAlign w:val="center"/>
                </w:tcPr>
                <w:p w14:paraId="7770BB4A">
                  <w:pPr>
                    <w:pStyle w:val="42"/>
                    <w:bidi w:val="0"/>
                    <w:jc w:val="center"/>
                    <w:rPr>
                      <w:rFonts w:hint="eastAsia" w:eastAsia="宋体"/>
                      <w:lang w:eastAsia="zh-CN"/>
                    </w:rPr>
                  </w:pPr>
                  <w:r>
                    <w:rPr>
                      <w:rFonts w:hint="eastAsia"/>
                      <w:lang w:eastAsia="zh-CN"/>
                    </w:rPr>
                    <w:t>是否符合</w:t>
                  </w:r>
                </w:p>
              </w:tc>
            </w:tr>
            <w:tr w14:paraId="13D2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0" w:type="auto"/>
                  <w:vMerge w:val="restart"/>
                  <w:vAlign w:val="center"/>
                </w:tcPr>
                <w:p w14:paraId="79696050">
                  <w:pPr>
                    <w:pStyle w:val="42"/>
                    <w:bidi w:val="0"/>
                    <w:rPr>
                      <w:rFonts w:hint="eastAsia"/>
                    </w:rPr>
                  </w:pPr>
                  <w:r>
                    <w:rPr>
                      <w:rFonts w:hint="eastAsia"/>
                    </w:rPr>
                    <w:t>全州县</w:t>
                  </w:r>
                </w:p>
                <w:p w14:paraId="38D734CD">
                  <w:pPr>
                    <w:pStyle w:val="42"/>
                    <w:bidi w:val="0"/>
                    <w:rPr>
                      <w:rFonts w:hint="eastAsia"/>
                    </w:rPr>
                  </w:pPr>
                  <w:r>
                    <w:rPr>
                      <w:rFonts w:hint="eastAsia"/>
                    </w:rPr>
                    <w:t>工业集</w:t>
                  </w:r>
                </w:p>
                <w:p w14:paraId="2AE2E836">
                  <w:pPr>
                    <w:pStyle w:val="42"/>
                    <w:bidi w:val="0"/>
                    <w:rPr>
                      <w:rFonts w:hint="eastAsia"/>
                    </w:rPr>
                  </w:pPr>
                  <w:r>
                    <w:rPr>
                      <w:rFonts w:hint="eastAsia"/>
                    </w:rPr>
                    <w:t>中区重</w:t>
                  </w:r>
                </w:p>
                <w:p w14:paraId="188CE9E5">
                  <w:pPr>
                    <w:pStyle w:val="42"/>
                    <w:bidi w:val="0"/>
                    <w:rPr>
                      <w:rFonts w:hint="eastAsia"/>
                    </w:rPr>
                  </w:pPr>
                  <w:r>
                    <w:rPr>
                      <w:rFonts w:hint="eastAsia"/>
                    </w:rPr>
                    <w:t>点管控</w:t>
                  </w:r>
                </w:p>
                <w:p w14:paraId="4871FF3E">
                  <w:pPr>
                    <w:pStyle w:val="42"/>
                    <w:bidi w:val="0"/>
                  </w:pPr>
                  <w:r>
                    <w:rPr>
                      <w:rFonts w:hint="eastAsia"/>
                    </w:rPr>
                    <w:t>单元</w:t>
                  </w:r>
                </w:p>
              </w:tc>
              <w:tc>
                <w:tcPr>
                  <w:tcW w:w="0" w:type="auto"/>
                  <w:vMerge w:val="restart"/>
                  <w:vAlign w:val="center"/>
                </w:tcPr>
                <w:p w14:paraId="484AC814">
                  <w:pPr>
                    <w:pStyle w:val="42"/>
                    <w:bidi w:val="0"/>
                    <w:rPr>
                      <w:rFonts w:hint="eastAsia" w:eastAsia="宋体"/>
                      <w:lang w:eastAsia="zh-CN"/>
                    </w:rPr>
                  </w:pPr>
                  <w:r>
                    <w:rPr>
                      <w:rFonts w:hint="eastAsia"/>
                      <w:lang w:eastAsia="zh-CN"/>
                    </w:rPr>
                    <w:t>重点管控单元</w:t>
                  </w:r>
                </w:p>
              </w:tc>
              <w:tc>
                <w:tcPr>
                  <w:tcW w:w="0" w:type="auto"/>
                  <w:vMerge w:val="restart"/>
                  <w:vAlign w:val="center"/>
                </w:tcPr>
                <w:p w14:paraId="0B58486D">
                  <w:pPr>
                    <w:pStyle w:val="42"/>
                    <w:bidi w:val="0"/>
                    <w:jc w:val="center"/>
                  </w:pPr>
                  <w:r>
                    <w:rPr>
                      <w:rFonts w:hint="eastAsia"/>
                    </w:rPr>
                    <w:t>空间布局约束</w:t>
                  </w:r>
                </w:p>
              </w:tc>
              <w:tc>
                <w:tcPr>
                  <w:tcW w:w="0" w:type="auto"/>
                  <w:vAlign w:val="center"/>
                </w:tcPr>
                <w:p w14:paraId="3CB5E0C3">
                  <w:pPr>
                    <w:pStyle w:val="42"/>
                    <w:bidi w:val="0"/>
                    <w:jc w:val="both"/>
                  </w:pPr>
                  <w:r>
                    <w:rPr>
                      <w:rFonts w:hint="eastAsia"/>
                    </w:rPr>
                    <w:t>1、加快布局分散的企业向园区集中。</w:t>
                  </w:r>
                </w:p>
              </w:tc>
              <w:tc>
                <w:tcPr>
                  <w:tcW w:w="0" w:type="auto"/>
                  <w:vAlign w:val="center"/>
                </w:tcPr>
                <w:p w14:paraId="5BDD82D6">
                  <w:pPr>
                    <w:pStyle w:val="42"/>
                    <w:bidi w:val="0"/>
                    <w:jc w:val="both"/>
                    <w:rPr>
                      <w:rFonts w:hint="eastAsia" w:eastAsia="宋体"/>
                      <w:lang w:eastAsia="zh-CN"/>
                    </w:rPr>
                  </w:pPr>
                  <w:r>
                    <w:rPr>
                      <w:rFonts w:hint="eastAsia"/>
                    </w:rPr>
                    <w:t>项目位于桂林市全州县工业集中区城西片区</w:t>
                  </w:r>
                  <w:r>
                    <w:rPr>
                      <w:rFonts w:hint="eastAsia"/>
                      <w:lang w:eastAsia="zh-CN"/>
                    </w:rPr>
                    <w:t>。</w:t>
                  </w:r>
                </w:p>
              </w:tc>
              <w:tc>
                <w:tcPr>
                  <w:tcW w:w="0" w:type="auto"/>
                  <w:vAlign w:val="center"/>
                </w:tcPr>
                <w:p w14:paraId="0AEFF04F">
                  <w:pPr>
                    <w:pStyle w:val="42"/>
                    <w:bidi w:val="0"/>
                    <w:jc w:val="center"/>
                    <w:rPr>
                      <w:rFonts w:hint="eastAsia"/>
                    </w:rPr>
                  </w:pPr>
                  <w:r>
                    <w:rPr>
                      <w:rFonts w:hint="eastAsia"/>
                    </w:rPr>
                    <w:t>符合</w:t>
                  </w:r>
                </w:p>
              </w:tc>
            </w:tr>
            <w:tr w14:paraId="72EE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0" w:type="auto"/>
                  <w:vMerge w:val="continue"/>
                  <w:vAlign w:val="center"/>
                </w:tcPr>
                <w:p w14:paraId="21B73EEE">
                  <w:pPr>
                    <w:pStyle w:val="42"/>
                    <w:bidi w:val="0"/>
                    <w:ind w:firstLine="420" w:firstLineChars="200"/>
                    <w:jc w:val="both"/>
                  </w:pPr>
                </w:p>
              </w:tc>
              <w:tc>
                <w:tcPr>
                  <w:tcW w:w="0" w:type="auto"/>
                  <w:vMerge w:val="continue"/>
                  <w:vAlign w:val="center"/>
                </w:tcPr>
                <w:p w14:paraId="583B5F4E">
                  <w:pPr>
                    <w:pStyle w:val="42"/>
                    <w:bidi w:val="0"/>
                    <w:ind w:firstLine="420" w:firstLineChars="200"/>
                    <w:jc w:val="both"/>
                  </w:pPr>
                </w:p>
              </w:tc>
              <w:tc>
                <w:tcPr>
                  <w:tcW w:w="0" w:type="auto"/>
                  <w:vMerge w:val="continue"/>
                  <w:vAlign w:val="center"/>
                </w:tcPr>
                <w:p w14:paraId="7DEACBE4">
                  <w:pPr>
                    <w:pStyle w:val="42"/>
                    <w:bidi w:val="0"/>
                    <w:ind w:firstLine="420" w:firstLineChars="200"/>
                    <w:jc w:val="both"/>
                  </w:pPr>
                </w:p>
              </w:tc>
              <w:tc>
                <w:tcPr>
                  <w:tcW w:w="0" w:type="auto"/>
                  <w:vAlign w:val="center"/>
                </w:tcPr>
                <w:p w14:paraId="380F6241">
                  <w:pPr>
                    <w:pStyle w:val="42"/>
                    <w:bidi w:val="0"/>
                    <w:jc w:val="both"/>
                    <w:rPr>
                      <w:rFonts w:hint="eastAsia"/>
                    </w:rPr>
                  </w:pPr>
                  <w:r>
                    <w:rPr>
                      <w:rFonts w:hint="eastAsia"/>
                    </w:rPr>
                    <w:t>2.强化源头管控，新上项目能效需达到国家、自治区相关标准要求。</w:t>
                  </w:r>
                </w:p>
              </w:tc>
              <w:tc>
                <w:tcPr>
                  <w:tcW w:w="0" w:type="auto"/>
                  <w:vAlign w:val="center"/>
                </w:tcPr>
                <w:p w14:paraId="0D8EFE4C">
                  <w:pPr>
                    <w:pStyle w:val="42"/>
                    <w:bidi w:val="0"/>
                    <w:jc w:val="both"/>
                    <w:rPr>
                      <w:rFonts w:hint="eastAsia" w:eastAsia="宋体"/>
                      <w:lang w:eastAsia="zh-CN"/>
                    </w:rPr>
                  </w:pPr>
                  <w:r>
                    <w:rPr>
                      <w:rFonts w:hint="eastAsia"/>
                      <w:lang w:eastAsia="zh-CN"/>
                    </w:rPr>
                    <w:t>本项目非“两高”项目，主生产工艺（化制烘干）在密闭空间进行，</w:t>
                  </w:r>
                  <w:r>
                    <w:rPr>
                      <w:rFonts w:hint="eastAsia"/>
                    </w:rPr>
                    <w:t>根据前文分析可知，项目符合国家、自治区产业政策及园区产业定位，符合园区规划环评结论及审查意见</w:t>
                  </w:r>
                  <w:r>
                    <w:rPr>
                      <w:rFonts w:hint="eastAsia"/>
                      <w:lang w:eastAsia="zh-CN"/>
                    </w:rPr>
                    <w:t>。</w:t>
                  </w:r>
                </w:p>
              </w:tc>
              <w:tc>
                <w:tcPr>
                  <w:tcW w:w="0" w:type="auto"/>
                  <w:vAlign w:val="center"/>
                </w:tcPr>
                <w:p w14:paraId="4923D5F6">
                  <w:pPr>
                    <w:pStyle w:val="42"/>
                    <w:bidi w:val="0"/>
                    <w:jc w:val="both"/>
                    <w:rPr>
                      <w:rFonts w:hint="eastAsia"/>
                    </w:rPr>
                  </w:pPr>
                  <w:r>
                    <w:rPr>
                      <w:rFonts w:hint="eastAsia"/>
                    </w:rPr>
                    <w:t>符合</w:t>
                  </w:r>
                </w:p>
              </w:tc>
            </w:tr>
            <w:tr w14:paraId="007A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0" w:type="auto"/>
                  <w:vMerge w:val="continue"/>
                  <w:vAlign w:val="center"/>
                </w:tcPr>
                <w:p w14:paraId="785F5333">
                  <w:pPr>
                    <w:pStyle w:val="42"/>
                    <w:bidi w:val="0"/>
                    <w:ind w:firstLine="420" w:firstLineChars="200"/>
                    <w:jc w:val="both"/>
                    <w:rPr>
                      <w:rFonts w:hint="eastAsia"/>
                    </w:rPr>
                  </w:pPr>
                </w:p>
              </w:tc>
              <w:tc>
                <w:tcPr>
                  <w:tcW w:w="0" w:type="auto"/>
                  <w:vMerge w:val="continue"/>
                  <w:vAlign w:val="center"/>
                </w:tcPr>
                <w:p w14:paraId="63A49636">
                  <w:pPr>
                    <w:pStyle w:val="42"/>
                    <w:bidi w:val="0"/>
                    <w:ind w:firstLine="420" w:firstLineChars="200"/>
                    <w:jc w:val="both"/>
                    <w:rPr>
                      <w:rFonts w:hint="eastAsia"/>
                    </w:rPr>
                  </w:pPr>
                </w:p>
              </w:tc>
              <w:tc>
                <w:tcPr>
                  <w:tcW w:w="0" w:type="auto"/>
                  <w:vMerge w:val="continue"/>
                  <w:vAlign w:val="center"/>
                </w:tcPr>
                <w:p w14:paraId="34E24420">
                  <w:pPr>
                    <w:pStyle w:val="42"/>
                    <w:bidi w:val="0"/>
                    <w:ind w:firstLine="420" w:firstLineChars="200"/>
                    <w:jc w:val="both"/>
                    <w:rPr>
                      <w:rFonts w:hint="eastAsia"/>
                    </w:rPr>
                  </w:pPr>
                </w:p>
              </w:tc>
              <w:tc>
                <w:tcPr>
                  <w:tcW w:w="0" w:type="auto"/>
                  <w:vAlign w:val="center"/>
                </w:tcPr>
                <w:p w14:paraId="4F1746C9">
                  <w:pPr>
                    <w:pStyle w:val="42"/>
                    <w:bidi w:val="0"/>
                    <w:jc w:val="both"/>
                    <w:rPr>
                      <w:rFonts w:hint="eastAsia"/>
                    </w:rPr>
                  </w:pPr>
                  <w:r>
                    <w:rPr>
                      <w:rFonts w:hint="eastAsia"/>
                    </w:rPr>
                    <w:t>3.禁止新建不符合国家产业政策的生产项目以及其他严重污染水环境的生产项目。已建成的不符合国家产业政策以及其他严重污染水环境的生产项目，由设区的市、县级人民政府按照国家有关规定责令整改、搬迁或者关闭。</w:t>
                  </w:r>
                </w:p>
              </w:tc>
              <w:tc>
                <w:tcPr>
                  <w:tcW w:w="0" w:type="auto"/>
                  <w:vAlign w:val="center"/>
                </w:tcPr>
                <w:p w14:paraId="7237621F">
                  <w:pPr>
                    <w:pStyle w:val="42"/>
                    <w:bidi w:val="0"/>
                    <w:jc w:val="both"/>
                    <w:rPr>
                      <w:rFonts w:hint="eastAsia"/>
                    </w:rPr>
                  </w:pPr>
                  <w:r>
                    <w:rPr>
                      <w:rFonts w:hint="eastAsia"/>
                    </w:rPr>
                    <w:t>项目</w:t>
                  </w:r>
                  <w:r>
                    <w:rPr>
                      <w:rFonts w:hint="eastAsia"/>
                      <w:lang w:eastAsia="zh-CN"/>
                    </w:rPr>
                    <w:t>为新建项目，</w:t>
                  </w:r>
                  <w:r>
                    <w:rPr>
                      <w:rFonts w:hint="eastAsia"/>
                    </w:rPr>
                    <w:t>营运期针对废气、废水、噪声、固体废物均采取相应有效措施，污染物均达标排放，固体废物均得到合理处置。</w:t>
                  </w:r>
                </w:p>
              </w:tc>
              <w:tc>
                <w:tcPr>
                  <w:tcW w:w="0" w:type="auto"/>
                  <w:vAlign w:val="center"/>
                </w:tcPr>
                <w:p w14:paraId="6D2A8E6C">
                  <w:pPr>
                    <w:pStyle w:val="42"/>
                    <w:bidi w:val="0"/>
                    <w:jc w:val="both"/>
                    <w:rPr>
                      <w:rFonts w:hint="eastAsia"/>
                    </w:rPr>
                  </w:pPr>
                  <w:r>
                    <w:rPr>
                      <w:rFonts w:hint="eastAsia"/>
                    </w:rPr>
                    <w:t>符合</w:t>
                  </w:r>
                </w:p>
              </w:tc>
            </w:tr>
            <w:tr w14:paraId="3976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0" w:type="auto"/>
                  <w:vMerge w:val="continue"/>
                  <w:vAlign w:val="center"/>
                </w:tcPr>
                <w:p w14:paraId="4A40E03E">
                  <w:pPr>
                    <w:pStyle w:val="42"/>
                    <w:bidi w:val="0"/>
                    <w:ind w:firstLine="420" w:firstLineChars="200"/>
                    <w:jc w:val="both"/>
                    <w:rPr>
                      <w:rFonts w:hint="eastAsia"/>
                    </w:rPr>
                  </w:pPr>
                </w:p>
              </w:tc>
              <w:tc>
                <w:tcPr>
                  <w:tcW w:w="0" w:type="auto"/>
                  <w:vMerge w:val="continue"/>
                  <w:vAlign w:val="center"/>
                </w:tcPr>
                <w:p w14:paraId="3D4B8C76">
                  <w:pPr>
                    <w:pStyle w:val="42"/>
                    <w:bidi w:val="0"/>
                    <w:ind w:firstLine="420" w:firstLineChars="200"/>
                    <w:jc w:val="both"/>
                    <w:rPr>
                      <w:rFonts w:hint="eastAsia"/>
                    </w:rPr>
                  </w:pPr>
                </w:p>
              </w:tc>
              <w:tc>
                <w:tcPr>
                  <w:tcW w:w="0" w:type="auto"/>
                  <w:vMerge w:val="continue"/>
                  <w:vAlign w:val="center"/>
                </w:tcPr>
                <w:p w14:paraId="729F680F">
                  <w:pPr>
                    <w:pStyle w:val="42"/>
                    <w:bidi w:val="0"/>
                    <w:ind w:firstLine="420" w:firstLineChars="200"/>
                    <w:jc w:val="both"/>
                    <w:rPr>
                      <w:rFonts w:hint="eastAsia"/>
                    </w:rPr>
                  </w:pPr>
                </w:p>
              </w:tc>
              <w:tc>
                <w:tcPr>
                  <w:tcW w:w="0" w:type="auto"/>
                  <w:shd w:val="clear" w:color="auto" w:fill="auto"/>
                  <w:vAlign w:val="center"/>
                </w:tcPr>
                <w:p w14:paraId="316745A5">
                  <w:pPr>
                    <w:pStyle w:val="42"/>
                    <w:bidi w:val="0"/>
                    <w:ind w:firstLine="0" w:firstLineChars="0"/>
                    <w:jc w:val="both"/>
                    <w:rPr>
                      <w:rFonts w:hint="eastAsia" w:ascii="Times New Roman" w:hAnsi="Times New Roman" w:eastAsia="宋体" w:cs="Times New Roman"/>
                      <w:kern w:val="2"/>
                      <w:sz w:val="21"/>
                      <w:szCs w:val="21"/>
                      <w:lang w:val="en-US" w:eastAsia="zh-CN" w:bidi="ar-SA"/>
                    </w:rPr>
                  </w:pPr>
                  <w:r>
                    <w:rPr>
                      <w:rFonts w:hint="eastAsia"/>
                    </w:rPr>
                    <w:t>4、城西片区建设项目应避让生态保护红线区域，邻近生态红线范围的建设项目应采取有效措施，避免产生不利影响。</w:t>
                  </w:r>
                </w:p>
              </w:tc>
              <w:tc>
                <w:tcPr>
                  <w:tcW w:w="0" w:type="auto"/>
                  <w:vAlign w:val="center"/>
                </w:tcPr>
                <w:p w14:paraId="468BAF86">
                  <w:pPr>
                    <w:pStyle w:val="42"/>
                    <w:bidi w:val="0"/>
                    <w:jc w:val="both"/>
                    <w:rPr>
                      <w:rFonts w:hint="eastAsia" w:eastAsia="宋体"/>
                      <w:lang w:eastAsia="zh-CN"/>
                    </w:rPr>
                  </w:pPr>
                  <w:r>
                    <w:rPr>
                      <w:rFonts w:hint="eastAsia"/>
                    </w:rPr>
                    <w:t>项目不在生态保护红线区域内</w:t>
                  </w:r>
                  <w:r>
                    <w:rPr>
                      <w:rFonts w:hint="eastAsia"/>
                      <w:lang w:eastAsia="zh-CN"/>
                    </w:rPr>
                    <w:t>。</w:t>
                  </w:r>
                </w:p>
              </w:tc>
              <w:tc>
                <w:tcPr>
                  <w:tcW w:w="0" w:type="auto"/>
                  <w:vAlign w:val="center"/>
                </w:tcPr>
                <w:p w14:paraId="6404D1C5">
                  <w:pPr>
                    <w:pStyle w:val="42"/>
                    <w:bidi w:val="0"/>
                    <w:jc w:val="both"/>
                    <w:rPr>
                      <w:rFonts w:hint="eastAsia"/>
                    </w:rPr>
                  </w:pPr>
                  <w:r>
                    <w:rPr>
                      <w:rFonts w:hint="eastAsia"/>
                    </w:rPr>
                    <w:t>符合</w:t>
                  </w:r>
                </w:p>
              </w:tc>
            </w:tr>
            <w:tr w14:paraId="3C05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0" w:type="auto"/>
                  <w:vMerge w:val="continue"/>
                  <w:vAlign w:val="center"/>
                </w:tcPr>
                <w:p w14:paraId="18CF60E4">
                  <w:pPr>
                    <w:pStyle w:val="42"/>
                    <w:bidi w:val="0"/>
                    <w:ind w:firstLine="420" w:firstLineChars="200"/>
                    <w:jc w:val="both"/>
                    <w:rPr>
                      <w:rFonts w:hint="eastAsia"/>
                    </w:rPr>
                  </w:pPr>
                </w:p>
              </w:tc>
              <w:tc>
                <w:tcPr>
                  <w:tcW w:w="0" w:type="auto"/>
                  <w:vMerge w:val="continue"/>
                  <w:vAlign w:val="center"/>
                </w:tcPr>
                <w:p w14:paraId="1528F811">
                  <w:pPr>
                    <w:pStyle w:val="42"/>
                    <w:bidi w:val="0"/>
                    <w:ind w:firstLine="420" w:firstLineChars="200"/>
                    <w:jc w:val="both"/>
                    <w:rPr>
                      <w:rFonts w:hint="eastAsia"/>
                    </w:rPr>
                  </w:pPr>
                </w:p>
              </w:tc>
              <w:tc>
                <w:tcPr>
                  <w:tcW w:w="0" w:type="auto"/>
                  <w:vMerge w:val="continue"/>
                  <w:vAlign w:val="center"/>
                </w:tcPr>
                <w:p w14:paraId="663B2DAF">
                  <w:pPr>
                    <w:pStyle w:val="42"/>
                    <w:bidi w:val="0"/>
                    <w:ind w:firstLine="420" w:firstLineChars="200"/>
                    <w:jc w:val="both"/>
                    <w:rPr>
                      <w:rFonts w:hint="eastAsia"/>
                    </w:rPr>
                  </w:pPr>
                </w:p>
              </w:tc>
              <w:tc>
                <w:tcPr>
                  <w:tcW w:w="0" w:type="auto"/>
                  <w:shd w:val="clear" w:color="auto" w:fill="auto"/>
                  <w:vAlign w:val="center"/>
                </w:tcPr>
                <w:p w14:paraId="3B954B52">
                  <w:pPr>
                    <w:pStyle w:val="42"/>
                    <w:bidi w:val="0"/>
                    <w:ind w:firstLine="0" w:firstLineChars="0"/>
                    <w:jc w:val="both"/>
                    <w:rPr>
                      <w:rFonts w:hint="eastAsia" w:ascii="Times New Roman" w:hAnsi="Times New Roman" w:eastAsia="宋体" w:cs="Times New Roman"/>
                      <w:kern w:val="2"/>
                      <w:sz w:val="21"/>
                      <w:szCs w:val="21"/>
                      <w:lang w:val="en-US" w:eastAsia="zh-CN" w:bidi="ar-SA"/>
                    </w:rPr>
                  </w:pPr>
                  <w:r>
                    <w:rPr>
                      <w:rFonts w:hint="eastAsia"/>
                    </w:rPr>
                    <w:t>5.园区周边1公里范围内临近饮用水水源保护区(全州县县城饮用水水源保护区)等生态环境敏感区城，应优化产业布局，控制开发强度，新建、改建、扩建项目要采取切实可行的环保措施，降低对周边生态环境敏感区域的影响</w:t>
                  </w:r>
                  <w:r>
                    <w:rPr>
                      <w:rFonts w:hint="eastAsia"/>
                      <w:lang w:eastAsia="zh-CN"/>
                    </w:rPr>
                    <w:t>。</w:t>
                  </w:r>
                </w:p>
              </w:tc>
              <w:tc>
                <w:tcPr>
                  <w:tcW w:w="0" w:type="auto"/>
                  <w:vAlign w:val="center"/>
                </w:tcPr>
                <w:p w14:paraId="39F5C1EA">
                  <w:pPr>
                    <w:pStyle w:val="42"/>
                    <w:tabs>
                      <w:tab w:val="left" w:pos="992"/>
                    </w:tabs>
                    <w:bidi w:val="0"/>
                    <w:jc w:val="both"/>
                    <w:rPr>
                      <w:rFonts w:hint="eastAsia" w:eastAsia="宋体"/>
                      <w:lang w:eastAsia="zh-CN"/>
                    </w:rPr>
                  </w:pPr>
                  <w:r>
                    <w:rPr>
                      <w:rFonts w:hint="eastAsia"/>
                    </w:rPr>
                    <w:t>项目周边1公里范围内</w:t>
                  </w:r>
                  <w:r>
                    <w:rPr>
                      <w:rFonts w:hint="eastAsia"/>
                      <w:lang w:eastAsia="zh-CN"/>
                    </w:rPr>
                    <w:t>无</w:t>
                  </w:r>
                  <w:r>
                    <w:rPr>
                      <w:rFonts w:hint="eastAsia"/>
                    </w:rPr>
                    <w:t>饮用水水源保护区</w:t>
                  </w:r>
                  <w:r>
                    <w:rPr>
                      <w:rFonts w:hint="eastAsia"/>
                      <w:lang w:eastAsia="zh-CN"/>
                    </w:rPr>
                    <w:t>。</w:t>
                  </w:r>
                </w:p>
              </w:tc>
              <w:tc>
                <w:tcPr>
                  <w:tcW w:w="0" w:type="auto"/>
                  <w:vAlign w:val="center"/>
                </w:tcPr>
                <w:p w14:paraId="06F0B1C3">
                  <w:pPr>
                    <w:pStyle w:val="42"/>
                    <w:bidi w:val="0"/>
                    <w:jc w:val="both"/>
                    <w:rPr>
                      <w:rFonts w:hint="eastAsia"/>
                    </w:rPr>
                  </w:pPr>
                  <w:r>
                    <w:rPr>
                      <w:rFonts w:hint="eastAsia"/>
                    </w:rPr>
                    <w:t>符合</w:t>
                  </w:r>
                </w:p>
              </w:tc>
            </w:tr>
            <w:tr w14:paraId="6055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vAlign w:val="center"/>
                </w:tcPr>
                <w:p w14:paraId="558307B8">
                  <w:pPr>
                    <w:pStyle w:val="42"/>
                    <w:bidi w:val="0"/>
                  </w:pPr>
                </w:p>
              </w:tc>
              <w:tc>
                <w:tcPr>
                  <w:tcW w:w="0" w:type="auto"/>
                  <w:vMerge w:val="continue"/>
                  <w:vAlign w:val="center"/>
                </w:tcPr>
                <w:p w14:paraId="00C37289">
                  <w:pPr>
                    <w:pStyle w:val="42"/>
                    <w:bidi w:val="0"/>
                    <w:rPr>
                      <w:rFonts w:hint="eastAsia"/>
                    </w:rPr>
                  </w:pPr>
                </w:p>
              </w:tc>
              <w:tc>
                <w:tcPr>
                  <w:tcW w:w="0" w:type="auto"/>
                  <w:vMerge w:val="restart"/>
                  <w:vAlign w:val="center"/>
                </w:tcPr>
                <w:p w14:paraId="47909F2A">
                  <w:pPr>
                    <w:pStyle w:val="42"/>
                    <w:bidi w:val="0"/>
                    <w:jc w:val="both"/>
                  </w:pPr>
                  <w:r>
                    <w:rPr>
                      <w:rFonts w:hint="eastAsia"/>
                    </w:rPr>
                    <w:t>污染物排放管控</w:t>
                  </w:r>
                </w:p>
              </w:tc>
              <w:tc>
                <w:tcPr>
                  <w:tcW w:w="0" w:type="auto"/>
                  <w:vAlign w:val="center"/>
                </w:tcPr>
                <w:p w14:paraId="46787DB6">
                  <w:pPr>
                    <w:pStyle w:val="42"/>
                    <w:bidi w:val="0"/>
                    <w:jc w:val="both"/>
                    <w:rPr>
                      <w:lang w:val="en-US" w:eastAsia="zh-CN"/>
                    </w:rPr>
                  </w:pPr>
                  <w:r>
                    <w:rPr>
                      <w:rFonts w:hint="eastAsia"/>
                    </w:rPr>
                    <w:t>1.深化园区工业污染治理，持续推进工业污染源全面达标排放，开展烟气高效脱硫脱硝、除尘改造。推进各类园区技术、工艺、设备等生态化、循环化改造，积极推广园区集中供热。</w:t>
                  </w:r>
                </w:p>
              </w:tc>
              <w:tc>
                <w:tcPr>
                  <w:tcW w:w="0" w:type="auto"/>
                  <w:vAlign w:val="center"/>
                </w:tcPr>
                <w:p w14:paraId="0649572A">
                  <w:pPr>
                    <w:pStyle w:val="42"/>
                    <w:bidi w:val="0"/>
                    <w:jc w:val="both"/>
                    <w:rPr>
                      <w:rFonts w:hint="eastAsia"/>
                      <w:lang w:eastAsia="zh-CN"/>
                    </w:rPr>
                  </w:pPr>
                  <w:r>
                    <w:rPr>
                      <w:rFonts w:hint="eastAsia"/>
                    </w:rPr>
                    <w:t>符合。项目位于工业区内，食堂采用液化石油气作为燃料，项目生产过程中采用</w:t>
                  </w:r>
                  <w:r>
                    <w:rPr>
                      <w:rFonts w:hint="eastAsia"/>
                      <w:lang w:eastAsia="zh-CN"/>
                    </w:rPr>
                    <w:t>生物质颗粒</w:t>
                  </w:r>
                  <w:r>
                    <w:rPr>
                      <w:rFonts w:hint="eastAsia"/>
                    </w:rPr>
                    <w:t>作为能源，均属于清洁能源。根据项目主要环境影响和保护措施分析可知，</w:t>
                  </w:r>
                  <w:r>
                    <w:rPr>
                      <w:rFonts w:hint="eastAsia"/>
                      <w:lang w:eastAsia="zh-CN"/>
                    </w:rPr>
                    <w:t>生物质颗粒</w:t>
                  </w:r>
                  <w:r>
                    <w:rPr>
                      <w:rFonts w:hint="eastAsia"/>
                    </w:rPr>
                    <w:t>燃烧产生的SO</w:t>
                  </w:r>
                  <w:r>
                    <w:rPr>
                      <w:rFonts w:hint="eastAsia"/>
                      <w:vertAlign w:val="subscript"/>
                    </w:rPr>
                    <w:t>2</w:t>
                  </w:r>
                  <w:r>
                    <w:rPr>
                      <w:rFonts w:hint="eastAsia"/>
                    </w:rPr>
                    <w:t>、NOx和烟尘由</w:t>
                  </w:r>
                  <w:r>
                    <w:rPr>
                      <w:rFonts w:hint="eastAsia"/>
                      <w:lang w:val="en-US" w:eastAsia="zh-CN"/>
                    </w:rPr>
                    <w:t>15</w:t>
                  </w:r>
                  <w:r>
                    <w:rPr>
                      <w:rFonts w:hint="eastAsia"/>
                    </w:rPr>
                    <w:t>m高排气筒DA001排放</w:t>
                  </w:r>
                  <w:r>
                    <w:rPr>
                      <w:rFonts w:hint="eastAsia"/>
                      <w:lang w:eastAsia="zh-CN"/>
                    </w:rPr>
                    <w:t>，颗粒物、二氧化硫排放浓度满足</w:t>
                  </w:r>
                  <w:r>
                    <w:rPr>
                      <w:rFonts w:hint="eastAsia"/>
                    </w:rPr>
                    <w:t>《锅炉大气污染物排放标准》(GB13271-2014)</w:t>
                  </w:r>
                  <w:r>
                    <w:rPr>
                      <w:rFonts w:hint="eastAsia"/>
                      <w:lang w:eastAsia="zh-CN"/>
                    </w:rPr>
                    <w:t>中标准限值要求，氮氧化物排放浓度及速率满足《大气污染物综合排放标准》(GB16297-1996)中标准限值要求</w:t>
                  </w:r>
                  <w:r>
                    <w:rPr>
                      <w:rFonts w:hint="eastAsia"/>
                    </w:rPr>
                    <w:t>。</w:t>
                  </w:r>
                  <w:r>
                    <w:rPr>
                      <w:rFonts w:hint="eastAsia"/>
                      <w:lang w:eastAsia="zh-CN"/>
                    </w:rPr>
                    <w:t>本项目区域暂未布设天然气管道，由生物质蒸汽锅炉供热。</w:t>
                  </w:r>
                </w:p>
                <w:p w14:paraId="17A99AE4">
                  <w:pPr>
                    <w:pStyle w:val="42"/>
                    <w:bidi w:val="0"/>
                    <w:jc w:val="both"/>
                    <w:rPr>
                      <w:rFonts w:hint="eastAsia" w:eastAsia="宋体"/>
                      <w:lang w:val="en-US" w:eastAsia="zh-CN"/>
                    </w:rPr>
                  </w:pPr>
                </w:p>
              </w:tc>
              <w:tc>
                <w:tcPr>
                  <w:tcW w:w="0" w:type="auto"/>
                  <w:vAlign w:val="center"/>
                </w:tcPr>
                <w:p w14:paraId="01AAC073">
                  <w:pPr>
                    <w:pStyle w:val="42"/>
                    <w:bidi w:val="0"/>
                    <w:jc w:val="both"/>
                    <w:rPr>
                      <w:rFonts w:hint="eastAsia"/>
                      <w:lang w:eastAsia="zh-CN"/>
                    </w:rPr>
                  </w:pPr>
                  <w:r>
                    <w:rPr>
                      <w:rFonts w:hint="eastAsia"/>
                    </w:rPr>
                    <w:t>符合</w:t>
                  </w:r>
                </w:p>
              </w:tc>
            </w:tr>
            <w:tr w14:paraId="7B65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vAlign w:val="center"/>
                </w:tcPr>
                <w:p w14:paraId="2EE4E6BB">
                  <w:pPr>
                    <w:pStyle w:val="42"/>
                    <w:bidi w:val="0"/>
                  </w:pPr>
                </w:p>
              </w:tc>
              <w:tc>
                <w:tcPr>
                  <w:tcW w:w="0" w:type="auto"/>
                  <w:vMerge w:val="continue"/>
                  <w:vAlign w:val="center"/>
                </w:tcPr>
                <w:p w14:paraId="1EA0808A">
                  <w:pPr>
                    <w:pStyle w:val="42"/>
                    <w:bidi w:val="0"/>
                    <w:rPr>
                      <w:rFonts w:hint="eastAsia"/>
                    </w:rPr>
                  </w:pPr>
                </w:p>
              </w:tc>
              <w:tc>
                <w:tcPr>
                  <w:tcW w:w="0" w:type="auto"/>
                  <w:vMerge w:val="continue"/>
                  <w:vAlign w:val="center"/>
                </w:tcPr>
                <w:p w14:paraId="642BE09E">
                  <w:pPr>
                    <w:pStyle w:val="42"/>
                    <w:bidi w:val="0"/>
                    <w:jc w:val="both"/>
                    <w:rPr>
                      <w:rFonts w:hint="eastAsia"/>
                    </w:rPr>
                  </w:pPr>
                </w:p>
              </w:tc>
              <w:tc>
                <w:tcPr>
                  <w:tcW w:w="0" w:type="auto"/>
                  <w:vAlign w:val="center"/>
                </w:tcPr>
                <w:p w14:paraId="290554A3">
                  <w:pPr>
                    <w:pStyle w:val="42"/>
                    <w:bidi w:val="0"/>
                    <w:jc w:val="both"/>
                    <w:rPr>
                      <w:rFonts w:hint="eastAsia"/>
                    </w:rPr>
                  </w:pPr>
                  <w:r>
                    <w:rPr>
                      <w:rFonts w:hint="eastAsia"/>
                    </w:rPr>
                    <w:t>2.强化园区堆场扬尘控制。</w:t>
                  </w:r>
                </w:p>
              </w:tc>
              <w:tc>
                <w:tcPr>
                  <w:tcW w:w="0" w:type="auto"/>
                  <w:vAlign w:val="center"/>
                </w:tcPr>
                <w:p w14:paraId="7FBF4BF7">
                  <w:pPr>
                    <w:pStyle w:val="42"/>
                    <w:bidi w:val="0"/>
                    <w:jc w:val="center"/>
                    <w:rPr>
                      <w:rFonts w:hint="eastAsia"/>
                      <w:lang w:eastAsia="zh-CN"/>
                    </w:rPr>
                  </w:pPr>
                  <w:r>
                    <w:rPr>
                      <w:rFonts w:hint="eastAsia"/>
                      <w:lang w:eastAsia="zh-CN"/>
                    </w:rPr>
                    <w:t>本项目无室外堆场。</w:t>
                  </w:r>
                </w:p>
              </w:tc>
              <w:tc>
                <w:tcPr>
                  <w:tcW w:w="0" w:type="auto"/>
                  <w:vAlign w:val="center"/>
                </w:tcPr>
                <w:p w14:paraId="36B8D998">
                  <w:pPr>
                    <w:pStyle w:val="42"/>
                    <w:bidi w:val="0"/>
                    <w:jc w:val="both"/>
                    <w:rPr>
                      <w:rFonts w:hint="eastAsia"/>
                      <w:lang w:eastAsia="zh-CN"/>
                    </w:rPr>
                  </w:pPr>
                  <w:r>
                    <w:rPr>
                      <w:rFonts w:hint="eastAsia"/>
                      <w:lang w:eastAsia="zh-CN"/>
                    </w:rPr>
                    <w:t>符合</w:t>
                  </w:r>
                </w:p>
              </w:tc>
            </w:tr>
            <w:tr w14:paraId="4F76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vAlign w:val="center"/>
                </w:tcPr>
                <w:p w14:paraId="60F18B33">
                  <w:pPr>
                    <w:pStyle w:val="42"/>
                    <w:bidi w:val="0"/>
                  </w:pPr>
                </w:p>
              </w:tc>
              <w:tc>
                <w:tcPr>
                  <w:tcW w:w="0" w:type="auto"/>
                  <w:vMerge w:val="continue"/>
                  <w:vAlign w:val="center"/>
                </w:tcPr>
                <w:p w14:paraId="045C3CC4">
                  <w:pPr>
                    <w:pStyle w:val="42"/>
                    <w:bidi w:val="0"/>
                    <w:rPr>
                      <w:rFonts w:hint="eastAsia"/>
                    </w:rPr>
                  </w:pPr>
                </w:p>
              </w:tc>
              <w:tc>
                <w:tcPr>
                  <w:tcW w:w="0" w:type="auto"/>
                  <w:vMerge w:val="continue"/>
                  <w:vAlign w:val="center"/>
                </w:tcPr>
                <w:p w14:paraId="4918B0C3">
                  <w:pPr>
                    <w:pStyle w:val="42"/>
                    <w:bidi w:val="0"/>
                    <w:jc w:val="both"/>
                    <w:rPr>
                      <w:rFonts w:hint="eastAsia"/>
                    </w:rPr>
                  </w:pPr>
                </w:p>
              </w:tc>
              <w:tc>
                <w:tcPr>
                  <w:tcW w:w="0" w:type="auto"/>
                  <w:vAlign w:val="center"/>
                </w:tcPr>
                <w:p w14:paraId="2B71E83A">
                  <w:pPr>
                    <w:pStyle w:val="42"/>
                    <w:bidi w:val="0"/>
                    <w:jc w:val="both"/>
                    <w:rPr>
                      <w:rFonts w:hint="eastAsia"/>
                    </w:rPr>
                  </w:pPr>
                  <w:r>
                    <w:rPr>
                      <w:rFonts w:hint="eastAsia"/>
                    </w:rPr>
                    <w:t>3.推动重点行业VOCs的排放管控，加强VOCs排放企业源头控制。园区实施低VOCs含量原辅材料替代。</w:t>
                  </w:r>
                </w:p>
              </w:tc>
              <w:tc>
                <w:tcPr>
                  <w:tcW w:w="0" w:type="auto"/>
                  <w:vAlign w:val="center"/>
                </w:tcPr>
                <w:p w14:paraId="1CBD732C">
                  <w:pPr>
                    <w:pStyle w:val="42"/>
                    <w:bidi w:val="0"/>
                    <w:jc w:val="both"/>
                    <w:rPr>
                      <w:rFonts w:hint="eastAsia"/>
                      <w:lang w:eastAsia="zh-CN"/>
                    </w:rPr>
                  </w:pPr>
                  <w:r>
                    <w:rPr>
                      <w:rFonts w:hint="eastAsia"/>
                    </w:rPr>
                    <w:t>项目化制烘干工段产生的污蒸汽</w:t>
                  </w:r>
                  <w:r>
                    <w:rPr>
                      <w:rFonts w:hint="eastAsia"/>
                      <w:lang w:eastAsia="zh-CN"/>
                    </w:rPr>
                    <w:t>（</w:t>
                  </w:r>
                  <w:r>
                    <w:rPr>
                      <w:rFonts w:hint="eastAsia"/>
                      <w:sz w:val="21"/>
                      <w:szCs w:val="21"/>
                      <w:lang w:eastAsia="zh-CN"/>
                    </w:rPr>
                    <w:t>为病死禽畜自身含水</w:t>
                  </w:r>
                  <w:r>
                    <w:rPr>
                      <w:rFonts w:hint="eastAsia" w:ascii="Times New Roman" w:hAnsi="Times New Roman" w:cs="Times New Roman"/>
                      <w:kern w:val="2"/>
                      <w:sz w:val="21"/>
                      <w:szCs w:val="21"/>
                      <w:lang w:val="en-US" w:bidi="ar-SA"/>
                    </w:rPr>
                    <w:t>在化制过程中转化为水蒸气形式</w:t>
                  </w:r>
                  <w:r>
                    <w:rPr>
                      <w:rFonts w:hint="eastAsia"/>
                      <w:lang w:eastAsia="zh-CN"/>
                    </w:rPr>
                    <w:t>）</w:t>
                  </w:r>
                  <w:r>
                    <w:rPr>
                      <w:rFonts w:hint="eastAsia"/>
                    </w:rPr>
                    <w:t>经冷凝后的不凝气导入锅炉末端焚烧处理后经</w:t>
                  </w:r>
                  <w:r>
                    <w:rPr>
                      <w:rFonts w:hint="eastAsia"/>
                      <w:lang w:val="en-US" w:eastAsia="zh-CN"/>
                    </w:rPr>
                    <w:t>15</w:t>
                  </w:r>
                  <w:r>
                    <w:rPr>
                      <w:rFonts w:hint="eastAsia"/>
                    </w:rPr>
                    <w:t>m高排气筒DA001排放</w:t>
                  </w:r>
                  <w:r>
                    <w:rPr>
                      <w:rFonts w:hint="eastAsia"/>
                      <w:lang w:eastAsia="zh-CN"/>
                    </w:rPr>
                    <w:t>，非甲烷总烃排放满足《大气污染物综合排放标准》(GB16297-1996)及《挥发性有机物无组织排放控制标准》(GB37822-2019)中标准限值要求。</w:t>
                  </w:r>
                </w:p>
              </w:tc>
              <w:tc>
                <w:tcPr>
                  <w:tcW w:w="0" w:type="auto"/>
                  <w:vAlign w:val="center"/>
                </w:tcPr>
                <w:p w14:paraId="0AE55CDC">
                  <w:pPr>
                    <w:pStyle w:val="42"/>
                    <w:bidi w:val="0"/>
                    <w:jc w:val="both"/>
                    <w:rPr>
                      <w:rFonts w:hint="eastAsia"/>
                      <w:lang w:eastAsia="zh-CN"/>
                    </w:rPr>
                  </w:pPr>
                  <w:r>
                    <w:rPr>
                      <w:rFonts w:hint="eastAsia"/>
                      <w:lang w:eastAsia="zh-CN"/>
                    </w:rPr>
                    <w:t>符合</w:t>
                  </w:r>
                </w:p>
              </w:tc>
            </w:tr>
            <w:tr w14:paraId="1635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vAlign w:val="center"/>
                </w:tcPr>
                <w:p w14:paraId="1CBB8A07">
                  <w:pPr>
                    <w:pStyle w:val="42"/>
                    <w:bidi w:val="0"/>
                  </w:pPr>
                </w:p>
              </w:tc>
              <w:tc>
                <w:tcPr>
                  <w:tcW w:w="0" w:type="auto"/>
                  <w:vMerge w:val="continue"/>
                  <w:vAlign w:val="center"/>
                </w:tcPr>
                <w:p w14:paraId="6DCFAA14">
                  <w:pPr>
                    <w:pStyle w:val="42"/>
                    <w:bidi w:val="0"/>
                    <w:rPr>
                      <w:rFonts w:hint="eastAsia"/>
                    </w:rPr>
                  </w:pPr>
                </w:p>
              </w:tc>
              <w:tc>
                <w:tcPr>
                  <w:tcW w:w="0" w:type="auto"/>
                  <w:vMerge w:val="continue"/>
                  <w:vAlign w:val="center"/>
                </w:tcPr>
                <w:p w14:paraId="4226CF04">
                  <w:pPr>
                    <w:pStyle w:val="42"/>
                    <w:bidi w:val="0"/>
                    <w:jc w:val="both"/>
                    <w:rPr>
                      <w:rFonts w:hint="eastAsia"/>
                    </w:rPr>
                  </w:pPr>
                </w:p>
              </w:tc>
              <w:tc>
                <w:tcPr>
                  <w:tcW w:w="0" w:type="auto"/>
                  <w:vAlign w:val="center"/>
                </w:tcPr>
                <w:p w14:paraId="1F740F79">
                  <w:pPr>
                    <w:pStyle w:val="42"/>
                    <w:bidi w:val="0"/>
                    <w:jc w:val="both"/>
                    <w:rPr>
                      <w:rFonts w:hint="eastAsia"/>
                    </w:rPr>
                  </w:pPr>
                  <w:r>
                    <w:rPr>
                      <w:rFonts w:hint="eastAsia"/>
                    </w:rPr>
                    <w:t>4.继续加强工业集聚区集中式污水处理设施建设，确保已建污水处理设施稳定运行及达标排放。园区集中式污水处理设施总排口安装自动监控系统、视频监控系统，并与生态环境主管部门联网。按照“清污分流、雨污分流”原则，实施废水分类收集、分质处理。</w:t>
                  </w:r>
                </w:p>
              </w:tc>
              <w:tc>
                <w:tcPr>
                  <w:tcW w:w="0" w:type="auto"/>
                  <w:vAlign w:val="center"/>
                </w:tcPr>
                <w:p w14:paraId="7EA45195">
                  <w:pPr>
                    <w:pStyle w:val="42"/>
                    <w:bidi w:val="0"/>
                    <w:jc w:val="both"/>
                    <w:rPr>
                      <w:rFonts w:hint="eastAsia"/>
                      <w:lang w:eastAsia="zh-CN"/>
                    </w:rPr>
                  </w:pPr>
                  <w:r>
                    <w:rPr>
                      <w:rFonts w:hint="eastAsia"/>
                      <w:lang w:eastAsia="zh-CN"/>
                    </w:rPr>
                    <w:t>本项目实施雨污分流，无废水外排。</w:t>
                  </w:r>
                </w:p>
              </w:tc>
              <w:tc>
                <w:tcPr>
                  <w:tcW w:w="0" w:type="auto"/>
                  <w:vAlign w:val="center"/>
                </w:tcPr>
                <w:p w14:paraId="42D79C3B">
                  <w:pPr>
                    <w:pStyle w:val="42"/>
                    <w:bidi w:val="0"/>
                    <w:jc w:val="both"/>
                    <w:rPr>
                      <w:rFonts w:hint="eastAsia"/>
                      <w:lang w:eastAsia="zh-CN"/>
                    </w:rPr>
                  </w:pPr>
                  <w:r>
                    <w:rPr>
                      <w:rFonts w:hint="eastAsia"/>
                      <w:lang w:eastAsia="zh-CN"/>
                    </w:rPr>
                    <w:t>符合</w:t>
                  </w:r>
                </w:p>
              </w:tc>
            </w:tr>
            <w:tr w14:paraId="1ED3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vAlign w:val="center"/>
                </w:tcPr>
                <w:p w14:paraId="153F6078">
                  <w:pPr>
                    <w:pStyle w:val="42"/>
                    <w:bidi w:val="0"/>
                  </w:pPr>
                </w:p>
              </w:tc>
              <w:tc>
                <w:tcPr>
                  <w:tcW w:w="0" w:type="auto"/>
                  <w:vMerge w:val="continue"/>
                  <w:vAlign w:val="center"/>
                </w:tcPr>
                <w:p w14:paraId="6A19471C">
                  <w:pPr>
                    <w:pStyle w:val="42"/>
                    <w:bidi w:val="0"/>
                    <w:rPr>
                      <w:rFonts w:hint="eastAsia"/>
                    </w:rPr>
                  </w:pPr>
                </w:p>
              </w:tc>
              <w:tc>
                <w:tcPr>
                  <w:tcW w:w="0" w:type="auto"/>
                  <w:vMerge w:val="continue"/>
                  <w:vAlign w:val="center"/>
                </w:tcPr>
                <w:p w14:paraId="58896A91">
                  <w:pPr>
                    <w:pStyle w:val="42"/>
                    <w:bidi w:val="0"/>
                    <w:jc w:val="both"/>
                    <w:rPr>
                      <w:rFonts w:hint="eastAsia"/>
                    </w:rPr>
                  </w:pPr>
                </w:p>
              </w:tc>
              <w:tc>
                <w:tcPr>
                  <w:tcW w:w="0" w:type="auto"/>
                  <w:vAlign w:val="center"/>
                </w:tcPr>
                <w:p w14:paraId="5EFF680E">
                  <w:pPr>
                    <w:pStyle w:val="42"/>
                    <w:bidi w:val="0"/>
                    <w:jc w:val="both"/>
                    <w:rPr>
                      <w:rFonts w:hint="eastAsia"/>
                    </w:rPr>
                  </w:pPr>
                  <w:r>
                    <w:rPr>
                      <w:rFonts w:hint="eastAsia"/>
                    </w:rPr>
                    <w:t>5.园区及园区企业排放水污染物，要满足国家或者地方规定的水污染物排放标准和重点水污染物排放总量控制指标。直接外排水环境的，执行国家或者地方规定的标准要求;经城镇污水集中处理设施处理后排放的，执行市政部门管理要求;经园区污水集中处理设施处理后排放的，执行园区管理部门相关要求。</w:t>
                  </w:r>
                </w:p>
              </w:tc>
              <w:tc>
                <w:tcPr>
                  <w:tcW w:w="0" w:type="auto"/>
                  <w:vAlign w:val="center"/>
                </w:tcPr>
                <w:p w14:paraId="06051345">
                  <w:pPr>
                    <w:pStyle w:val="42"/>
                    <w:bidi w:val="0"/>
                    <w:jc w:val="both"/>
                    <w:rPr>
                      <w:rFonts w:hint="eastAsia"/>
                      <w:lang w:eastAsia="zh-CN"/>
                    </w:rPr>
                  </w:pPr>
                  <w:r>
                    <w:rPr>
                      <w:rFonts w:hint="eastAsia"/>
                      <w:lang w:eastAsia="zh-CN"/>
                    </w:rPr>
                    <w:t>本项目实施雨污分流，无废水外排。</w:t>
                  </w:r>
                </w:p>
              </w:tc>
              <w:tc>
                <w:tcPr>
                  <w:tcW w:w="0" w:type="auto"/>
                  <w:vAlign w:val="center"/>
                </w:tcPr>
                <w:p w14:paraId="4318B452">
                  <w:pPr>
                    <w:pStyle w:val="42"/>
                    <w:bidi w:val="0"/>
                    <w:jc w:val="both"/>
                    <w:rPr>
                      <w:rFonts w:hint="eastAsia"/>
                      <w:lang w:eastAsia="zh-CN"/>
                    </w:rPr>
                  </w:pPr>
                  <w:r>
                    <w:rPr>
                      <w:rFonts w:hint="eastAsia"/>
                      <w:lang w:eastAsia="zh-CN"/>
                    </w:rPr>
                    <w:t>符合</w:t>
                  </w:r>
                </w:p>
              </w:tc>
            </w:tr>
            <w:tr w14:paraId="6B00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vAlign w:val="center"/>
                </w:tcPr>
                <w:p w14:paraId="275F1643">
                  <w:pPr>
                    <w:pStyle w:val="42"/>
                    <w:bidi w:val="0"/>
                  </w:pPr>
                </w:p>
              </w:tc>
              <w:tc>
                <w:tcPr>
                  <w:tcW w:w="0" w:type="auto"/>
                  <w:vMerge w:val="continue"/>
                  <w:vAlign w:val="center"/>
                </w:tcPr>
                <w:p w14:paraId="7EB16340">
                  <w:pPr>
                    <w:pStyle w:val="42"/>
                    <w:bidi w:val="0"/>
                    <w:rPr>
                      <w:rFonts w:hint="eastAsia"/>
                    </w:rPr>
                  </w:pPr>
                </w:p>
              </w:tc>
              <w:tc>
                <w:tcPr>
                  <w:tcW w:w="0" w:type="auto"/>
                  <w:vAlign w:val="center"/>
                </w:tcPr>
                <w:p w14:paraId="58988111">
                  <w:pPr>
                    <w:pStyle w:val="42"/>
                    <w:bidi w:val="0"/>
                    <w:jc w:val="both"/>
                  </w:pPr>
                  <w:r>
                    <w:rPr>
                      <w:rFonts w:hint="eastAsia"/>
                    </w:rPr>
                    <w:t>环境风险防控</w:t>
                  </w:r>
                </w:p>
              </w:tc>
              <w:tc>
                <w:tcPr>
                  <w:tcW w:w="0" w:type="auto"/>
                  <w:vAlign w:val="center"/>
                </w:tcPr>
                <w:p w14:paraId="2FAB9297">
                  <w:pPr>
                    <w:pStyle w:val="42"/>
                    <w:bidi w:val="0"/>
                    <w:jc w:val="both"/>
                    <w:rPr>
                      <w:rFonts w:hint="eastAsia"/>
                    </w:rPr>
                  </w:pPr>
                  <w:r>
                    <w:rPr>
                      <w:rFonts w:hint="eastAsia"/>
                    </w:rPr>
                    <w:t>生态环境主管部门报告排放情况</w:t>
                  </w:r>
                  <w:r>
                    <w:rPr>
                      <w:rFonts w:hint="eastAsia"/>
                      <w:lang w:eastAsia="zh-CN"/>
                    </w:rPr>
                    <w:t>；</w:t>
                  </w:r>
                  <w:r>
                    <w:rPr>
                      <w:rFonts w:hint="eastAsia"/>
                    </w:rPr>
                    <w:t>建立土壤污染隐患排查制度，保证持续有效防止有毒有害物质渗漏、流失、扬散。</w:t>
                  </w:r>
                </w:p>
                <w:p w14:paraId="64DB6130">
                  <w:pPr>
                    <w:pStyle w:val="42"/>
                    <w:bidi w:val="0"/>
                    <w:jc w:val="both"/>
                    <w:rPr>
                      <w:rFonts w:hint="eastAsia" w:eastAsia="宋体"/>
                      <w:lang w:eastAsia="zh-CN"/>
                    </w:rPr>
                  </w:pPr>
                  <w:r>
                    <w:rPr>
                      <w:rFonts w:hint="eastAsia"/>
                    </w:rPr>
                    <w:t>土壤污染监管重点单位应当严格控制有毒有害物质排放，并按年度向所在地设区的市人民政府</w:t>
                  </w:r>
                  <w:r>
                    <w:rPr>
                      <w:rFonts w:hint="eastAsia"/>
                      <w:lang w:eastAsia="zh-CN"/>
                    </w:rPr>
                    <w:t>。</w:t>
                  </w:r>
                </w:p>
              </w:tc>
              <w:tc>
                <w:tcPr>
                  <w:tcW w:w="0" w:type="auto"/>
                  <w:vAlign w:val="center"/>
                </w:tcPr>
                <w:p w14:paraId="7593CF35">
                  <w:pPr>
                    <w:pStyle w:val="42"/>
                    <w:bidi w:val="0"/>
                    <w:jc w:val="both"/>
                    <w:rPr>
                      <w:rFonts w:hint="eastAsia" w:eastAsia="宋体"/>
                      <w:lang w:eastAsia="zh-CN"/>
                    </w:rPr>
                  </w:pPr>
                  <w:r>
                    <w:rPr>
                      <w:rFonts w:hint="eastAsia"/>
                      <w:lang w:eastAsia="zh-CN"/>
                    </w:rPr>
                    <w:t>本项目不涉及有毒有害物质。</w:t>
                  </w:r>
                </w:p>
              </w:tc>
              <w:tc>
                <w:tcPr>
                  <w:tcW w:w="0" w:type="auto"/>
                  <w:vAlign w:val="center"/>
                </w:tcPr>
                <w:p w14:paraId="58C3A16E">
                  <w:pPr>
                    <w:pStyle w:val="42"/>
                    <w:bidi w:val="0"/>
                    <w:jc w:val="both"/>
                    <w:rPr>
                      <w:rFonts w:hint="eastAsia"/>
                    </w:rPr>
                  </w:pPr>
                  <w:r>
                    <w:rPr>
                      <w:rFonts w:hint="eastAsia"/>
                      <w:lang w:eastAsia="zh-CN"/>
                    </w:rPr>
                    <w:t>符合</w:t>
                  </w:r>
                </w:p>
              </w:tc>
            </w:tr>
          </w:tbl>
          <w:p w14:paraId="5D735682">
            <w:pPr>
              <w:pStyle w:val="8"/>
              <w:numPr>
                <w:ilvl w:val="5"/>
                <w:numId w:val="0"/>
              </w:numPr>
              <w:bidi w:val="0"/>
              <w:ind w:leftChars="0"/>
              <w:jc w:val="center"/>
              <w:rPr>
                <w:rFonts w:hint="eastAsia"/>
              </w:rPr>
            </w:pPr>
            <w:r>
              <w:rPr>
                <w:rFonts w:hint="eastAsia"/>
                <w:color w:val="auto"/>
                <w:lang w:eastAsia="zh-CN"/>
              </w:rPr>
              <w:t>表</w:t>
            </w:r>
            <w:r>
              <w:rPr>
                <w:rFonts w:hint="eastAsia"/>
                <w:color w:val="auto"/>
                <w:lang w:val="en-US" w:eastAsia="zh-CN"/>
              </w:rPr>
              <w:t xml:space="preserve">1-5 </w:t>
            </w:r>
            <w:r>
              <w:rPr>
                <w:rFonts w:hint="eastAsia"/>
                <w:color w:val="auto"/>
              </w:rPr>
              <w:t>项目与桂林市全州县生态环境准入及管控要求符合性分析</w:t>
            </w:r>
            <w:r>
              <w:rPr>
                <w:rFonts w:hint="eastAsia"/>
                <w:color w:val="auto"/>
                <w:lang w:eastAsia="zh-CN"/>
              </w:rPr>
              <w:t>（续表）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503"/>
              <w:gridCol w:w="519"/>
              <w:gridCol w:w="3119"/>
              <w:gridCol w:w="2570"/>
              <w:gridCol w:w="472"/>
            </w:tblGrid>
            <w:tr w14:paraId="16D4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14:paraId="79C555F2">
                  <w:pPr>
                    <w:pStyle w:val="42"/>
                    <w:bidi w:val="0"/>
                  </w:pPr>
                  <w:r>
                    <w:rPr>
                      <w:rFonts w:hint="eastAsia"/>
                    </w:rPr>
                    <w:t>环境管控单元名称</w:t>
                  </w:r>
                </w:p>
              </w:tc>
              <w:tc>
                <w:tcPr>
                  <w:tcW w:w="0" w:type="auto"/>
                  <w:vAlign w:val="center"/>
                </w:tcPr>
                <w:p w14:paraId="3EF77FC3">
                  <w:pPr>
                    <w:pStyle w:val="42"/>
                    <w:bidi w:val="0"/>
                    <w:rPr>
                      <w:rFonts w:hint="eastAsia" w:eastAsia="宋体"/>
                      <w:lang w:eastAsia="zh-CN"/>
                    </w:rPr>
                  </w:pPr>
                  <w:r>
                    <w:rPr>
                      <w:rFonts w:hint="eastAsia"/>
                      <w:lang w:eastAsia="zh-CN"/>
                    </w:rPr>
                    <w:t>管控单元类别</w:t>
                  </w:r>
                </w:p>
              </w:tc>
              <w:tc>
                <w:tcPr>
                  <w:tcW w:w="0" w:type="auto"/>
                  <w:gridSpan w:val="2"/>
                  <w:vAlign w:val="center"/>
                </w:tcPr>
                <w:p w14:paraId="39412C18">
                  <w:pPr>
                    <w:pStyle w:val="42"/>
                    <w:bidi w:val="0"/>
                    <w:jc w:val="both"/>
                  </w:pPr>
                  <w:r>
                    <w:rPr>
                      <w:rFonts w:hint="eastAsia"/>
                    </w:rPr>
                    <w:t>环境管控单元生态环境准入及管控要求</w:t>
                  </w:r>
                </w:p>
              </w:tc>
              <w:tc>
                <w:tcPr>
                  <w:tcW w:w="0" w:type="auto"/>
                  <w:vAlign w:val="center"/>
                </w:tcPr>
                <w:p w14:paraId="799D506F">
                  <w:pPr>
                    <w:pStyle w:val="42"/>
                    <w:bidi w:val="0"/>
                    <w:jc w:val="center"/>
                  </w:pPr>
                  <w:r>
                    <w:rPr>
                      <w:rFonts w:hint="eastAsia"/>
                    </w:rPr>
                    <w:t>项目情况</w:t>
                  </w:r>
                </w:p>
              </w:tc>
              <w:tc>
                <w:tcPr>
                  <w:tcW w:w="0" w:type="auto"/>
                  <w:vAlign w:val="center"/>
                </w:tcPr>
                <w:p w14:paraId="57820CD8">
                  <w:pPr>
                    <w:pStyle w:val="42"/>
                    <w:bidi w:val="0"/>
                    <w:jc w:val="center"/>
                    <w:rPr>
                      <w:rFonts w:hint="eastAsia" w:eastAsia="宋体"/>
                      <w:lang w:eastAsia="zh-CN"/>
                    </w:rPr>
                  </w:pPr>
                  <w:r>
                    <w:rPr>
                      <w:rFonts w:hint="eastAsia"/>
                      <w:lang w:eastAsia="zh-CN"/>
                    </w:rPr>
                    <w:t>是否符合</w:t>
                  </w:r>
                </w:p>
              </w:tc>
            </w:tr>
            <w:tr w14:paraId="67EF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0" w:type="auto"/>
                  <w:vMerge w:val="restart"/>
                  <w:vAlign w:val="center"/>
                </w:tcPr>
                <w:p w14:paraId="375FD95C">
                  <w:pPr>
                    <w:pStyle w:val="42"/>
                    <w:bidi w:val="0"/>
                  </w:pPr>
                  <w:r>
                    <w:rPr>
                      <w:rFonts w:hint="eastAsia"/>
                      <w:color w:val="auto"/>
                      <w:lang w:eastAsia="zh-CN"/>
                    </w:rPr>
                    <w:t>全州县</w:t>
                  </w:r>
                  <w:r>
                    <w:rPr>
                      <w:rFonts w:hint="eastAsia"/>
                      <w:color w:val="auto"/>
                    </w:rPr>
                    <w:t>城镇空间重点管控单元</w:t>
                  </w:r>
                </w:p>
              </w:tc>
              <w:tc>
                <w:tcPr>
                  <w:tcW w:w="0" w:type="auto"/>
                  <w:vMerge w:val="restart"/>
                  <w:vAlign w:val="center"/>
                </w:tcPr>
                <w:p w14:paraId="59016DBD">
                  <w:pPr>
                    <w:pStyle w:val="42"/>
                    <w:bidi w:val="0"/>
                    <w:rPr>
                      <w:rFonts w:hint="eastAsia" w:eastAsia="宋体"/>
                      <w:lang w:eastAsia="zh-CN"/>
                    </w:rPr>
                  </w:pPr>
                  <w:r>
                    <w:rPr>
                      <w:rFonts w:hint="eastAsia"/>
                      <w:lang w:eastAsia="zh-CN"/>
                    </w:rPr>
                    <w:t>重点管控单元</w:t>
                  </w:r>
                </w:p>
              </w:tc>
              <w:tc>
                <w:tcPr>
                  <w:tcW w:w="0" w:type="auto"/>
                  <w:vMerge w:val="restart"/>
                  <w:vAlign w:val="center"/>
                </w:tcPr>
                <w:p w14:paraId="4206BA9F">
                  <w:pPr>
                    <w:pStyle w:val="42"/>
                    <w:bidi w:val="0"/>
                    <w:jc w:val="center"/>
                  </w:pPr>
                  <w:r>
                    <w:rPr>
                      <w:rFonts w:hint="eastAsia"/>
                    </w:rPr>
                    <w:t>空间布局约束</w:t>
                  </w:r>
                </w:p>
              </w:tc>
              <w:tc>
                <w:tcPr>
                  <w:tcW w:w="0" w:type="auto"/>
                  <w:vAlign w:val="center"/>
                </w:tcPr>
                <w:p w14:paraId="4418C885">
                  <w:pPr>
                    <w:pStyle w:val="42"/>
                    <w:bidi w:val="0"/>
                    <w:jc w:val="both"/>
                  </w:pPr>
                  <w:r>
                    <w:rPr>
                      <w:rFonts w:hint="eastAsia"/>
                    </w:rPr>
                    <w:t>1.禁止新建、扩建煤电、石化、化工、现代煤化工、钢铁、焦化、有色金属冶炼、建材等高耗能、高排放项目</w:t>
                  </w:r>
                  <w:r>
                    <w:rPr>
                      <w:rFonts w:hint="eastAsia"/>
                      <w:lang w:eastAsia="zh-CN"/>
                    </w:rPr>
                    <w:t>：</w:t>
                  </w:r>
                  <w:r>
                    <w:rPr>
                      <w:rFonts w:hint="eastAsia"/>
                    </w:rPr>
                    <w:t>禁止新建、改建、扩建产生恶臭气体的项目。</w:t>
                  </w:r>
                </w:p>
              </w:tc>
              <w:tc>
                <w:tcPr>
                  <w:tcW w:w="0" w:type="auto"/>
                  <w:vAlign w:val="center"/>
                </w:tcPr>
                <w:p w14:paraId="0C520892">
                  <w:pPr>
                    <w:pStyle w:val="42"/>
                    <w:bidi w:val="0"/>
                    <w:rPr>
                      <w:rFonts w:hint="eastAsia" w:eastAsia="宋体"/>
                      <w:lang w:val="en-US" w:eastAsia="zh-CN"/>
                    </w:rPr>
                  </w:pPr>
                  <w:r>
                    <w:rPr>
                      <w:rFonts w:hint="eastAsia"/>
                      <w:lang w:eastAsia="zh-CN"/>
                    </w:rPr>
                    <w:t>本项目不涉及</w:t>
                  </w:r>
                  <w:r>
                    <w:rPr>
                      <w:rFonts w:hint="eastAsia"/>
                    </w:rPr>
                    <w:t>煤电、石化、化工、现代煤化工、钢铁、焦化、有色金属冶炼、建材等高耗能、高排放项目</w:t>
                  </w:r>
                  <w:r>
                    <w:rPr>
                      <w:rFonts w:hint="eastAsia"/>
                      <w:lang w:eastAsia="zh-CN"/>
                    </w:rPr>
                    <w:t>；本项目生产会产生</w:t>
                  </w:r>
                  <w:r>
                    <w:rPr>
                      <w:rFonts w:hint="eastAsia"/>
                    </w:rPr>
                    <w:t>恶臭气体</w:t>
                  </w:r>
                  <w:r>
                    <w:rPr>
                      <w:rFonts w:hint="eastAsia"/>
                      <w:lang w:eastAsia="zh-CN"/>
                    </w:rPr>
                    <w:t>，但本项目的占地正在进行管控单元调整，调整后的管控单元为</w:t>
                  </w:r>
                  <w:r>
                    <w:rPr>
                      <w:rFonts w:hint="eastAsia"/>
                    </w:rPr>
                    <w:t>全州县工业集中区重点管控单元</w:t>
                  </w:r>
                  <w:r>
                    <w:rPr>
                      <w:rFonts w:hint="eastAsia"/>
                      <w:lang w:eastAsia="zh-CN"/>
                    </w:rPr>
                    <w:t>，在管控单元调整完成前，本项目不得生产。</w:t>
                  </w:r>
                </w:p>
              </w:tc>
              <w:tc>
                <w:tcPr>
                  <w:tcW w:w="0" w:type="auto"/>
                  <w:vAlign w:val="center"/>
                </w:tcPr>
                <w:p w14:paraId="020C2134">
                  <w:pPr>
                    <w:pStyle w:val="42"/>
                    <w:bidi w:val="0"/>
                    <w:jc w:val="center"/>
                    <w:rPr>
                      <w:rFonts w:hint="eastAsia"/>
                    </w:rPr>
                  </w:pPr>
                  <w:r>
                    <w:rPr>
                      <w:rFonts w:hint="eastAsia"/>
                      <w:lang w:eastAsia="zh-CN"/>
                    </w:rPr>
                    <w:t>不</w:t>
                  </w:r>
                  <w:r>
                    <w:rPr>
                      <w:rFonts w:hint="eastAsia"/>
                    </w:rPr>
                    <w:t>符合</w:t>
                  </w:r>
                </w:p>
              </w:tc>
            </w:tr>
            <w:tr w14:paraId="22BA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0" w:type="auto"/>
                  <w:vMerge w:val="continue"/>
                  <w:vAlign w:val="center"/>
                </w:tcPr>
                <w:p w14:paraId="5F01C2AD">
                  <w:pPr>
                    <w:pStyle w:val="42"/>
                    <w:bidi w:val="0"/>
                    <w:ind w:firstLine="420" w:firstLineChars="200"/>
                    <w:jc w:val="both"/>
                  </w:pPr>
                </w:p>
              </w:tc>
              <w:tc>
                <w:tcPr>
                  <w:tcW w:w="0" w:type="auto"/>
                  <w:vMerge w:val="continue"/>
                  <w:vAlign w:val="center"/>
                </w:tcPr>
                <w:p w14:paraId="7B99DF8B">
                  <w:pPr>
                    <w:pStyle w:val="42"/>
                    <w:bidi w:val="0"/>
                    <w:ind w:firstLine="420" w:firstLineChars="200"/>
                    <w:jc w:val="both"/>
                  </w:pPr>
                </w:p>
              </w:tc>
              <w:tc>
                <w:tcPr>
                  <w:tcW w:w="0" w:type="auto"/>
                  <w:vMerge w:val="continue"/>
                  <w:vAlign w:val="center"/>
                </w:tcPr>
                <w:p w14:paraId="29A4CA47">
                  <w:pPr>
                    <w:pStyle w:val="42"/>
                    <w:bidi w:val="0"/>
                    <w:ind w:firstLine="420" w:firstLineChars="200"/>
                    <w:jc w:val="both"/>
                  </w:pPr>
                </w:p>
              </w:tc>
              <w:tc>
                <w:tcPr>
                  <w:tcW w:w="0" w:type="auto"/>
                  <w:vAlign w:val="center"/>
                </w:tcPr>
                <w:p w14:paraId="1F56ABBD">
                  <w:pPr>
                    <w:pStyle w:val="42"/>
                    <w:bidi w:val="0"/>
                    <w:jc w:val="both"/>
                    <w:rPr>
                      <w:rFonts w:hint="eastAsia"/>
                    </w:rPr>
                  </w:pPr>
                  <w:r>
                    <w:rPr>
                      <w:rFonts w:hint="eastAsia"/>
                    </w:rPr>
                    <w:t>2.在城市建成区内，禁止贮存、加工、制造或者使用产生恶臭气体的物质</w:t>
                  </w:r>
                  <w:r>
                    <w:rPr>
                      <w:rFonts w:hint="eastAsia"/>
                      <w:lang w:eastAsia="zh-CN"/>
                    </w:rPr>
                    <w:t>：</w:t>
                  </w:r>
                  <w:r>
                    <w:rPr>
                      <w:rFonts w:hint="eastAsia"/>
                    </w:rPr>
                    <w:t>公共服务设施垃圾转运站项目可按《生活垃圾转运站技术规范》(CJJ/T47-2016)实施。</w:t>
                  </w:r>
                </w:p>
              </w:tc>
              <w:tc>
                <w:tcPr>
                  <w:tcW w:w="0" w:type="auto"/>
                  <w:vAlign w:val="center"/>
                </w:tcPr>
                <w:p w14:paraId="2C734EA2">
                  <w:pPr>
                    <w:pStyle w:val="42"/>
                    <w:bidi w:val="0"/>
                    <w:jc w:val="both"/>
                    <w:rPr>
                      <w:rFonts w:hint="eastAsia" w:eastAsia="宋体"/>
                      <w:lang w:eastAsia="zh-CN"/>
                    </w:rPr>
                  </w:pPr>
                  <w:r>
                    <w:rPr>
                      <w:rFonts w:hint="eastAsia"/>
                      <w:lang w:eastAsia="zh-CN"/>
                    </w:rPr>
                    <w:t>本项目生产会产生</w:t>
                  </w:r>
                  <w:r>
                    <w:rPr>
                      <w:rFonts w:hint="eastAsia"/>
                    </w:rPr>
                    <w:t>恶臭气体</w:t>
                  </w:r>
                  <w:r>
                    <w:rPr>
                      <w:rFonts w:hint="eastAsia"/>
                      <w:lang w:eastAsia="zh-CN"/>
                    </w:rPr>
                    <w:t>，但本项目的占地正在进行管控单元调整，调整后的管控单元为</w:t>
                  </w:r>
                  <w:r>
                    <w:rPr>
                      <w:rFonts w:hint="eastAsia"/>
                    </w:rPr>
                    <w:t>全州县工业集中区重点管控单元</w:t>
                  </w:r>
                  <w:r>
                    <w:rPr>
                      <w:rFonts w:hint="eastAsia"/>
                      <w:lang w:eastAsia="zh-CN"/>
                    </w:rPr>
                    <w:t>，在管控单元调整完成前，本项目不得建设。</w:t>
                  </w:r>
                </w:p>
              </w:tc>
              <w:tc>
                <w:tcPr>
                  <w:tcW w:w="0" w:type="auto"/>
                  <w:vAlign w:val="center"/>
                </w:tcPr>
                <w:p w14:paraId="570F5541">
                  <w:pPr>
                    <w:pStyle w:val="42"/>
                    <w:bidi w:val="0"/>
                    <w:jc w:val="both"/>
                    <w:rPr>
                      <w:rFonts w:hint="eastAsia"/>
                    </w:rPr>
                  </w:pPr>
                  <w:r>
                    <w:rPr>
                      <w:rFonts w:hint="eastAsia"/>
                    </w:rPr>
                    <w:t>符合</w:t>
                  </w:r>
                </w:p>
              </w:tc>
            </w:tr>
            <w:tr w14:paraId="079E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0" w:type="auto"/>
                  <w:vMerge w:val="continue"/>
                  <w:vAlign w:val="center"/>
                </w:tcPr>
                <w:p w14:paraId="25EBD521">
                  <w:pPr>
                    <w:pStyle w:val="42"/>
                    <w:bidi w:val="0"/>
                    <w:ind w:firstLine="420" w:firstLineChars="200"/>
                    <w:jc w:val="both"/>
                    <w:rPr>
                      <w:rFonts w:hint="eastAsia"/>
                    </w:rPr>
                  </w:pPr>
                </w:p>
              </w:tc>
              <w:tc>
                <w:tcPr>
                  <w:tcW w:w="0" w:type="auto"/>
                  <w:vMerge w:val="continue"/>
                  <w:vAlign w:val="center"/>
                </w:tcPr>
                <w:p w14:paraId="7902E49C">
                  <w:pPr>
                    <w:pStyle w:val="42"/>
                    <w:bidi w:val="0"/>
                    <w:ind w:firstLine="420" w:firstLineChars="200"/>
                    <w:jc w:val="both"/>
                    <w:rPr>
                      <w:rFonts w:hint="eastAsia"/>
                    </w:rPr>
                  </w:pPr>
                </w:p>
              </w:tc>
              <w:tc>
                <w:tcPr>
                  <w:tcW w:w="0" w:type="auto"/>
                  <w:vMerge w:val="continue"/>
                  <w:vAlign w:val="center"/>
                </w:tcPr>
                <w:p w14:paraId="4BD35DD3">
                  <w:pPr>
                    <w:pStyle w:val="42"/>
                    <w:bidi w:val="0"/>
                    <w:ind w:firstLine="420" w:firstLineChars="200"/>
                    <w:jc w:val="both"/>
                    <w:rPr>
                      <w:rFonts w:hint="eastAsia"/>
                    </w:rPr>
                  </w:pPr>
                </w:p>
              </w:tc>
              <w:tc>
                <w:tcPr>
                  <w:tcW w:w="0" w:type="auto"/>
                  <w:vAlign w:val="center"/>
                </w:tcPr>
                <w:p w14:paraId="6109A509">
                  <w:pPr>
                    <w:pStyle w:val="42"/>
                    <w:bidi w:val="0"/>
                    <w:jc w:val="both"/>
                    <w:rPr>
                      <w:rFonts w:hint="eastAsia"/>
                    </w:rPr>
                  </w:pPr>
                  <w:r>
                    <w:rPr>
                      <w:rFonts w:hint="eastAsia"/>
                    </w:rPr>
                    <w:t>3.城市市区、镇和村庄居民区、文化教育科学研究区等人口集中区域禁止设置畜禽养殖场、养殖小区。</w:t>
                  </w:r>
                </w:p>
              </w:tc>
              <w:tc>
                <w:tcPr>
                  <w:tcW w:w="0" w:type="auto"/>
                  <w:vAlign w:val="center"/>
                </w:tcPr>
                <w:p w14:paraId="40C01672">
                  <w:pPr>
                    <w:pStyle w:val="42"/>
                    <w:bidi w:val="0"/>
                    <w:jc w:val="both"/>
                    <w:rPr>
                      <w:rFonts w:hint="eastAsia" w:eastAsia="宋体"/>
                      <w:lang w:eastAsia="zh-CN"/>
                    </w:rPr>
                  </w:pPr>
                  <w:r>
                    <w:rPr>
                      <w:rFonts w:hint="eastAsia"/>
                      <w:lang w:eastAsia="zh-CN"/>
                    </w:rPr>
                    <w:t>本项目不涉及</w:t>
                  </w:r>
                  <w:r>
                    <w:rPr>
                      <w:rFonts w:hint="eastAsia"/>
                    </w:rPr>
                    <w:t>畜禽养殖场、养殖小区</w:t>
                  </w:r>
                  <w:r>
                    <w:rPr>
                      <w:rFonts w:hint="eastAsia"/>
                      <w:lang w:eastAsia="zh-CN"/>
                    </w:rPr>
                    <w:t>。</w:t>
                  </w:r>
                </w:p>
              </w:tc>
              <w:tc>
                <w:tcPr>
                  <w:tcW w:w="0" w:type="auto"/>
                  <w:vAlign w:val="center"/>
                </w:tcPr>
                <w:p w14:paraId="41C21F67">
                  <w:pPr>
                    <w:pStyle w:val="42"/>
                    <w:bidi w:val="0"/>
                    <w:jc w:val="both"/>
                    <w:rPr>
                      <w:rFonts w:hint="eastAsia"/>
                    </w:rPr>
                  </w:pPr>
                  <w:r>
                    <w:rPr>
                      <w:rFonts w:hint="eastAsia"/>
                    </w:rPr>
                    <w:t>符合</w:t>
                  </w:r>
                </w:p>
              </w:tc>
            </w:tr>
            <w:tr w14:paraId="74AD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4" w:hRule="atLeast"/>
                <w:jc w:val="center"/>
              </w:trPr>
              <w:tc>
                <w:tcPr>
                  <w:tcW w:w="0" w:type="auto"/>
                  <w:vMerge w:val="continue"/>
                  <w:vAlign w:val="center"/>
                </w:tcPr>
                <w:p w14:paraId="58265F77">
                  <w:pPr>
                    <w:pStyle w:val="42"/>
                    <w:bidi w:val="0"/>
                    <w:ind w:firstLine="420" w:firstLineChars="200"/>
                    <w:jc w:val="both"/>
                    <w:rPr>
                      <w:rFonts w:hint="eastAsia"/>
                    </w:rPr>
                  </w:pPr>
                </w:p>
              </w:tc>
              <w:tc>
                <w:tcPr>
                  <w:tcW w:w="0" w:type="auto"/>
                  <w:vMerge w:val="continue"/>
                  <w:vAlign w:val="center"/>
                </w:tcPr>
                <w:p w14:paraId="7A6ABF6D">
                  <w:pPr>
                    <w:pStyle w:val="42"/>
                    <w:bidi w:val="0"/>
                    <w:ind w:firstLine="420" w:firstLineChars="200"/>
                    <w:jc w:val="both"/>
                    <w:rPr>
                      <w:rFonts w:hint="eastAsia"/>
                    </w:rPr>
                  </w:pPr>
                </w:p>
              </w:tc>
              <w:tc>
                <w:tcPr>
                  <w:tcW w:w="0" w:type="auto"/>
                  <w:vMerge w:val="continue"/>
                  <w:vAlign w:val="center"/>
                </w:tcPr>
                <w:p w14:paraId="38F15B03">
                  <w:pPr>
                    <w:pStyle w:val="42"/>
                    <w:bidi w:val="0"/>
                    <w:ind w:firstLine="420" w:firstLineChars="200"/>
                    <w:jc w:val="both"/>
                    <w:rPr>
                      <w:rFonts w:hint="eastAsia"/>
                    </w:rPr>
                  </w:pPr>
                </w:p>
              </w:tc>
              <w:tc>
                <w:tcPr>
                  <w:tcW w:w="0" w:type="auto"/>
                  <w:shd w:val="clear" w:color="auto" w:fill="auto"/>
                  <w:vAlign w:val="center"/>
                </w:tcPr>
                <w:p w14:paraId="7E99081F">
                  <w:pPr>
                    <w:pStyle w:val="42"/>
                    <w:bidi w:val="0"/>
                    <w:ind w:firstLine="0" w:firstLineChars="0"/>
                    <w:jc w:val="both"/>
                    <w:rPr>
                      <w:rFonts w:hint="eastAsia" w:ascii="Times New Roman" w:hAnsi="Times New Roman" w:eastAsia="宋体" w:cs="Times New Roman"/>
                      <w:kern w:val="2"/>
                      <w:sz w:val="21"/>
                      <w:szCs w:val="21"/>
                      <w:lang w:val="en-US" w:eastAsia="zh-CN" w:bidi="ar-SA"/>
                    </w:rPr>
                  </w:pPr>
                  <w:r>
                    <w:rPr>
                      <w:rFonts w:hint="eastAsia"/>
                    </w:rPr>
                    <w:t>4.规划产业园区应当依法依规进行审批。</w:t>
                  </w:r>
                </w:p>
              </w:tc>
              <w:tc>
                <w:tcPr>
                  <w:tcW w:w="0" w:type="auto"/>
                  <w:vAlign w:val="center"/>
                </w:tcPr>
                <w:p w14:paraId="6284441A">
                  <w:pPr>
                    <w:pStyle w:val="42"/>
                    <w:bidi w:val="0"/>
                    <w:jc w:val="both"/>
                    <w:rPr>
                      <w:rFonts w:hint="eastAsia" w:eastAsia="宋体"/>
                      <w:lang w:eastAsia="zh-CN"/>
                    </w:rPr>
                  </w:pPr>
                  <w:r>
                    <w:rPr>
                      <w:rFonts w:hint="eastAsia"/>
                    </w:rPr>
                    <w:t>项目位于桂林市全州县工业集中区城西片区，根据前文分析可知，项目符合国家、自治区产业政策及园区产业定位，符合园区规划环评结论及审查意见</w:t>
                  </w:r>
                  <w:r>
                    <w:rPr>
                      <w:rFonts w:hint="eastAsia"/>
                      <w:lang w:eastAsia="zh-CN"/>
                    </w:rPr>
                    <w:t>。</w:t>
                  </w:r>
                </w:p>
              </w:tc>
              <w:tc>
                <w:tcPr>
                  <w:tcW w:w="0" w:type="auto"/>
                  <w:vAlign w:val="center"/>
                </w:tcPr>
                <w:p w14:paraId="70E74EA3">
                  <w:pPr>
                    <w:pStyle w:val="42"/>
                    <w:bidi w:val="0"/>
                    <w:jc w:val="both"/>
                    <w:rPr>
                      <w:rFonts w:hint="eastAsia"/>
                    </w:rPr>
                  </w:pPr>
                  <w:r>
                    <w:rPr>
                      <w:rFonts w:hint="eastAsia"/>
                    </w:rPr>
                    <w:t>符合</w:t>
                  </w:r>
                </w:p>
              </w:tc>
            </w:tr>
            <w:tr w14:paraId="2455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vAlign w:val="center"/>
                </w:tcPr>
                <w:p w14:paraId="472E5D2E">
                  <w:pPr>
                    <w:pStyle w:val="42"/>
                    <w:bidi w:val="0"/>
                  </w:pPr>
                </w:p>
              </w:tc>
              <w:tc>
                <w:tcPr>
                  <w:tcW w:w="0" w:type="auto"/>
                  <w:vMerge w:val="continue"/>
                  <w:vAlign w:val="center"/>
                </w:tcPr>
                <w:p w14:paraId="58B52350">
                  <w:pPr>
                    <w:pStyle w:val="42"/>
                    <w:bidi w:val="0"/>
                    <w:rPr>
                      <w:rFonts w:hint="eastAsia"/>
                    </w:rPr>
                  </w:pPr>
                </w:p>
              </w:tc>
              <w:tc>
                <w:tcPr>
                  <w:tcW w:w="0" w:type="auto"/>
                  <w:vMerge w:val="restart"/>
                  <w:vAlign w:val="center"/>
                </w:tcPr>
                <w:p w14:paraId="765950E2">
                  <w:pPr>
                    <w:pStyle w:val="42"/>
                    <w:bidi w:val="0"/>
                    <w:jc w:val="both"/>
                  </w:pPr>
                  <w:r>
                    <w:rPr>
                      <w:rFonts w:hint="eastAsia"/>
                    </w:rPr>
                    <w:t>污染物排放管控</w:t>
                  </w:r>
                </w:p>
              </w:tc>
              <w:tc>
                <w:tcPr>
                  <w:tcW w:w="0" w:type="auto"/>
                  <w:vAlign w:val="center"/>
                </w:tcPr>
                <w:p w14:paraId="0397D0F9">
                  <w:pPr>
                    <w:pStyle w:val="42"/>
                    <w:bidi w:val="0"/>
                    <w:jc w:val="both"/>
                    <w:rPr>
                      <w:lang w:val="en-US" w:eastAsia="zh-CN"/>
                    </w:rPr>
                  </w:pPr>
                  <w:r>
                    <w:rPr>
                      <w:rFonts w:hint="eastAsia"/>
                    </w:rPr>
                    <w:t>1.加大淘汰35蒸吨/小时以下燃煤锅炉力度。依法依规加快淘汰老旧柴油货车。严格控制施工和道路扬尘污染。禁止露天焚烧产生有毒有害烟尘和恶臭气体的物质。</w:t>
                  </w:r>
                </w:p>
              </w:tc>
              <w:tc>
                <w:tcPr>
                  <w:tcW w:w="0" w:type="auto"/>
                  <w:vAlign w:val="center"/>
                </w:tcPr>
                <w:p w14:paraId="20AA0978">
                  <w:pPr>
                    <w:pStyle w:val="42"/>
                    <w:bidi w:val="0"/>
                    <w:jc w:val="both"/>
                    <w:rPr>
                      <w:rFonts w:hint="eastAsia" w:eastAsia="宋体"/>
                      <w:lang w:val="en-US" w:eastAsia="zh-CN"/>
                    </w:rPr>
                  </w:pPr>
                  <w:r>
                    <w:rPr>
                      <w:rFonts w:hint="eastAsia"/>
                      <w:lang w:val="en-US" w:eastAsia="zh-CN"/>
                    </w:rPr>
                    <w:t>本项目使用的锅炉为生物质蒸汽锅炉，不涉及</w:t>
                  </w:r>
                  <w:r>
                    <w:rPr>
                      <w:rFonts w:hint="eastAsia"/>
                    </w:rPr>
                    <w:t>燃煤锅炉</w:t>
                  </w:r>
                  <w:r>
                    <w:rPr>
                      <w:rFonts w:hint="eastAsia"/>
                      <w:lang w:eastAsia="zh-CN"/>
                    </w:rPr>
                    <w:t>，使用的货车为新车，厂区道路有洒水降尘，不涉及</w:t>
                  </w:r>
                  <w:r>
                    <w:rPr>
                      <w:rFonts w:hint="eastAsia"/>
                    </w:rPr>
                    <w:t>露天焚烧</w:t>
                  </w:r>
                  <w:r>
                    <w:rPr>
                      <w:rFonts w:hint="eastAsia"/>
                      <w:lang w:eastAsia="zh-CN"/>
                    </w:rPr>
                    <w:t>。</w:t>
                  </w:r>
                </w:p>
              </w:tc>
              <w:tc>
                <w:tcPr>
                  <w:tcW w:w="0" w:type="auto"/>
                  <w:vAlign w:val="center"/>
                </w:tcPr>
                <w:p w14:paraId="0EDCF4C9">
                  <w:pPr>
                    <w:pStyle w:val="42"/>
                    <w:bidi w:val="0"/>
                    <w:jc w:val="both"/>
                    <w:rPr>
                      <w:rFonts w:hint="eastAsia"/>
                      <w:lang w:eastAsia="zh-CN"/>
                    </w:rPr>
                  </w:pPr>
                  <w:r>
                    <w:rPr>
                      <w:rFonts w:hint="eastAsia"/>
                    </w:rPr>
                    <w:t>符合</w:t>
                  </w:r>
                </w:p>
              </w:tc>
            </w:tr>
            <w:tr w14:paraId="4CA5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vAlign w:val="center"/>
                </w:tcPr>
                <w:p w14:paraId="1CC8B1FD">
                  <w:pPr>
                    <w:pStyle w:val="42"/>
                    <w:bidi w:val="0"/>
                  </w:pPr>
                </w:p>
              </w:tc>
              <w:tc>
                <w:tcPr>
                  <w:tcW w:w="0" w:type="auto"/>
                  <w:vMerge w:val="continue"/>
                  <w:vAlign w:val="center"/>
                </w:tcPr>
                <w:p w14:paraId="7FF91595">
                  <w:pPr>
                    <w:pStyle w:val="42"/>
                    <w:bidi w:val="0"/>
                    <w:rPr>
                      <w:rFonts w:hint="eastAsia"/>
                    </w:rPr>
                  </w:pPr>
                </w:p>
              </w:tc>
              <w:tc>
                <w:tcPr>
                  <w:tcW w:w="0" w:type="auto"/>
                  <w:vMerge w:val="continue"/>
                  <w:vAlign w:val="center"/>
                </w:tcPr>
                <w:p w14:paraId="65B72944">
                  <w:pPr>
                    <w:pStyle w:val="42"/>
                    <w:bidi w:val="0"/>
                    <w:jc w:val="both"/>
                    <w:rPr>
                      <w:rFonts w:hint="eastAsia"/>
                    </w:rPr>
                  </w:pPr>
                </w:p>
              </w:tc>
              <w:tc>
                <w:tcPr>
                  <w:tcW w:w="0" w:type="auto"/>
                  <w:vAlign w:val="center"/>
                </w:tcPr>
                <w:p w14:paraId="2FD784C4">
                  <w:pPr>
                    <w:pStyle w:val="42"/>
                    <w:bidi w:val="0"/>
                    <w:jc w:val="both"/>
                    <w:rPr>
                      <w:rFonts w:hint="eastAsia"/>
                    </w:rPr>
                  </w:pPr>
                  <w:r>
                    <w:rPr>
                      <w:rFonts w:hint="eastAsia"/>
                    </w:rPr>
                    <w:t>2.在房屋建筑和市政工程中，全面推广使用低VOCs含量涂料和胶粘剂。</w:t>
                  </w:r>
                </w:p>
              </w:tc>
              <w:tc>
                <w:tcPr>
                  <w:tcW w:w="0" w:type="auto"/>
                  <w:vAlign w:val="center"/>
                </w:tcPr>
                <w:p w14:paraId="4780CB44">
                  <w:pPr>
                    <w:pStyle w:val="42"/>
                    <w:bidi w:val="0"/>
                    <w:jc w:val="center"/>
                    <w:rPr>
                      <w:rFonts w:hint="eastAsia" w:eastAsia="宋体"/>
                      <w:lang w:eastAsia="zh-CN"/>
                    </w:rPr>
                  </w:pPr>
                  <w:r>
                    <w:rPr>
                      <w:rFonts w:hint="eastAsia"/>
                      <w:lang w:val="en-US" w:eastAsia="zh-CN"/>
                    </w:rPr>
                    <w:t>本项目厂房建设使用的皆为</w:t>
                  </w:r>
                  <w:r>
                    <w:rPr>
                      <w:rFonts w:hint="eastAsia"/>
                    </w:rPr>
                    <w:t>低VOCs含量涂料和胶粘剂</w:t>
                  </w:r>
                  <w:r>
                    <w:rPr>
                      <w:rFonts w:hint="eastAsia"/>
                      <w:lang w:eastAsia="zh-CN"/>
                    </w:rPr>
                    <w:t>。</w:t>
                  </w:r>
                </w:p>
              </w:tc>
              <w:tc>
                <w:tcPr>
                  <w:tcW w:w="0" w:type="auto"/>
                  <w:vAlign w:val="center"/>
                </w:tcPr>
                <w:p w14:paraId="70199DA4">
                  <w:pPr>
                    <w:pStyle w:val="42"/>
                    <w:bidi w:val="0"/>
                    <w:jc w:val="both"/>
                    <w:rPr>
                      <w:rFonts w:hint="eastAsia"/>
                      <w:lang w:eastAsia="zh-CN"/>
                    </w:rPr>
                  </w:pPr>
                  <w:r>
                    <w:rPr>
                      <w:rFonts w:hint="eastAsia"/>
                    </w:rPr>
                    <w:t>符合</w:t>
                  </w:r>
                </w:p>
              </w:tc>
            </w:tr>
            <w:tr w14:paraId="2B87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vAlign w:val="center"/>
                </w:tcPr>
                <w:p w14:paraId="131F057C">
                  <w:pPr>
                    <w:pStyle w:val="42"/>
                    <w:bidi w:val="0"/>
                  </w:pPr>
                </w:p>
              </w:tc>
              <w:tc>
                <w:tcPr>
                  <w:tcW w:w="0" w:type="auto"/>
                  <w:vMerge w:val="continue"/>
                  <w:vAlign w:val="center"/>
                </w:tcPr>
                <w:p w14:paraId="5BF273B2">
                  <w:pPr>
                    <w:pStyle w:val="42"/>
                    <w:bidi w:val="0"/>
                    <w:rPr>
                      <w:rFonts w:hint="eastAsia"/>
                    </w:rPr>
                  </w:pPr>
                </w:p>
              </w:tc>
              <w:tc>
                <w:tcPr>
                  <w:tcW w:w="0" w:type="auto"/>
                  <w:vMerge w:val="continue"/>
                  <w:vAlign w:val="center"/>
                </w:tcPr>
                <w:p w14:paraId="7D087BDF">
                  <w:pPr>
                    <w:pStyle w:val="42"/>
                    <w:bidi w:val="0"/>
                    <w:jc w:val="both"/>
                    <w:rPr>
                      <w:rFonts w:hint="eastAsia"/>
                    </w:rPr>
                  </w:pPr>
                </w:p>
              </w:tc>
              <w:tc>
                <w:tcPr>
                  <w:tcW w:w="0" w:type="auto"/>
                  <w:vAlign w:val="center"/>
                </w:tcPr>
                <w:p w14:paraId="7C5BDD24">
                  <w:pPr>
                    <w:pStyle w:val="42"/>
                    <w:bidi w:val="0"/>
                    <w:jc w:val="both"/>
                    <w:rPr>
                      <w:rFonts w:hint="eastAsia"/>
                    </w:rPr>
                  </w:pPr>
                  <w:r>
                    <w:rPr>
                      <w:rFonts w:hint="eastAsia"/>
                    </w:rPr>
                    <w:t>3.推进新区、新城、污水直排、污水处理厂超负荷运行等区域生活污水处理设施建设，提高城镇污水处理能力和效能，确保出水水质达标排放，水环境敏感地区污水处理设施排放标准基本达到一级A标准。</w:t>
                  </w:r>
                </w:p>
              </w:tc>
              <w:tc>
                <w:tcPr>
                  <w:tcW w:w="0" w:type="auto"/>
                  <w:vAlign w:val="center"/>
                </w:tcPr>
                <w:p w14:paraId="2856C722">
                  <w:pPr>
                    <w:pStyle w:val="42"/>
                    <w:bidi w:val="0"/>
                    <w:jc w:val="both"/>
                    <w:rPr>
                      <w:rFonts w:hint="eastAsia"/>
                      <w:lang w:eastAsia="zh-CN"/>
                    </w:rPr>
                  </w:pPr>
                  <w:r>
                    <w:rPr>
                      <w:rFonts w:hint="eastAsia"/>
                      <w:lang w:eastAsia="zh-CN"/>
                    </w:rPr>
                    <w:t>本项目实施雨污分流，无废水外排。</w:t>
                  </w:r>
                </w:p>
              </w:tc>
              <w:tc>
                <w:tcPr>
                  <w:tcW w:w="0" w:type="auto"/>
                  <w:vAlign w:val="center"/>
                </w:tcPr>
                <w:p w14:paraId="0BEB3FBD">
                  <w:pPr>
                    <w:pStyle w:val="42"/>
                    <w:bidi w:val="0"/>
                    <w:jc w:val="both"/>
                    <w:rPr>
                      <w:rFonts w:hint="eastAsia"/>
                      <w:lang w:eastAsia="zh-CN"/>
                    </w:rPr>
                  </w:pPr>
                  <w:r>
                    <w:rPr>
                      <w:rFonts w:hint="eastAsia"/>
                    </w:rPr>
                    <w:t>符合</w:t>
                  </w:r>
                </w:p>
              </w:tc>
            </w:tr>
            <w:tr w14:paraId="5D02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3" w:hRule="atLeast"/>
                <w:jc w:val="center"/>
              </w:trPr>
              <w:tc>
                <w:tcPr>
                  <w:tcW w:w="0" w:type="auto"/>
                  <w:vMerge w:val="continue"/>
                  <w:vAlign w:val="center"/>
                </w:tcPr>
                <w:p w14:paraId="3C68B7FE">
                  <w:pPr>
                    <w:pStyle w:val="42"/>
                    <w:bidi w:val="0"/>
                  </w:pPr>
                </w:p>
              </w:tc>
              <w:tc>
                <w:tcPr>
                  <w:tcW w:w="0" w:type="auto"/>
                  <w:vMerge w:val="continue"/>
                  <w:vAlign w:val="center"/>
                </w:tcPr>
                <w:p w14:paraId="6F9C76D0">
                  <w:pPr>
                    <w:pStyle w:val="42"/>
                    <w:bidi w:val="0"/>
                    <w:rPr>
                      <w:rFonts w:hint="eastAsia"/>
                    </w:rPr>
                  </w:pPr>
                </w:p>
              </w:tc>
              <w:tc>
                <w:tcPr>
                  <w:tcW w:w="0" w:type="auto"/>
                  <w:vMerge w:val="continue"/>
                  <w:vAlign w:val="center"/>
                </w:tcPr>
                <w:p w14:paraId="38CB6405">
                  <w:pPr>
                    <w:pStyle w:val="42"/>
                    <w:bidi w:val="0"/>
                    <w:jc w:val="both"/>
                    <w:rPr>
                      <w:rFonts w:hint="eastAsia"/>
                    </w:rPr>
                  </w:pPr>
                </w:p>
              </w:tc>
              <w:tc>
                <w:tcPr>
                  <w:tcW w:w="0" w:type="auto"/>
                  <w:vAlign w:val="center"/>
                </w:tcPr>
                <w:p w14:paraId="1AEA8436">
                  <w:pPr>
                    <w:pStyle w:val="42"/>
                    <w:bidi w:val="0"/>
                    <w:jc w:val="both"/>
                    <w:rPr>
                      <w:rFonts w:hint="eastAsia"/>
                    </w:rPr>
                  </w:pPr>
                  <w:r>
                    <w:rPr>
                      <w:rFonts w:hint="eastAsia"/>
                    </w:rPr>
                    <w:t>4.城镇新区建设同步建设雨水收集利用和污水处理设施。城中村、老旧城区和城乡结合部应当推行污水截流、收集，对现有合流制排水系统逐步实施雨污分流改造;难以改造的，采取截流、调蓄和治理等污染防治措施。</w:t>
                  </w:r>
                </w:p>
              </w:tc>
              <w:tc>
                <w:tcPr>
                  <w:tcW w:w="0" w:type="auto"/>
                  <w:vAlign w:val="center"/>
                </w:tcPr>
                <w:p w14:paraId="1CB12D12">
                  <w:pPr>
                    <w:pStyle w:val="42"/>
                    <w:bidi w:val="0"/>
                    <w:jc w:val="both"/>
                    <w:rPr>
                      <w:rFonts w:hint="eastAsia"/>
                      <w:lang w:eastAsia="zh-CN"/>
                    </w:rPr>
                  </w:pPr>
                  <w:r>
                    <w:rPr>
                      <w:rFonts w:hint="eastAsia"/>
                      <w:lang w:eastAsia="zh-CN"/>
                    </w:rPr>
                    <w:t>本项目实施雨污分流，无废水外排。</w:t>
                  </w:r>
                </w:p>
              </w:tc>
              <w:tc>
                <w:tcPr>
                  <w:tcW w:w="0" w:type="auto"/>
                  <w:vAlign w:val="center"/>
                </w:tcPr>
                <w:p w14:paraId="3954AC0A">
                  <w:pPr>
                    <w:pStyle w:val="42"/>
                    <w:bidi w:val="0"/>
                    <w:jc w:val="both"/>
                    <w:rPr>
                      <w:rFonts w:hint="eastAsia"/>
                      <w:lang w:eastAsia="zh-CN"/>
                    </w:rPr>
                  </w:pPr>
                  <w:r>
                    <w:rPr>
                      <w:rFonts w:hint="eastAsia"/>
                    </w:rPr>
                    <w:t>符合</w:t>
                  </w:r>
                </w:p>
              </w:tc>
            </w:tr>
            <w:tr w14:paraId="2E0B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vAlign w:val="center"/>
                </w:tcPr>
                <w:p w14:paraId="1E3CF136">
                  <w:pPr>
                    <w:pStyle w:val="42"/>
                    <w:bidi w:val="0"/>
                  </w:pPr>
                </w:p>
              </w:tc>
              <w:tc>
                <w:tcPr>
                  <w:tcW w:w="0" w:type="auto"/>
                  <w:vMerge w:val="continue"/>
                  <w:vAlign w:val="center"/>
                </w:tcPr>
                <w:p w14:paraId="69FBD058">
                  <w:pPr>
                    <w:pStyle w:val="42"/>
                    <w:bidi w:val="0"/>
                    <w:rPr>
                      <w:rFonts w:hint="eastAsia"/>
                    </w:rPr>
                  </w:pPr>
                </w:p>
              </w:tc>
              <w:tc>
                <w:tcPr>
                  <w:tcW w:w="0" w:type="auto"/>
                  <w:vMerge w:val="restart"/>
                  <w:vAlign w:val="center"/>
                </w:tcPr>
                <w:p w14:paraId="4A1234E7">
                  <w:pPr>
                    <w:pStyle w:val="42"/>
                    <w:bidi w:val="0"/>
                    <w:jc w:val="both"/>
                  </w:pPr>
                  <w:r>
                    <w:rPr>
                      <w:rFonts w:hint="eastAsia"/>
                    </w:rPr>
                    <w:t>环境风险防控</w:t>
                  </w:r>
                </w:p>
              </w:tc>
              <w:tc>
                <w:tcPr>
                  <w:tcW w:w="0" w:type="auto"/>
                  <w:vAlign w:val="center"/>
                </w:tcPr>
                <w:p w14:paraId="49E09988">
                  <w:pPr>
                    <w:pStyle w:val="42"/>
                    <w:bidi w:val="0"/>
                    <w:jc w:val="both"/>
                    <w:rPr>
                      <w:rFonts w:hint="eastAsia" w:eastAsia="宋体"/>
                      <w:lang w:eastAsia="zh-CN"/>
                    </w:rPr>
                  </w:pPr>
                  <w:r>
                    <w:rPr>
                      <w:rFonts w:hint="eastAsia"/>
                    </w:rPr>
                    <w:t>1.土壤污染监管重点单位应当严格控制有毒有害物质排放，并按年度向生态环境主管部门报告排放情况;建立土壤污染隐患排查制度，保证持续有效防止有毒有害物质渗漏、流失、扬散;制定、实施自行监测方案，并将监测数据报生态环境主管部门。</w:t>
                  </w:r>
                </w:p>
              </w:tc>
              <w:tc>
                <w:tcPr>
                  <w:tcW w:w="0" w:type="auto"/>
                  <w:vAlign w:val="center"/>
                </w:tcPr>
                <w:p w14:paraId="040C2BDE">
                  <w:pPr>
                    <w:pStyle w:val="42"/>
                    <w:bidi w:val="0"/>
                    <w:jc w:val="both"/>
                    <w:rPr>
                      <w:rFonts w:hint="eastAsia" w:eastAsia="宋体"/>
                      <w:lang w:eastAsia="zh-CN"/>
                    </w:rPr>
                  </w:pPr>
                  <w:r>
                    <w:rPr>
                      <w:rFonts w:hint="eastAsia"/>
                      <w:lang w:eastAsia="zh-CN"/>
                    </w:rPr>
                    <w:t>本项目不涉及有毒有害物质。</w:t>
                  </w:r>
                </w:p>
              </w:tc>
              <w:tc>
                <w:tcPr>
                  <w:tcW w:w="0" w:type="auto"/>
                  <w:vAlign w:val="center"/>
                </w:tcPr>
                <w:p w14:paraId="6F2E8616">
                  <w:pPr>
                    <w:pStyle w:val="42"/>
                    <w:bidi w:val="0"/>
                    <w:jc w:val="both"/>
                    <w:rPr>
                      <w:rFonts w:hint="eastAsia"/>
                    </w:rPr>
                  </w:pPr>
                  <w:r>
                    <w:rPr>
                      <w:rFonts w:hint="eastAsia"/>
                      <w:lang w:eastAsia="zh-CN"/>
                    </w:rPr>
                    <w:t>符合</w:t>
                  </w:r>
                </w:p>
              </w:tc>
            </w:tr>
            <w:tr w14:paraId="5191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vAlign w:val="center"/>
                </w:tcPr>
                <w:p w14:paraId="279E8FF4">
                  <w:pPr>
                    <w:pStyle w:val="42"/>
                    <w:bidi w:val="0"/>
                  </w:pPr>
                </w:p>
              </w:tc>
              <w:tc>
                <w:tcPr>
                  <w:tcW w:w="0" w:type="auto"/>
                  <w:vMerge w:val="continue"/>
                  <w:vAlign w:val="center"/>
                </w:tcPr>
                <w:p w14:paraId="59474687">
                  <w:pPr>
                    <w:pStyle w:val="42"/>
                    <w:bidi w:val="0"/>
                    <w:rPr>
                      <w:rFonts w:hint="eastAsia"/>
                    </w:rPr>
                  </w:pPr>
                </w:p>
              </w:tc>
              <w:tc>
                <w:tcPr>
                  <w:tcW w:w="0" w:type="auto"/>
                  <w:vMerge w:val="continue"/>
                  <w:vAlign w:val="center"/>
                </w:tcPr>
                <w:p w14:paraId="12085C4C">
                  <w:pPr>
                    <w:pStyle w:val="42"/>
                    <w:bidi w:val="0"/>
                    <w:jc w:val="both"/>
                    <w:rPr>
                      <w:rFonts w:hint="eastAsia"/>
                    </w:rPr>
                  </w:pPr>
                </w:p>
              </w:tc>
              <w:tc>
                <w:tcPr>
                  <w:tcW w:w="0" w:type="auto"/>
                  <w:vAlign w:val="center"/>
                </w:tcPr>
                <w:p w14:paraId="7CD2F952">
                  <w:pPr>
                    <w:pStyle w:val="42"/>
                    <w:bidi w:val="0"/>
                    <w:jc w:val="both"/>
                    <w:rPr>
                      <w:rFonts w:hint="eastAsia"/>
                    </w:rPr>
                  </w:pPr>
                  <w:r>
                    <w:rPr>
                      <w:rFonts w:hint="eastAsia"/>
                    </w:rPr>
                    <w:t>2.涉重金属重点行业企业应当采用新技术、新工艺，加快提标升级改造，坚决淘汰不符合国家产业政策的落后生产工艺装备，执行重点重金属污染物排放总量控制制度，依法实施强制性清洁生产审核，减少重点重金属污染物排放。</w:t>
                  </w:r>
                </w:p>
              </w:tc>
              <w:tc>
                <w:tcPr>
                  <w:tcW w:w="0" w:type="auto"/>
                  <w:vAlign w:val="center"/>
                </w:tcPr>
                <w:p w14:paraId="7D1418C9">
                  <w:pPr>
                    <w:pStyle w:val="42"/>
                    <w:bidi w:val="0"/>
                    <w:jc w:val="both"/>
                    <w:rPr>
                      <w:rFonts w:hint="eastAsia" w:eastAsia="宋体"/>
                      <w:lang w:eastAsia="zh-CN"/>
                    </w:rPr>
                  </w:pPr>
                  <w:r>
                    <w:rPr>
                      <w:rFonts w:hint="eastAsia"/>
                      <w:lang w:eastAsia="zh-CN"/>
                    </w:rPr>
                    <w:t>本项目不涉及</w:t>
                  </w:r>
                  <w:r>
                    <w:rPr>
                      <w:rFonts w:hint="eastAsia"/>
                    </w:rPr>
                    <w:t>重金属重点行业</w:t>
                  </w:r>
                  <w:r>
                    <w:rPr>
                      <w:rFonts w:hint="eastAsia"/>
                      <w:lang w:eastAsia="zh-CN"/>
                    </w:rPr>
                    <w:t>。</w:t>
                  </w:r>
                </w:p>
              </w:tc>
              <w:tc>
                <w:tcPr>
                  <w:tcW w:w="0" w:type="auto"/>
                  <w:vAlign w:val="center"/>
                </w:tcPr>
                <w:p w14:paraId="2682F3DD">
                  <w:pPr>
                    <w:pStyle w:val="42"/>
                    <w:bidi w:val="0"/>
                    <w:jc w:val="both"/>
                    <w:rPr>
                      <w:rFonts w:hint="eastAsia"/>
                      <w:lang w:eastAsia="zh-CN"/>
                    </w:rPr>
                  </w:pPr>
                  <w:r>
                    <w:rPr>
                      <w:rFonts w:hint="eastAsia"/>
                      <w:lang w:eastAsia="zh-CN"/>
                    </w:rPr>
                    <w:t>符合</w:t>
                  </w:r>
                </w:p>
              </w:tc>
            </w:tr>
            <w:tr w14:paraId="26EA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vAlign w:val="center"/>
                </w:tcPr>
                <w:p w14:paraId="21B5B8F4">
                  <w:pPr>
                    <w:pStyle w:val="42"/>
                    <w:bidi w:val="0"/>
                  </w:pPr>
                </w:p>
              </w:tc>
              <w:tc>
                <w:tcPr>
                  <w:tcW w:w="0" w:type="auto"/>
                  <w:vMerge w:val="continue"/>
                  <w:vAlign w:val="center"/>
                </w:tcPr>
                <w:p w14:paraId="03F67318">
                  <w:pPr>
                    <w:pStyle w:val="42"/>
                    <w:bidi w:val="0"/>
                    <w:rPr>
                      <w:rFonts w:hint="eastAsia"/>
                    </w:rPr>
                  </w:pPr>
                </w:p>
              </w:tc>
              <w:tc>
                <w:tcPr>
                  <w:tcW w:w="0" w:type="auto"/>
                  <w:vMerge w:val="continue"/>
                  <w:vAlign w:val="center"/>
                </w:tcPr>
                <w:p w14:paraId="43DF428C">
                  <w:pPr>
                    <w:pStyle w:val="42"/>
                    <w:bidi w:val="0"/>
                    <w:jc w:val="both"/>
                    <w:rPr>
                      <w:rFonts w:hint="eastAsia"/>
                    </w:rPr>
                  </w:pPr>
                </w:p>
              </w:tc>
              <w:tc>
                <w:tcPr>
                  <w:tcW w:w="0" w:type="auto"/>
                  <w:vAlign w:val="center"/>
                </w:tcPr>
                <w:p w14:paraId="62899491">
                  <w:pPr>
                    <w:pStyle w:val="42"/>
                    <w:bidi w:val="0"/>
                    <w:jc w:val="both"/>
                    <w:rPr>
                      <w:rFonts w:hint="eastAsia"/>
                    </w:rPr>
                  </w:pPr>
                  <w:r>
                    <w:rPr>
                      <w:rFonts w:hint="eastAsia"/>
                    </w:rPr>
                    <w:t>3.严格新建、改建、扩建生产有毒有害化学品项目的审批。实施有毒有害物质全过程监管。强化环境应急队伍建设和物资储备。</w:t>
                  </w:r>
                </w:p>
              </w:tc>
              <w:tc>
                <w:tcPr>
                  <w:tcW w:w="0" w:type="auto"/>
                  <w:vAlign w:val="center"/>
                </w:tcPr>
                <w:p w14:paraId="52CC8F1D">
                  <w:pPr>
                    <w:pStyle w:val="42"/>
                    <w:bidi w:val="0"/>
                    <w:jc w:val="both"/>
                    <w:rPr>
                      <w:rFonts w:hint="eastAsia" w:eastAsia="宋体"/>
                      <w:lang w:eastAsia="zh-CN"/>
                    </w:rPr>
                  </w:pPr>
                  <w:r>
                    <w:rPr>
                      <w:rFonts w:hint="eastAsia"/>
                      <w:lang w:eastAsia="zh-CN"/>
                    </w:rPr>
                    <w:t>本项目不涉及</w:t>
                  </w:r>
                  <w:r>
                    <w:rPr>
                      <w:rFonts w:hint="eastAsia"/>
                    </w:rPr>
                    <w:t>有毒有害化学品</w:t>
                  </w:r>
                  <w:r>
                    <w:rPr>
                      <w:rFonts w:hint="eastAsia"/>
                      <w:lang w:eastAsia="zh-CN"/>
                    </w:rPr>
                    <w:t>。</w:t>
                  </w:r>
                </w:p>
              </w:tc>
              <w:tc>
                <w:tcPr>
                  <w:tcW w:w="0" w:type="auto"/>
                  <w:vAlign w:val="center"/>
                </w:tcPr>
                <w:p w14:paraId="47F9F9DB">
                  <w:pPr>
                    <w:pStyle w:val="42"/>
                    <w:bidi w:val="0"/>
                    <w:jc w:val="both"/>
                    <w:rPr>
                      <w:rFonts w:hint="eastAsia"/>
                      <w:lang w:eastAsia="zh-CN"/>
                    </w:rPr>
                  </w:pPr>
                  <w:r>
                    <w:rPr>
                      <w:rFonts w:hint="eastAsia"/>
                      <w:lang w:eastAsia="zh-CN"/>
                    </w:rPr>
                    <w:t>符合</w:t>
                  </w:r>
                </w:p>
              </w:tc>
            </w:tr>
          </w:tbl>
          <w:p w14:paraId="60A015C7">
            <w:pPr>
              <w:bidi w:val="0"/>
              <w:rPr>
                <w:rFonts w:hint="eastAsia"/>
                <w:color w:val="auto"/>
                <w:u w:val="single"/>
              </w:rPr>
            </w:pPr>
            <w:r>
              <w:rPr>
                <w:rFonts w:hint="eastAsia"/>
              </w:rPr>
              <w:t>根据</w:t>
            </w:r>
            <w:r>
              <w:fldChar w:fldCharType="begin"/>
            </w:r>
            <w:r>
              <w:instrText xml:space="preserve"> </w:instrText>
            </w:r>
            <w:r>
              <w:rPr>
                <w:rFonts w:hint="eastAsia"/>
              </w:rPr>
              <w:instrText xml:space="preserve">REF _Ref157255044 \r \h</w:instrText>
            </w:r>
            <w:r>
              <w:instrText xml:space="preserve"> </w:instrText>
            </w:r>
            <w:r>
              <w:fldChar w:fldCharType="separate"/>
            </w:r>
            <w:r>
              <w:rPr>
                <w:rFonts w:hint="eastAsia"/>
              </w:rPr>
              <w:t>表1-2</w:t>
            </w:r>
            <w:r>
              <w:fldChar w:fldCharType="end"/>
            </w:r>
            <w:r>
              <w:rPr>
                <w:rFonts w:hint="eastAsia"/>
              </w:rPr>
              <w:t>、</w:t>
            </w:r>
            <w:r>
              <w:fldChar w:fldCharType="begin"/>
            </w:r>
            <w:r>
              <w:instrText xml:space="preserve"> </w:instrText>
            </w:r>
            <w:r>
              <w:rPr>
                <w:rFonts w:hint="eastAsia"/>
              </w:rPr>
              <w:instrText xml:space="preserve">REF _Ref157255049 \r \h</w:instrText>
            </w:r>
            <w:r>
              <w:instrText xml:space="preserve"> </w:instrText>
            </w:r>
            <w:r>
              <w:fldChar w:fldCharType="separate"/>
            </w:r>
            <w:r>
              <w:rPr>
                <w:rFonts w:hint="eastAsia"/>
              </w:rPr>
              <w:t>表1-3</w:t>
            </w:r>
            <w:r>
              <w:fldChar w:fldCharType="end"/>
            </w:r>
            <w:r>
              <w:rPr>
                <w:rFonts w:hint="eastAsia"/>
                <w:lang w:eastAsia="zh-CN"/>
              </w:rPr>
              <w:t>、</w:t>
            </w:r>
            <w:r>
              <w:fldChar w:fldCharType="begin"/>
            </w:r>
            <w:r>
              <w:instrText xml:space="preserve"> </w:instrText>
            </w:r>
            <w:r>
              <w:rPr>
                <w:rFonts w:hint="eastAsia"/>
              </w:rPr>
              <w:instrText xml:space="preserve">REF _Ref157255049 \r \h</w:instrText>
            </w:r>
            <w:r>
              <w:instrText xml:space="preserve"> </w:instrText>
            </w:r>
            <w:r>
              <w:fldChar w:fldCharType="separate"/>
            </w:r>
            <w:r>
              <w:rPr>
                <w:rFonts w:hint="eastAsia"/>
              </w:rPr>
              <w:t>表1-</w:t>
            </w:r>
            <w:r>
              <w:rPr>
                <w:rFonts w:hint="eastAsia"/>
                <w:lang w:val="en-US" w:eastAsia="zh-CN"/>
              </w:rPr>
              <w:t>4</w:t>
            </w:r>
            <w:r>
              <w:fldChar w:fldCharType="end"/>
            </w:r>
            <w:r>
              <w:rPr>
                <w:rFonts w:hint="eastAsia"/>
                <w:lang w:eastAsia="zh-CN"/>
              </w:rPr>
              <w:t>、</w:t>
            </w:r>
            <w:r>
              <w:fldChar w:fldCharType="begin"/>
            </w:r>
            <w:r>
              <w:instrText xml:space="preserve"> </w:instrText>
            </w:r>
            <w:r>
              <w:rPr>
                <w:rFonts w:hint="eastAsia"/>
              </w:rPr>
              <w:instrText xml:space="preserve">REF _Ref157255049 \r \h</w:instrText>
            </w:r>
            <w:r>
              <w:instrText xml:space="preserve"> </w:instrText>
            </w:r>
            <w:r>
              <w:fldChar w:fldCharType="separate"/>
            </w:r>
            <w:r>
              <w:rPr>
                <w:rFonts w:hint="eastAsia"/>
              </w:rPr>
              <w:t>表1-</w:t>
            </w:r>
            <w:r>
              <w:rPr>
                <w:rFonts w:hint="eastAsia"/>
                <w:lang w:val="en-US" w:eastAsia="zh-CN"/>
              </w:rPr>
              <w:t>5</w:t>
            </w:r>
            <w:r>
              <w:fldChar w:fldCharType="end"/>
            </w:r>
            <w:r>
              <w:rPr>
                <w:rFonts w:hint="eastAsia"/>
                <w:u w:val="single"/>
              </w:rPr>
              <w:t>本项目</w:t>
            </w:r>
            <w:r>
              <w:rPr>
                <w:rFonts w:hint="eastAsia"/>
                <w:u w:val="single"/>
                <w:lang w:eastAsia="zh-CN"/>
              </w:rPr>
              <w:t>占地管控单元类型调整为</w:t>
            </w:r>
            <w:r>
              <w:rPr>
                <w:rFonts w:hint="eastAsia"/>
                <w:u w:val="single"/>
              </w:rPr>
              <w:t>全州县工业集中区重点管控单元</w:t>
            </w:r>
            <w:r>
              <w:rPr>
                <w:rFonts w:hint="eastAsia"/>
                <w:u w:val="single"/>
                <w:lang w:eastAsia="zh-CN"/>
              </w:rPr>
              <w:t>后</w:t>
            </w:r>
            <w:r>
              <w:rPr>
                <w:rFonts w:hint="eastAsia"/>
                <w:color w:val="auto"/>
                <w:u w:val="single"/>
              </w:rPr>
              <w:t>符合</w:t>
            </w:r>
            <w:r>
              <w:rPr>
                <w:rFonts w:hint="eastAsia"/>
                <w:color w:val="auto"/>
                <w:u w:val="single"/>
                <w:lang w:val="en-US" w:eastAsia="zh-CN"/>
              </w:rPr>
              <w:t>桂林</w:t>
            </w:r>
            <w:r>
              <w:rPr>
                <w:rFonts w:hint="eastAsia"/>
                <w:color w:val="auto"/>
                <w:u w:val="single"/>
              </w:rPr>
              <w:t>市生态环境准入及管控要求</w:t>
            </w:r>
            <w:r>
              <w:rPr>
                <w:rFonts w:hint="eastAsia"/>
                <w:color w:val="auto"/>
                <w:u w:val="single"/>
                <w:lang w:eastAsia="zh-CN"/>
              </w:rPr>
              <w:t>，因此调整前不得生产</w:t>
            </w:r>
            <w:r>
              <w:rPr>
                <w:rFonts w:hint="eastAsia"/>
                <w:color w:val="auto"/>
                <w:u w:val="single"/>
              </w:rPr>
              <w:t>。</w:t>
            </w:r>
          </w:p>
          <w:p w14:paraId="610E1F1E">
            <w:pPr>
              <w:pStyle w:val="4"/>
              <w:numPr>
                <w:ilvl w:val="1"/>
                <w:numId w:val="0"/>
              </w:numPr>
              <w:bidi w:val="0"/>
              <w:ind w:leftChars="0"/>
              <w:rPr>
                <w:rFonts w:hint="eastAsia"/>
                <w:lang w:val="en-US" w:eastAsia="zh-CN"/>
              </w:rPr>
            </w:pPr>
            <w:r>
              <w:rPr>
                <w:rFonts w:hint="eastAsia"/>
                <w:lang w:val="en-US" w:eastAsia="zh-CN"/>
              </w:rPr>
              <w:t>1.3、与《全州县畜禽养殖污染防治规划》相符性分析</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5416"/>
              <w:gridCol w:w="1563"/>
            </w:tblGrid>
            <w:tr w14:paraId="6413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07555C9">
                  <w:pPr>
                    <w:pStyle w:val="42"/>
                    <w:bidi w:val="0"/>
                    <w:jc w:val="center"/>
                    <w:rPr>
                      <w:rFonts w:hint="eastAsia"/>
                      <w:u w:val="single"/>
                      <w:lang w:val="en-US" w:eastAsia="zh-CN"/>
                    </w:rPr>
                  </w:pPr>
                  <w:r>
                    <w:rPr>
                      <w:rFonts w:hint="eastAsia"/>
                      <w:u w:val="single"/>
                      <w:lang w:val="en-US" w:eastAsia="zh-CN"/>
                    </w:rPr>
                    <w:t>污染防治目标和计划</w:t>
                  </w:r>
                </w:p>
              </w:tc>
              <w:tc>
                <w:tcPr>
                  <w:tcW w:w="0" w:type="auto"/>
                  <w:vAlign w:val="center"/>
                </w:tcPr>
                <w:p w14:paraId="79F77AF0">
                  <w:pPr>
                    <w:pStyle w:val="42"/>
                    <w:bidi w:val="0"/>
                    <w:jc w:val="center"/>
                    <w:rPr>
                      <w:u w:val="single"/>
                      <w:lang w:val="en-US" w:eastAsia="zh-CN"/>
                    </w:rPr>
                  </w:pPr>
                  <w:r>
                    <w:rPr>
                      <w:rFonts w:hint="eastAsia"/>
                      <w:u w:val="single"/>
                      <w:lang w:val="en-US" w:eastAsia="zh-CN"/>
                    </w:rPr>
                    <w:t>内容</w:t>
                  </w:r>
                </w:p>
              </w:tc>
              <w:tc>
                <w:tcPr>
                  <w:tcW w:w="0" w:type="auto"/>
                  <w:vAlign w:val="center"/>
                </w:tcPr>
                <w:p w14:paraId="740FEE3D">
                  <w:pPr>
                    <w:pStyle w:val="42"/>
                    <w:bidi w:val="0"/>
                    <w:jc w:val="center"/>
                    <w:rPr>
                      <w:rFonts w:hint="default"/>
                      <w:u w:val="single"/>
                      <w:lang w:val="en-US" w:eastAsia="zh-CN"/>
                    </w:rPr>
                  </w:pPr>
                  <w:r>
                    <w:rPr>
                      <w:rFonts w:hint="eastAsia"/>
                      <w:u w:val="single"/>
                      <w:lang w:val="en-US" w:eastAsia="zh-CN"/>
                    </w:rPr>
                    <w:t>相符性分析</w:t>
                  </w:r>
                </w:p>
              </w:tc>
            </w:tr>
            <w:tr w14:paraId="4A71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4D10D75C">
                  <w:pPr>
                    <w:pStyle w:val="42"/>
                    <w:bidi w:val="0"/>
                    <w:jc w:val="center"/>
                    <w:rPr>
                      <w:rFonts w:hint="eastAsia"/>
                      <w:u w:val="single"/>
                      <w:lang w:val="en-US" w:eastAsia="zh-CN"/>
                    </w:rPr>
                  </w:pPr>
                  <w:r>
                    <w:rPr>
                      <w:rFonts w:hint="eastAsia"/>
                      <w:u w:val="single"/>
                      <w:lang w:val="en-US" w:eastAsia="zh-CN"/>
                    </w:rPr>
                    <w:t>禁养区的污染防治目标和计划</w:t>
                  </w:r>
                </w:p>
              </w:tc>
              <w:tc>
                <w:tcPr>
                  <w:tcW w:w="0" w:type="auto"/>
                  <w:vAlign w:val="center"/>
                </w:tcPr>
                <w:p w14:paraId="526D9F97">
                  <w:pPr>
                    <w:pStyle w:val="42"/>
                    <w:bidi w:val="0"/>
                    <w:jc w:val="center"/>
                    <w:rPr>
                      <w:rFonts w:hint="default"/>
                      <w:u w:val="single"/>
                      <w:lang w:val="en-US" w:eastAsia="zh-CN"/>
                    </w:rPr>
                  </w:pPr>
                  <w:r>
                    <w:rPr>
                      <w:u w:val="single"/>
                      <w:lang w:val="en-US" w:eastAsia="zh-CN"/>
                    </w:rPr>
                    <w:t>（</w:t>
                  </w:r>
                  <w:r>
                    <w:rPr>
                      <w:rFonts w:hint="default"/>
                      <w:u w:val="single"/>
                      <w:lang w:val="en-US" w:eastAsia="zh-CN"/>
                    </w:rPr>
                    <w:t>1</w:t>
                  </w:r>
                  <w:r>
                    <w:rPr>
                      <w:rFonts w:hint="eastAsia"/>
                      <w:u w:val="single"/>
                      <w:lang w:val="en-US" w:eastAsia="zh-CN"/>
                    </w:rPr>
                    <w:t>）严格环境准入，依据《全州县畜禽养殖禁养区划定方案》、《桂林市人民政府关于印发桂林市“三线一单”生态环境分区管控实施意见的通知》等相关文件要求，对已划定的禁养区及禁养方案加以调整规范并加以公示。禁养区内不得新建、扩建和改建各类规模化畜禽养殖场及养殖专业户。</w:t>
                  </w:r>
                </w:p>
              </w:tc>
              <w:tc>
                <w:tcPr>
                  <w:tcW w:w="0" w:type="auto"/>
                  <w:vAlign w:val="center"/>
                </w:tcPr>
                <w:p w14:paraId="383CCA14">
                  <w:pPr>
                    <w:pStyle w:val="42"/>
                    <w:bidi w:val="0"/>
                    <w:jc w:val="center"/>
                    <w:rPr>
                      <w:rFonts w:hint="default"/>
                      <w:u w:val="single"/>
                      <w:lang w:val="en-US" w:eastAsia="zh-CN"/>
                    </w:rPr>
                  </w:pPr>
                  <w:r>
                    <w:rPr>
                      <w:rFonts w:hint="eastAsia"/>
                      <w:u w:val="single"/>
                      <w:lang w:val="en-US" w:eastAsia="zh-CN"/>
                    </w:rPr>
                    <w:t>符合，本项目为无害化处理项目，不属于规模化畜禽养殖场及养殖专业户。</w:t>
                  </w:r>
                </w:p>
              </w:tc>
            </w:tr>
            <w:tr w14:paraId="5F70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4839042">
                  <w:pPr>
                    <w:pStyle w:val="42"/>
                    <w:bidi w:val="0"/>
                    <w:jc w:val="center"/>
                    <w:rPr>
                      <w:rFonts w:hint="default"/>
                      <w:u w:val="single"/>
                      <w:lang w:val="en-US" w:eastAsia="zh-CN"/>
                    </w:rPr>
                  </w:pPr>
                </w:p>
              </w:tc>
              <w:tc>
                <w:tcPr>
                  <w:tcW w:w="0" w:type="auto"/>
                  <w:vAlign w:val="center"/>
                </w:tcPr>
                <w:p w14:paraId="0DC0F92C">
                  <w:pPr>
                    <w:pStyle w:val="42"/>
                    <w:bidi w:val="0"/>
                    <w:jc w:val="center"/>
                    <w:rPr>
                      <w:rFonts w:hint="default"/>
                      <w:u w:val="single"/>
                      <w:lang w:val="en-US" w:eastAsia="zh-CN"/>
                    </w:rPr>
                  </w:pPr>
                  <w:r>
                    <w:rPr>
                      <w:u w:val="single"/>
                      <w:lang w:val="en-US" w:eastAsia="zh-CN"/>
                    </w:rPr>
                    <w:t>（</w:t>
                  </w:r>
                  <w:r>
                    <w:rPr>
                      <w:rFonts w:hint="default"/>
                      <w:u w:val="single"/>
                      <w:lang w:val="en-US" w:eastAsia="zh-CN"/>
                    </w:rPr>
                    <w:t>2</w:t>
                  </w:r>
                  <w:r>
                    <w:rPr>
                      <w:rFonts w:hint="eastAsia"/>
                      <w:u w:val="single"/>
                      <w:lang w:val="en-US" w:eastAsia="zh-CN"/>
                    </w:rPr>
                    <w:t>）认真落实禁养区各项管理规定，依法关闭和搬迁禁养区内的违规畜禽养殖场（小区）和养殖专业户。禁养区内现有畜禽规模化养殖场及养殖专业户在关停转迁前不得扩大饲养规模（种类和数量），并采取有效措施削减排污总量或进行污染物综合利用。生态环境保护主管部门要会同有关部门加强禁养区的环境监督执法工作。</w:t>
                  </w:r>
                </w:p>
              </w:tc>
              <w:tc>
                <w:tcPr>
                  <w:tcW w:w="0" w:type="auto"/>
                  <w:vAlign w:val="center"/>
                </w:tcPr>
                <w:p w14:paraId="535A4D89">
                  <w:pPr>
                    <w:pStyle w:val="42"/>
                    <w:bidi w:val="0"/>
                    <w:jc w:val="center"/>
                    <w:rPr>
                      <w:rFonts w:hint="default"/>
                      <w:u w:val="single"/>
                      <w:lang w:val="en-US" w:eastAsia="zh-CN"/>
                    </w:rPr>
                  </w:pPr>
                  <w:r>
                    <w:rPr>
                      <w:rFonts w:hint="eastAsia"/>
                      <w:u w:val="single"/>
                      <w:lang w:val="en-US" w:eastAsia="zh-CN"/>
                    </w:rPr>
                    <w:t>符合，本项目为无害化处理项目，不属于规模化畜禽养殖场及养殖专业户。</w:t>
                  </w:r>
                </w:p>
              </w:tc>
            </w:tr>
            <w:tr w14:paraId="5177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B9F7F47">
                  <w:pPr>
                    <w:pStyle w:val="42"/>
                    <w:bidi w:val="0"/>
                    <w:jc w:val="center"/>
                    <w:rPr>
                      <w:rFonts w:hint="eastAsia"/>
                      <w:u w:val="single"/>
                      <w:lang w:val="en-US" w:eastAsia="zh-CN"/>
                    </w:rPr>
                  </w:pPr>
                </w:p>
              </w:tc>
              <w:tc>
                <w:tcPr>
                  <w:tcW w:w="0" w:type="auto"/>
                  <w:vAlign w:val="center"/>
                </w:tcPr>
                <w:p w14:paraId="5B45C46D">
                  <w:pPr>
                    <w:pStyle w:val="42"/>
                    <w:bidi w:val="0"/>
                    <w:jc w:val="center"/>
                    <w:rPr>
                      <w:rFonts w:hint="default"/>
                      <w:u w:val="single"/>
                      <w:lang w:val="en-US" w:eastAsia="zh-CN"/>
                    </w:rPr>
                  </w:pPr>
                  <w:r>
                    <w:rPr>
                      <w:u w:val="single"/>
                      <w:lang w:val="en-US" w:eastAsia="zh-CN"/>
                    </w:rPr>
                    <w:t>（</w:t>
                  </w:r>
                  <w:r>
                    <w:rPr>
                      <w:rFonts w:hint="default"/>
                      <w:u w:val="single"/>
                      <w:lang w:val="en-US" w:eastAsia="zh-CN"/>
                    </w:rPr>
                    <w:t>3</w:t>
                  </w:r>
                  <w:r>
                    <w:rPr>
                      <w:rFonts w:hint="eastAsia"/>
                      <w:u w:val="single"/>
                      <w:lang w:val="en-US" w:eastAsia="zh-CN"/>
                    </w:rPr>
                    <w:t>）禁养区内现有的养殖场（小区），制定全面关停、退养、搬迁计划，按照相关法律法规，全部畜禽养殖场（小区）实施关停、退养、搬迁，并实施常态化监管防止禁养区内养殖场（小区）反弹。</w:t>
                  </w:r>
                </w:p>
              </w:tc>
              <w:tc>
                <w:tcPr>
                  <w:tcW w:w="0" w:type="auto"/>
                  <w:vAlign w:val="center"/>
                </w:tcPr>
                <w:p w14:paraId="3C0911EA">
                  <w:pPr>
                    <w:pStyle w:val="42"/>
                    <w:bidi w:val="0"/>
                    <w:jc w:val="center"/>
                    <w:rPr>
                      <w:rFonts w:hint="default"/>
                      <w:u w:val="single"/>
                      <w:lang w:val="en-US" w:eastAsia="zh-CN"/>
                    </w:rPr>
                  </w:pPr>
                  <w:r>
                    <w:rPr>
                      <w:rFonts w:hint="eastAsia"/>
                      <w:u w:val="single"/>
                      <w:lang w:val="en-US" w:eastAsia="zh-CN"/>
                    </w:rPr>
                    <w:t>符合，本项目为无害化处理项目，不属于规模化畜禽养殖场及养殖专业户。</w:t>
                  </w:r>
                </w:p>
              </w:tc>
            </w:tr>
            <w:tr w14:paraId="3485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C16CC33">
                  <w:pPr>
                    <w:pStyle w:val="42"/>
                    <w:bidi w:val="0"/>
                    <w:jc w:val="center"/>
                    <w:rPr>
                      <w:rFonts w:hint="eastAsia"/>
                      <w:u w:val="single"/>
                      <w:lang w:val="en-US" w:eastAsia="zh-CN"/>
                    </w:rPr>
                  </w:pPr>
                </w:p>
              </w:tc>
              <w:tc>
                <w:tcPr>
                  <w:tcW w:w="0" w:type="auto"/>
                  <w:vAlign w:val="center"/>
                </w:tcPr>
                <w:p w14:paraId="07B92456">
                  <w:pPr>
                    <w:pStyle w:val="42"/>
                    <w:bidi w:val="0"/>
                    <w:jc w:val="center"/>
                    <w:rPr>
                      <w:rFonts w:hint="eastAsia"/>
                      <w:u w:val="single"/>
                      <w:lang w:val="en-US" w:eastAsia="zh-CN"/>
                    </w:rPr>
                  </w:pPr>
                  <w:r>
                    <w:rPr>
                      <w:u w:val="single"/>
                      <w:lang w:val="en-US" w:eastAsia="zh-CN"/>
                    </w:rPr>
                    <w:t>对辖区内所有畜禽养殖场所（包括规模化畜禽养殖场、养殖专业户、</w:t>
                  </w:r>
                  <w:r>
                    <w:rPr>
                      <w:rFonts w:hint="eastAsia"/>
                      <w:u w:val="single"/>
                      <w:lang w:val="en-US" w:eastAsia="zh-CN"/>
                    </w:rPr>
                    <w:t>散养户）进行排查，建立养殖档案，严格控制禁养区内现有养殖规模（养殖种类及数量），确保养殖规模不扩大，污染物总量不增加。</w:t>
                  </w:r>
                </w:p>
              </w:tc>
              <w:tc>
                <w:tcPr>
                  <w:tcW w:w="0" w:type="auto"/>
                  <w:vAlign w:val="center"/>
                </w:tcPr>
                <w:p w14:paraId="52853CD6">
                  <w:pPr>
                    <w:pStyle w:val="42"/>
                    <w:bidi w:val="0"/>
                    <w:jc w:val="center"/>
                    <w:rPr>
                      <w:rFonts w:hint="default"/>
                      <w:u w:val="single"/>
                      <w:lang w:val="en-US" w:eastAsia="zh-CN"/>
                    </w:rPr>
                  </w:pPr>
                  <w:r>
                    <w:rPr>
                      <w:rFonts w:hint="eastAsia"/>
                      <w:u w:val="single"/>
                      <w:lang w:val="en-US" w:eastAsia="zh-CN"/>
                    </w:rPr>
                    <w:t>符合，本项目为无害化处理项目，不属于规模化畜禽养殖场及养殖专业户。</w:t>
                  </w:r>
                </w:p>
              </w:tc>
            </w:tr>
            <w:tr w14:paraId="4C95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6B37F39">
                  <w:pPr>
                    <w:pStyle w:val="42"/>
                    <w:bidi w:val="0"/>
                    <w:jc w:val="center"/>
                    <w:rPr>
                      <w:rFonts w:hint="eastAsia"/>
                      <w:u w:val="single"/>
                      <w:lang w:val="en-US" w:eastAsia="zh-CN"/>
                    </w:rPr>
                  </w:pPr>
                </w:p>
              </w:tc>
              <w:tc>
                <w:tcPr>
                  <w:tcW w:w="0" w:type="auto"/>
                  <w:vAlign w:val="center"/>
                </w:tcPr>
                <w:p w14:paraId="108B746F">
                  <w:pPr>
                    <w:pStyle w:val="42"/>
                    <w:bidi w:val="0"/>
                    <w:jc w:val="center"/>
                    <w:rPr>
                      <w:rFonts w:hint="eastAsia"/>
                      <w:u w:val="single"/>
                      <w:lang w:val="en-US" w:eastAsia="zh-CN"/>
                    </w:rPr>
                  </w:pPr>
                  <w:r>
                    <w:rPr>
                      <w:u w:val="single"/>
                      <w:lang w:val="en-US" w:eastAsia="zh-CN"/>
                    </w:rPr>
                    <w:t>认真落实畜禽养殖禁养区管理规定，对禁养区内关停需搬迁的规模化</w:t>
                  </w:r>
                  <w:r>
                    <w:rPr>
                      <w:rFonts w:hint="eastAsia"/>
                      <w:u w:val="single"/>
                      <w:lang w:val="en-US" w:eastAsia="zh-CN"/>
                    </w:rPr>
                    <w:t>养殖场户，优先支持异地重建；对确需关闭的养殖场户，给予合理过渡期，避免以清理代替治理；严控禁养区内新建、改建、扩建养殖场（户），巩固禁养区搬迁关停工作成果。禁养区规模化养殖场（小区）整治率达到</w:t>
                  </w:r>
                  <w:r>
                    <w:rPr>
                      <w:rFonts w:hint="default"/>
                      <w:u w:val="single"/>
                      <w:lang w:val="en-US" w:eastAsia="zh-CN"/>
                    </w:rPr>
                    <w:t>100%</w:t>
                  </w:r>
                  <w:r>
                    <w:rPr>
                      <w:rFonts w:hint="eastAsia"/>
                      <w:u w:val="single"/>
                      <w:lang w:val="en-US" w:eastAsia="zh-CN"/>
                    </w:rPr>
                    <w:t>。</w:t>
                  </w:r>
                </w:p>
              </w:tc>
              <w:tc>
                <w:tcPr>
                  <w:tcW w:w="0" w:type="auto"/>
                  <w:vAlign w:val="center"/>
                </w:tcPr>
                <w:p w14:paraId="3E8F5A4C">
                  <w:pPr>
                    <w:pStyle w:val="42"/>
                    <w:bidi w:val="0"/>
                    <w:jc w:val="center"/>
                    <w:rPr>
                      <w:rFonts w:hint="default"/>
                      <w:u w:val="single"/>
                      <w:lang w:val="en-US" w:eastAsia="zh-CN"/>
                    </w:rPr>
                  </w:pPr>
                  <w:r>
                    <w:rPr>
                      <w:rFonts w:hint="eastAsia"/>
                      <w:u w:val="single"/>
                      <w:lang w:val="en-US" w:eastAsia="zh-CN"/>
                    </w:rPr>
                    <w:t>符合，本项目为无害化处理项目，不属于规模化畜禽养殖场及养殖专业户。</w:t>
                  </w:r>
                </w:p>
              </w:tc>
            </w:tr>
            <w:tr w14:paraId="44D8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724C8885">
                  <w:pPr>
                    <w:pStyle w:val="42"/>
                    <w:bidi w:val="0"/>
                    <w:jc w:val="center"/>
                    <w:rPr>
                      <w:rFonts w:hint="eastAsia"/>
                      <w:u w:val="single"/>
                      <w:lang w:val="en-US" w:eastAsia="zh-CN"/>
                    </w:rPr>
                  </w:pPr>
                  <w:r>
                    <w:rPr>
                      <w:rFonts w:hint="eastAsia"/>
                      <w:u w:val="single"/>
                      <w:lang w:val="en-US" w:eastAsia="zh-CN"/>
                    </w:rPr>
                    <w:t>非禁养区的污染防治目标和计划</w:t>
                  </w:r>
                </w:p>
              </w:tc>
              <w:tc>
                <w:tcPr>
                  <w:tcW w:w="0" w:type="auto"/>
                  <w:vAlign w:val="center"/>
                </w:tcPr>
                <w:p w14:paraId="4E169740">
                  <w:pPr>
                    <w:pStyle w:val="42"/>
                    <w:bidi w:val="0"/>
                    <w:jc w:val="center"/>
                    <w:rPr>
                      <w:rFonts w:hint="eastAsia"/>
                      <w:u w:val="single"/>
                      <w:lang w:val="en-US" w:eastAsia="zh-CN"/>
                    </w:rPr>
                  </w:pPr>
                  <w:r>
                    <w:rPr>
                      <w:u w:val="single"/>
                      <w:lang w:val="en-US" w:eastAsia="zh-CN"/>
                    </w:rPr>
                    <w:t>根据《国务院办公厅关于加快推进畜禽养殖废弃物资源化利用的意见》</w:t>
                  </w:r>
                  <w:r>
                    <w:rPr>
                      <w:rFonts w:hint="eastAsia"/>
                      <w:u w:val="single"/>
                      <w:lang w:val="en-US" w:eastAsia="zh-CN"/>
                    </w:rPr>
                    <w:t>（国办发〔</w:t>
                  </w:r>
                  <w:r>
                    <w:rPr>
                      <w:rFonts w:hint="default"/>
                      <w:u w:val="single"/>
                      <w:lang w:val="en-US" w:eastAsia="zh-CN"/>
                    </w:rPr>
                    <w:t>2017</w:t>
                  </w:r>
                  <w:r>
                    <w:rPr>
                      <w:rFonts w:hint="eastAsia"/>
                      <w:u w:val="single"/>
                      <w:lang w:val="en-US" w:eastAsia="zh-CN"/>
                    </w:rPr>
                    <w:t>〕</w:t>
                  </w:r>
                  <w:r>
                    <w:rPr>
                      <w:rFonts w:hint="default"/>
                      <w:u w:val="single"/>
                      <w:lang w:val="en-US" w:eastAsia="zh-CN"/>
                    </w:rPr>
                    <w:t>48</w:t>
                  </w:r>
                  <w:r>
                    <w:rPr>
                      <w:rFonts w:hint="eastAsia"/>
                      <w:u w:val="single"/>
                      <w:lang w:val="en-US" w:eastAsia="zh-CN"/>
                    </w:rPr>
                    <w:t>号），非禁养区要构建种养循环发展机制，提高畜禽粪污综合利用率，以能源化、肥料化作为资源化主导方向，尽可能提高需畜禽粪污资源化利用率。</w:t>
                  </w:r>
                </w:p>
              </w:tc>
              <w:tc>
                <w:tcPr>
                  <w:tcW w:w="0" w:type="auto"/>
                  <w:vAlign w:val="center"/>
                </w:tcPr>
                <w:p w14:paraId="4B7B67AA">
                  <w:pPr>
                    <w:pStyle w:val="42"/>
                    <w:bidi w:val="0"/>
                    <w:jc w:val="center"/>
                    <w:rPr>
                      <w:rFonts w:hint="default"/>
                      <w:u w:val="single"/>
                      <w:lang w:val="en-US" w:eastAsia="zh-CN"/>
                    </w:rPr>
                  </w:pPr>
                  <w:r>
                    <w:rPr>
                      <w:rFonts w:hint="eastAsia"/>
                      <w:u w:val="single"/>
                      <w:lang w:val="en-US" w:eastAsia="zh-CN"/>
                    </w:rPr>
                    <w:t>符合，本项目为无害化处理项目，不属于规模化畜禽养殖场及养殖专业户。</w:t>
                  </w:r>
                </w:p>
              </w:tc>
            </w:tr>
            <w:tr w14:paraId="6B09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E099AAF">
                  <w:pPr>
                    <w:pStyle w:val="42"/>
                    <w:bidi w:val="0"/>
                    <w:jc w:val="center"/>
                    <w:rPr>
                      <w:rFonts w:hint="eastAsia"/>
                      <w:u w:val="single"/>
                      <w:lang w:val="en-US" w:eastAsia="zh-CN"/>
                    </w:rPr>
                  </w:pPr>
                </w:p>
              </w:tc>
              <w:tc>
                <w:tcPr>
                  <w:tcW w:w="0" w:type="auto"/>
                  <w:vAlign w:val="center"/>
                </w:tcPr>
                <w:p w14:paraId="2A593FB7">
                  <w:pPr>
                    <w:pStyle w:val="42"/>
                    <w:bidi w:val="0"/>
                    <w:jc w:val="both"/>
                    <w:rPr>
                      <w:rFonts w:hint="eastAsia"/>
                      <w:u w:val="single"/>
                      <w:lang w:val="en-US" w:eastAsia="zh-CN"/>
                    </w:rPr>
                  </w:pPr>
                  <w:r>
                    <w:rPr>
                      <w:u w:val="single"/>
                      <w:lang w:val="en-US" w:eastAsia="zh-CN"/>
                    </w:rPr>
                    <w:t>非禁养区内所有畜禽养殖污染防治应坚持</w:t>
                  </w:r>
                  <w:r>
                    <w:rPr>
                      <w:rFonts w:hint="default"/>
                      <w:u w:val="single"/>
                      <w:lang w:val="en-US" w:eastAsia="zh-CN"/>
                    </w:rPr>
                    <w:t>“</w:t>
                  </w:r>
                  <w:r>
                    <w:rPr>
                      <w:rFonts w:hint="eastAsia"/>
                      <w:u w:val="single"/>
                      <w:lang w:val="en-US" w:eastAsia="zh-CN"/>
                    </w:rPr>
                    <w:t>综合利用优先，资源化、无害化和减量化</w:t>
                  </w:r>
                  <w:r>
                    <w:rPr>
                      <w:rFonts w:hint="default"/>
                      <w:u w:val="single"/>
                      <w:lang w:val="en-US" w:eastAsia="zh-CN"/>
                    </w:rPr>
                    <w:t>”</w:t>
                  </w:r>
                  <w:r>
                    <w:rPr>
                      <w:rFonts w:hint="eastAsia"/>
                      <w:u w:val="single"/>
                      <w:lang w:val="en-US" w:eastAsia="zh-CN"/>
                    </w:rPr>
                    <w:t>原则，积极推行清洁生产，严格控制含重金属的畜禽饲料添加剂、兽药的使用，实现科学养殖、饮排分离、雨污分离和干湿分离，有条件的规模化畜禽养殖场要添置有机肥加工设施及建立与排污量相匹配的生态农业示范基地，积极采用生物治理技术。凡以</w:t>
                  </w:r>
                  <w:r>
                    <w:rPr>
                      <w:rFonts w:hint="default"/>
                      <w:u w:val="single"/>
                      <w:lang w:val="en-US" w:eastAsia="zh-CN"/>
                    </w:rPr>
                    <w:t>“</w:t>
                  </w:r>
                  <w:r>
                    <w:rPr>
                      <w:rFonts w:hint="eastAsia"/>
                      <w:u w:val="single"/>
                      <w:lang w:val="en-US" w:eastAsia="zh-CN"/>
                    </w:rPr>
                    <w:t>公司加农户</w:t>
                  </w:r>
                  <w:r>
                    <w:rPr>
                      <w:rFonts w:hint="default"/>
                      <w:u w:val="single"/>
                      <w:lang w:val="en-US" w:eastAsia="zh-CN"/>
                    </w:rPr>
                    <w:t>”</w:t>
                  </w:r>
                  <w:r>
                    <w:rPr>
                      <w:rFonts w:hint="eastAsia"/>
                      <w:u w:val="single"/>
                      <w:lang w:val="en-US" w:eastAsia="zh-CN"/>
                    </w:rPr>
                    <w:t>形式经营的规模化畜禽养殖场，应由公司负责将畜禽养殖污染防治工作落实到农户，并进行规范化管理。</w:t>
                  </w:r>
                  <w:r>
                    <w:rPr>
                      <w:u w:val="single"/>
                      <w:lang w:val="en-US" w:eastAsia="zh-CN"/>
                    </w:rPr>
                    <w:t>非禁养区内所有畜禽养殖场（含养殖专业户和散养户）的病死畜禽尸</w:t>
                  </w:r>
                  <w:r>
                    <w:rPr>
                      <w:rFonts w:hint="eastAsia"/>
                      <w:u w:val="single"/>
                      <w:lang w:val="en-US" w:eastAsia="zh-CN"/>
                    </w:rPr>
                    <w:t>体应采取无害化处理。</w:t>
                  </w:r>
                </w:p>
              </w:tc>
              <w:tc>
                <w:tcPr>
                  <w:tcW w:w="0" w:type="auto"/>
                  <w:vAlign w:val="center"/>
                </w:tcPr>
                <w:p w14:paraId="522AA58B">
                  <w:pPr>
                    <w:pStyle w:val="42"/>
                    <w:bidi w:val="0"/>
                    <w:jc w:val="center"/>
                    <w:rPr>
                      <w:rFonts w:hint="default"/>
                      <w:u w:val="single"/>
                      <w:lang w:val="en-US" w:eastAsia="zh-CN"/>
                    </w:rPr>
                  </w:pPr>
                  <w:r>
                    <w:rPr>
                      <w:rFonts w:hint="eastAsia"/>
                      <w:u w:val="single"/>
                      <w:lang w:val="en-US" w:eastAsia="zh-CN"/>
                    </w:rPr>
                    <w:t>符合，本项目为无害化处理项目，不属于规模化畜禽养殖场及养殖专业户。</w:t>
                  </w:r>
                </w:p>
              </w:tc>
            </w:tr>
            <w:tr w14:paraId="519A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6DE0EE8A">
                  <w:pPr>
                    <w:pStyle w:val="42"/>
                    <w:bidi w:val="0"/>
                    <w:jc w:val="center"/>
                    <w:rPr>
                      <w:u w:val="single"/>
                      <w:lang w:val="en-US" w:eastAsia="zh-CN"/>
                    </w:rPr>
                  </w:pPr>
                </w:p>
              </w:tc>
              <w:tc>
                <w:tcPr>
                  <w:tcW w:w="0" w:type="auto"/>
                  <w:vAlign w:val="center"/>
                </w:tcPr>
                <w:p w14:paraId="125009DA">
                  <w:pPr>
                    <w:pStyle w:val="42"/>
                    <w:bidi w:val="0"/>
                    <w:jc w:val="center"/>
                    <w:rPr>
                      <w:rFonts w:hint="eastAsia"/>
                      <w:u w:val="single"/>
                      <w:lang w:val="en-US" w:eastAsia="zh-CN"/>
                    </w:rPr>
                  </w:pPr>
                  <w:r>
                    <w:rPr>
                      <w:u w:val="single"/>
                      <w:lang w:val="en-US" w:eastAsia="zh-CN"/>
                    </w:rPr>
                    <w:t>在非禁养区新建、改建和扩建畜禽养殖场，必须符合城镇总体规划及</w:t>
                  </w:r>
                  <w:r>
                    <w:rPr>
                      <w:rFonts w:hint="eastAsia"/>
                      <w:u w:val="single"/>
                      <w:lang w:val="en-US" w:eastAsia="zh-CN"/>
                    </w:rPr>
                    <w:t>环境功能区划的要求。</w:t>
                  </w:r>
                </w:p>
              </w:tc>
              <w:tc>
                <w:tcPr>
                  <w:tcW w:w="0" w:type="auto"/>
                  <w:vAlign w:val="center"/>
                </w:tcPr>
                <w:p w14:paraId="31A66066">
                  <w:pPr>
                    <w:pStyle w:val="42"/>
                    <w:bidi w:val="0"/>
                    <w:jc w:val="center"/>
                    <w:rPr>
                      <w:rFonts w:hint="default"/>
                      <w:u w:val="single"/>
                      <w:lang w:val="en-US" w:eastAsia="zh-CN"/>
                    </w:rPr>
                  </w:pPr>
                  <w:r>
                    <w:rPr>
                      <w:rFonts w:hint="eastAsia"/>
                      <w:u w:val="single"/>
                      <w:lang w:val="en-US" w:eastAsia="zh-CN"/>
                    </w:rPr>
                    <w:t>符合，本项目为无害化处理项目，不属于规模化畜禽养殖场及养殖专业户。</w:t>
                  </w:r>
                </w:p>
              </w:tc>
            </w:tr>
            <w:tr w14:paraId="088F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E55BBC8">
                  <w:pPr>
                    <w:pStyle w:val="42"/>
                    <w:bidi w:val="0"/>
                    <w:jc w:val="center"/>
                    <w:rPr>
                      <w:rFonts w:hint="eastAsia"/>
                      <w:u w:val="single"/>
                      <w:lang w:val="en-US" w:eastAsia="zh-CN"/>
                    </w:rPr>
                  </w:pPr>
                </w:p>
              </w:tc>
              <w:tc>
                <w:tcPr>
                  <w:tcW w:w="0" w:type="auto"/>
                  <w:vAlign w:val="center"/>
                </w:tcPr>
                <w:p w14:paraId="34630777">
                  <w:pPr>
                    <w:pStyle w:val="42"/>
                    <w:bidi w:val="0"/>
                    <w:jc w:val="center"/>
                    <w:rPr>
                      <w:rFonts w:hint="eastAsia"/>
                      <w:u w:val="single"/>
                      <w:lang w:val="en-US" w:eastAsia="zh-CN"/>
                    </w:rPr>
                  </w:pPr>
                  <w:r>
                    <w:rPr>
                      <w:u w:val="single"/>
                      <w:lang w:val="en-US" w:eastAsia="zh-CN"/>
                    </w:rPr>
                    <w:t>在非禁养区新建、改建和扩建的规模化禽畜养殖场，必须严格执行相</w:t>
                  </w:r>
                  <w:r>
                    <w:rPr>
                      <w:rFonts w:hint="eastAsia"/>
                      <w:u w:val="single"/>
                      <w:lang w:val="en-US" w:eastAsia="zh-CN"/>
                    </w:rPr>
                    <w:t>关法律办理相关手续。</w:t>
                  </w:r>
                </w:p>
              </w:tc>
              <w:tc>
                <w:tcPr>
                  <w:tcW w:w="0" w:type="auto"/>
                  <w:vAlign w:val="center"/>
                </w:tcPr>
                <w:p w14:paraId="161BABA5">
                  <w:pPr>
                    <w:pStyle w:val="42"/>
                    <w:bidi w:val="0"/>
                    <w:jc w:val="center"/>
                    <w:rPr>
                      <w:rFonts w:hint="default"/>
                      <w:u w:val="single"/>
                      <w:lang w:val="en-US" w:eastAsia="zh-CN"/>
                    </w:rPr>
                  </w:pPr>
                  <w:r>
                    <w:rPr>
                      <w:rFonts w:hint="eastAsia"/>
                      <w:u w:val="single"/>
                      <w:lang w:val="en-US" w:eastAsia="zh-CN"/>
                    </w:rPr>
                    <w:t>符合，本项目为无害化处理项目，不属于规模化畜禽养殖场及养殖专业户。</w:t>
                  </w:r>
                </w:p>
              </w:tc>
            </w:tr>
            <w:tr w14:paraId="5492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C67AAFD">
                  <w:pPr>
                    <w:pStyle w:val="42"/>
                    <w:bidi w:val="0"/>
                    <w:jc w:val="center"/>
                    <w:rPr>
                      <w:rFonts w:hint="eastAsia"/>
                      <w:u w:val="single"/>
                      <w:lang w:val="en-US" w:eastAsia="zh-CN"/>
                    </w:rPr>
                  </w:pPr>
                </w:p>
              </w:tc>
              <w:tc>
                <w:tcPr>
                  <w:tcW w:w="0" w:type="auto"/>
                  <w:vAlign w:val="center"/>
                </w:tcPr>
                <w:p w14:paraId="12A747C0">
                  <w:pPr>
                    <w:pStyle w:val="42"/>
                    <w:bidi w:val="0"/>
                    <w:jc w:val="center"/>
                    <w:rPr>
                      <w:rFonts w:hint="eastAsia"/>
                      <w:u w:val="single"/>
                      <w:lang w:val="en-US" w:eastAsia="zh-CN"/>
                    </w:rPr>
                  </w:pPr>
                  <w:r>
                    <w:rPr>
                      <w:u w:val="single"/>
                      <w:lang w:val="en-US" w:eastAsia="zh-CN"/>
                    </w:rPr>
                    <w:t>在非禁养区新建、改建和扩建的规模化畜禽养殖场，必须实行</w:t>
                  </w:r>
                  <w:r>
                    <w:rPr>
                      <w:rFonts w:hint="default"/>
                      <w:u w:val="single"/>
                      <w:lang w:val="en-US" w:eastAsia="zh-CN"/>
                    </w:rPr>
                    <w:t>“</w:t>
                  </w:r>
                  <w:r>
                    <w:rPr>
                      <w:rFonts w:hint="eastAsia"/>
                      <w:u w:val="single"/>
                      <w:lang w:val="en-US" w:eastAsia="zh-CN"/>
                    </w:rPr>
                    <w:t>三同时</w:t>
                  </w:r>
                  <w:r>
                    <w:rPr>
                      <w:rFonts w:hint="default"/>
                      <w:u w:val="single"/>
                      <w:lang w:val="en-US" w:eastAsia="zh-CN"/>
                    </w:rPr>
                    <w:t>”</w:t>
                  </w:r>
                  <w:r>
                    <w:rPr>
                      <w:rFonts w:hint="eastAsia"/>
                      <w:u w:val="single"/>
                      <w:lang w:val="en-US" w:eastAsia="zh-CN"/>
                    </w:rPr>
                    <w:t>制度，应按有关规定开展环境保护设施竣工验收；对一时难以达到设计规模的，可以实行分阶段验收。</w:t>
                  </w:r>
                </w:p>
              </w:tc>
              <w:tc>
                <w:tcPr>
                  <w:tcW w:w="0" w:type="auto"/>
                  <w:vAlign w:val="center"/>
                </w:tcPr>
                <w:p w14:paraId="1DCACE40">
                  <w:pPr>
                    <w:pStyle w:val="42"/>
                    <w:bidi w:val="0"/>
                    <w:jc w:val="center"/>
                    <w:rPr>
                      <w:rFonts w:hint="default"/>
                      <w:u w:val="single"/>
                      <w:lang w:val="en-US" w:eastAsia="zh-CN"/>
                    </w:rPr>
                  </w:pPr>
                  <w:r>
                    <w:rPr>
                      <w:rFonts w:hint="eastAsia"/>
                      <w:u w:val="single"/>
                      <w:lang w:val="en-US" w:eastAsia="zh-CN"/>
                    </w:rPr>
                    <w:t>符合，本项目为无害化处理项目，不属于规模化畜禽养殖场及养殖专业户。</w:t>
                  </w:r>
                </w:p>
              </w:tc>
            </w:tr>
            <w:tr w14:paraId="62D1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6CF01503">
                  <w:pPr>
                    <w:pStyle w:val="42"/>
                    <w:bidi w:val="0"/>
                    <w:jc w:val="center"/>
                    <w:rPr>
                      <w:rFonts w:hint="eastAsia"/>
                      <w:u w:val="single"/>
                      <w:lang w:val="en-US" w:eastAsia="zh-CN"/>
                    </w:rPr>
                  </w:pPr>
                </w:p>
              </w:tc>
              <w:tc>
                <w:tcPr>
                  <w:tcW w:w="0" w:type="auto"/>
                  <w:vAlign w:val="center"/>
                </w:tcPr>
                <w:p w14:paraId="098DB6E4">
                  <w:pPr>
                    <w:pStyle w:val="42"/>
                    <w:bidi w:val="0"/>
                    <w:jc w:val="center"/>
                    <w:rPr>
                      <w:rFonts w:hint="eastAsia"/>
                      <w:u w:val="single"/>
                      <w:lang w:val="en-US" w:eastAsia="zh-CN"/>
                    </w:rPr>
                  </w:pPr>
                  <w:r>
                    <w:rPr>
                      <w:u w:val="single"/>
                      <w:lang w:val="en-US" w:eastAsia="zh-CN"/>
                    </w:rPr>
                    <w:t>非禁养区内畜禽养殖场按《固定污染源排污许可分类管理录》实行排</w:t>
                  </w:r>
                  <w:r>
                    <w:rPr>
                      <w:rFonts w:hint="eastAsia"/>
                      <w:u w:val="single"/>
                      <w:lang w:val="en-US" w:eastAsia="zh-CN"/>
                    </w:rPr>
                    <w:t>污许可重点管理、简化管理和登记管理。</w:t>
                  </w:r>
                </w:p>
              </w:tc>
              <w:tc>
                <w:tcPr>
                  <w:tcW w:w="0" w:type="auto"/>
                  <w:vAlign w:val="center"/>
                </w:tcPr>
                <w:p w14:paraId="51650538">
                  <w:pPr>
                    <w:pStyle w:val="42"/>
                    <w:bidi w:val="0"/>
                    <w:jc w:val="center"/>
                    <w:rPr>
                      <w:rFonts w:hint="default"/>
                      <w:u w:val="single"/>
                      <w:lang w:val="en-US" w:eastAsia="zh-CN"/>
                    </w:rPr>
                  </w:pPr>
                  <w:r>
                    <w:rPr>
                      <w:rFonts w:hint="eastAsia"/>
                      <w:u w:val="single"/>
                      <w:lang w:val="en-US" w:eastAsia="zh-CN"/>
                    </w:rPr>
                    <w:t>符合，本项目为无害化处理项目，不属于规模化畜禽养殖场及养殖专业户。</w:t>
                  </w:r>
                </w:p>
              </w:tc>
            </w:tr>
            <w:tr w14:paraId="0EE4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0BD9630">
                  <w:pPr>
                    <w:pStyle w:val="42"/>
                    <w:bidi w:val="0"/>
                    <w:jc w:val="center"/>
                    <w:rPr>
                      <w:rFonts w:hint="eastAsia"/>
                      <w:u w:val="single"/>
                      <w:lang w:val="en-US" w:eastAsia="zh-CN"/>
                    </w:rPr>
                  </w:pPr>
                </w:p>
              </w:tc>
              <w:tc>
                <w:tcPr>
                  <w:tcW w:w="0" w:type="auto"/>
                  <w:vAlign w:val="center"/>
                </w:tcPr>
                <w:p w14:paraId="36B06717">
                  <w:pPr>
                    <w:pStyle w:val="42"/>
                    <w:bidi w:val="0"/>
                    <w:jc w:val="center"/>
                    <w:rPr>
                      <w:rFonts w:hint="eastAsia"/>
                      <w:u w:val="single"/>
                      <w:lang w:val="en-US" w:eastAsia="zh-CN"/>
                    </w:rPr>
                  </w:pPr>
                  <w:r>
                    <w:rPr>
                      <w:u w:val="single"/>
                      <w:lang w:val="en-US" w:eastAsia="zh-CN"/>
                    </w:rPr>
                    <w:t>全面排查区域内的养殖场（规模化养殖场、养殖专业户），建立养殖</w:t>
                  </w:r>
                  <w:r>
                    <w:rPr>
                      <w:rFonts w:hint="eastAsia"/>
                      <w:u w:val="single"/>
                      <w:lang w:val="en-US" w:eastAsia="zh-CN"/>
                    </w:rPr>
                    <w:t>档案。</w:t>
                  </w:r>
                </w:p>
              </w:tc>
              <w:tc>
                <w:tcPr>
                  <w:tcW w:w="0" w:type="auto"/>
                  <w:vAlign w:val="center"/>
                </w:tcPr>
                <w:p w14:paraId="26E732B8">
                  <w:pPr>
                    <w:pStyle w:val="42"/>
                    <w:bidi w:val="0"/>
                    <w:jc w:val="center"/>
                    <w:rPr>
                      <w:rFonts w:hint="default"/>
                      <w:u w:val="single"/>
                      <w:lang w:val="en-US" w:eastAsia="zh-CN"/>
                    </w:rPr>
                  </w:pPr>
                  <w:r>
                    <w:rPr>
                      <w:rFonts w:hint="eastAsia"/>
                      <w:u w:val="single"/>
                      <w:lang w:val="en-US" w:eastAsia="zh-CN"/>
                    </w:rPr>
                    <w:t>符合，本项目为无害化处理项目，不属于规模化畜禽养殖场及养殖专业户。</w:t>
                  </w:r>
                </w:p>
              </w:tc>
            </w:tr>
            <w:tr w14:paraId="0AE2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A8CADA1">
                  <w:pPr>
                    <w:pStyle w:val="42"/>
                    <w:bidi w:val="0"/>
                    <w:jc w:val="center"/>
                    <w:rPr>
                      <w:rFonts w:hint="eastAsia"/>
                      <w:u w:val="single"/>
                      <w:lang w:val="en-US" w:eastAsia="zh-CN"/>
                    </w:rPr>
                  </w:pPr>
                </w:p>
              </w:tc>
              <w:tc>
                <w:tcPr>
                  <w:tcW w:w="0" w:type="auto"/>
                  <w:vAlign w:val="center"/>
                </w:tcPr>
                <w:p w14:paraId="61878907">
                  <w:pPr>
                    <w:pStyle w:val="42"/>
                    <w:bidi w:val="0"/>
                    <w:jc w:val="center"/>
                    <w:rPr>
                      <w:rFonts w:hint="eastAsia"/>
                      <w:u w:val="single"/>
                      <w:lang w:val="en-US" w:eastAsia="zh-CN"/>
                    </w:rPr>
                  </w:pPr>
                  <w:r>
                    <w:rPr>
                      <w:u w:val="single"/>
                      <w:lang w:val="en-US" w:eastAsia="zh-CN"/>
                    </w:rPr>
                    <w:t>规范环境影响评价制度，需要开展环评的养殖场必须通过环境影响评</w:t>
                  </w:r>
                  <w:r>
                    <w:rPr>
                      <w:rFonts w:hint="eastAsia"/>
                      <w:u w:val="single"/>
                      <w:lang w:val="en-US" w:eastAsia="zh-CN"/>
                    </w:rPr>
                    <w:t>价审批后方可进行建设（含新建、改建、扩建）。</w:t>
                  </w:r>
                </w:p>
              </w:tc>
              <w:tc>
                <w:tcPr>
                  <w:tcW w:w="0" w:type="auto"/>
                  <w:vAlign w:val="center"/>
                </w:tcPr>
                <w:p w14:paraId="2384851B">
                  <w:pPr>
                    <w:pStyle w:val="42"/>
                    <w:bidi w:val="0"/>
                    <w:jc w:val="center"/>
                    <w:rPr>
                      <w:rFonts w:hint="default"/>
                      <w:u w:val="single"/>
                      <w:lang w:val="en-US" w:eastAsia="zh-CN"/>
                    </w:rPr>
                  </w:pPr>
                  <w:r>
                    <w:rPr>
                      <w:rFonts w:hint="eastAsia"/>
                      <w:u w:val="single"/>
                      <w:lang w:val="en-US" w:eastAsia="zh-CN"/>
                    </w:rPr>
                    <w:t>符合，本项目为无害化处理项目，不属于规模化畜禽养殖场及养殖专业户。</w:t>
                  </w:r>
                </w:p>
              </w:tc>
            </w:tr>
            <w:tr w14:paraId="429B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C150CFE">
                  <w:pPr>
                    <w:pStyle w:val="42"/>
                    <w:bidi w:val="0"/>
                    <w:jc w:val="center"/>
                    <w:rPr>
                      <w:rFonts w:hint="eastAsia"/>
                      <w:u w:val="single"/>
                      <w:lang w:val="en-US" w:eastAsia="zh-CN"/>
                    </w:rPr>
                  </w:pPr>
                </w:p>
              </w:tc>
              <w:tc>
                <w:tcPr>
                  <w:tcW w:w="0" w:type="auto"/>
                  <w:vAlign w:val="center"/>
                </w:tcPr>
                <w:p w14:paraId="24E6534D">
                  <w:pPr>
                    <w:pStyle w:val="42"/>
                    <w:bidi w:val="0"/>
                    <w:jc w:val="center"/>
                    <w:rPr>
                      <w:rFonts w:hint="eastAsia"/>
                      <w:u w:val="single"/>
                      <w:lang w:val="en-US" w:eastAsia="zh-CN"/>
                    </w:rPr>
                  </w:pPr>
                  <w:r>
                    <w:rPr>
                      <w:u w:val="single"/>
                      <w:lang w:val="en-US" w:eastAsia="zh-CN"/>
                    </w:rPr>
                    <w:t>对各养殖场提出粪污综合利用及污染防治要求，逐步实现污染物的减</w:t>
                  </w:r>
                  <w:r>
                    <w:rPr>
                      <w:rFonts w:hint="eastAsia"/>
                      <w:u w:val="single"/>
                      <w:lang w:val="en-US" w:eastAsia="zh-CN"/>
                    </w:rPr>
                    <w:t>量化、资源化和无害化。</w:t>
                  </w:r>
                </w:p>
              </w:tc>
              <w:tc>
                <w:tcPr>
                  <w:tcW w:w="0" w:type="auto"/>
                  <w:vAlign w:val="center"/>
                </w:tcPr>
                <w:p w14:paraId="0A577241">
                  <w:pPr>
                    <w:pStyle w:val="42"/>
                    <w:bidi w:val="0"/>
                    <w:jc w:val="center"/>
                    <w:rPr>
                      <w:rFonts w:hint="default"/>
                      <w:u w:val="single"/>
                      <w:lang w:val="en-US" w:eastAsia="zh-CN"/>
                    </w:rPr>
                  </w:pPr>
                  <w:r>
                    <w:rPr>
                      <w:rFonts w:hint="eastAsia"/>
                      <w:u w:val="single"/>
                      <w:lang w:val="en-US" w:eastAsia="zh-CN"/>
                    </w:rPr>
                    <w:t>符合，本项目为无害化处理项目，不属于规模化畜禽养殖场及养殖专业户。</w:t>
                  </w:r>
                </w:p>
              </w:tc>
            </w:tr>
          </w:tbl>
          <w:p w14:paraId="1D76C751">
            <w:pPr>
              <w:ind w:left="0" w:leftChars="0" w:firstLine="0" w:firstLineChars="0"/>
              <w:rPr>
                <w:rFonts w:hint="default"/>
                <w:lang w:val="en-US" w:eastAsia="zh-CN"/>
              </w:rPr>
            </w:pPr>
          </w:p>
          <w:p w14:paraId="78705D2A">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1.</w:t>
            </w:r>
            <w:r>
              <w:rPr>
                <w:rFonts w:hint="eastAsia" w:cs="Times New Roman"/>
                <w:b/>
                <w:i w:val="0"/>
                <w:kern w:val="2"/>
                <w:sz w:val="24"/>
                <w:szCs w:val="24"/>
                <w:lang w:val="en-US" w:eastAsia="zh-CN" w:bidi="ar-SA"/>
              </w:rPr>
              <w:t>4</w:t>
            </w:r>
            <w:r>
              <w:rPr>
                <w:rFonts w:hint="default" w:ascii="Times New Roman" w:hAnsi="Times New Roman" w:eastAsia="宋体" w:cs="Times New Roman"/>
                <w:b/>
                <w:i w:val="0"/>
                <w:kern w:val="2"/>
                <w:sz w:val="24"/>
                <w:szCs w:val="24"/>
                <w:lang w:val="en-US" w:eastAsia="zh-CN" w:bidi="ar-SA"/>
              </w:rPr>
              <w:t>、</w:t>
            </w:r>
            <w:r>
              <w:rPr>
                <w:rFonts w:hint="eastAsia"/>
              </w:rPr>
              <w:t>产业政策相符性分析</w:t>
            </w:r>
          </w:p>
          <w:p w14:paraId="1DEC06F3">
            <w:pPr>
              <w:keepNext w:val="0"/>
              <w:keepLines w:val="0"/>
              <w:widowControl/>
              <w:suppressLineNumbers w:val="0"/>
              <w:jc w:val="left"/>
            </w:pPr>
            <w:r>
              <w:t>本项目为</w:t>
            </w:r>
            <w:r>
              <w:rPr>
                <w:rFonts w:hint="eastAsia"/>
                <w:spacing w:val="-2"/>
                <w:sz w:val="24"/>
                <w:lang w:eastAsia="zh-CN"/>
              </w:rPr>
              <w:t>病死禽畜无害化处理及有机肥加工制造</w:t>
            </w:r>
            <w:r>
              <w:t>项目，根据《产业结构调整指导目录（2024年本）》，</w:t>
            </w:r>
            <w:r>
              <w:rPr>
                <w:rFonts w:hint="eastAsia"/>
              </w:rPr>
              <w:t>项目</w:t>
            </w:r>
            <w:r>
              <w:rPr>
                <w:rFonts w:hint="eastAsia"/>
                <w:lang w:eastAsia="zh-CN"/>
              </w:rPr>
              <w:t>属于第一类鼓励</w:t>
            </w:r>
            <w:r>
              <w:rPr>
                <w:rFonts w:hint="eastAsia"/>
              </w:rPr>
              <w:t>类</w:t>
            </w:r>
            <w:r>
              <w:rPr>
                <w:rFonts w:hint="eastAsia"/>
                <w:lang w:eastAsia="zh-CN"/>
              </w:rPr>
              <w:t>中的一、农林牧渔业</w:t>
            </w:r>
            <w:r>
              <w:rPr>
                <w:rFonts w:hint="eastAsia"/>
                <w:lang w:val="en-US" w:eastAsia="zh-CN"/>
              </w:rPr>
              <w:t>14病死畜禽无害化处理</w:t>
            </w:r>
            <w:r>
              <w:rPr>
                <w:rFonts w:hint="eastAsia"/>
              </w:rPr>
              <w:t>项目，建设符合国家产业政策。</w:t>
            </w:r>
          </w:p>
          <w:p w14:paraId="342DBB2C">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1.</w:t>
            </w:r>
            <w:r>
              <w:rPr>
                <w:rFonts w:hint="eastAsia" w:cs="Times New Roman"/>
                <w:b/>
                <w:i w:val="0"/>
                <w:kern w:val="2"/>
                <w:sz w:val="24"/>
                <w:szCs w:val="24"/>
                <w:lang w:val="en-US" w:eastAsia="zh-CN" w:bidi="ar-SA"/>
              </w:rPr>
              <w:t>5</w:t>
            </w:r>
            <w:r>
              <w:rPr>
                <w:rFonts w:hint="default" w:ascii="Times New Roman" w:hAnsi="Times New Roman" w:eastAsia="宋体" w:cs="Times New Roman"/>
                <w:b/>
                <w:i w:val="0"/>
                <w:kern w:val="2"/>
                <w:sz w:val="24"/>
                <w:szCs w:val="24"/>
                <w:lang w:val="en-US" w:eastAsia="zh-CN" w:bidi="ar-SA"/>
              </w:rPr>
              <w:t>、</w:t>
            </w:r>
            <w:r>
              <w:t>项目选址合理性分析</w:t>
            </w:r>
          </w:p>
          <w:p w14:paraId="2AEC044D">
            <w:pPr>
              <w:keepLines w:val="0"/>
              <w:pageBreakBefore w:val="0"/>
              <w:widowControl w:val="0"/>
              <w:kinsoku/>
              <w:wordWrap/>
              <w:overflowPunct w:val="0"/>
              <w:topLinePunct w:val="0"/>
              <w:autoSpaceDE/>
              <w:autoSpaceDN/>
              <w:bidi w:val="0"/>
              <w:adjustRightInd/>
              <w:snapToGrid/>
              <w:ind w:firstLine="480" w:firstLineChars="200"/>
              <w:textAlignment w:val="auto"/>
            </w:pPr>
            <w:r>
              <w:rPr>
                <w:rFonts w:ascii="Times New Roman" w:hAnsi="Times New Roman" w:eastAsia="宋体" w:cs="Times New Roman"/>
              </w:rPr>
              <w:t>本项目为</w:t>
            </w:r>
            <w:r>
              <w:rPr>
                <w:rFonts w:hint="eastAsia" w:cs="Times New Roman"/>
                <w:lang w:eastAsia="zh-CN"/>
              </w:rPr>
              <w:t>新</w:t>
            </w:r>
            <w:r>
              <w:rPr>
                <w:rFonts w:ascii="Times New Roman" w:hAnsi="Times New Roman" w:eastAsia="宋体" w:cs="Times New Roman"/>
              </w:rPr>
              <w:t>建项目，位于桂林市</w:t>
            </w:r>
            <w:r>
              <w:rPr>
                <w:rFonts w:hint="eastAsia" w:ascii="Times New Roman" w:hAnsi="Times New Roman" w:eastAsia="宋体" w:cs="Times New Roman"/>
              </w:rPr>
              <w:t>全州县工业集中区综合产业园城西片区</w:t>
            </w:r>
            <w:r>
              <w:rPr>
                <w:rFonts w:ascii="Times New Roman" w:hAnsi="Times New Roman" w:eastAsia="宋体" w:cs="Times New Roman"/>
              </w:rPr>
              <w:t>，项目所在地土地利用类型为工业用地，</w:t>
            </w:r>
            <w:r>
              <w:t>项目</w:t>
            </w:r>
            <w:r>
              <w:rPr>
                <w:rFonts w:hint="eastAsia"/>
              </w:rPr>
              <w:t>用地</w:t>
            </w:r>
            <w:r>
              <w:t>未占用基本农田，不涉及饮用水源保护区</w:t>
            </w:r>
            <w:r>
              <w:rPr>
                <w:rFonts w:hint="eastAsia"/>
              </w:rPr>
              <w:t>、</w:t>
            </w:r>
            <w:r>
              <w:t>自然保护区</w:t>
            </w:r>
            <w:r>
              <w:rPr>
                <w:rFonts w:hint="eastAsia"/>
              </w:rPr>
              <w:t>，根据现场调查及实测，项目所在地大气、地表水、声环境质量均良好，具有一定环境承载力。</w:t>
            </w:r>
          </w:p>
          <w:p w14:paraId="0B30E79B">
            <w:pPr>
              <w:ind w:firstLine="480"/>
              <w:rPr>
                <w:rFonts w:hint="eastAsia"/>
              </w:rPr>
            </w:pPr>
            <w:r>
              <w:rPr>
                <w:rFonts w:hint="eastAsia"/>
              </w:rPr>
              <w:t>本项目生产过程产生的主要污染源为职工生活污水、机械设备运行噪声、生产过程产生的</w:t>
            </w:r>
            <w:r>
              <w:rPr>
                <w:rFonts w:hint="eastAsia"/>
                <w:lang w:eastAsia="zh-CN"/>
              </w:rPr>
              <w:t>废气</w:t>
            </w:r>
            <w:r>
              <w:rPr>
                <w:rFonts w:hint="eastAsia"/>
              </w:rPr>
              <w:t>等，在采取相应的环保治理措施后将其影响控制在小范围内，可为环境所接受。因此，评价认为从环保角度本项目选址合理。</w:t>
            </w:r>
          </w:p>
          <w:p w14:paraId="7E3B10B3">
            <w:pPr>
              <w:pStyle w:val="4"/>
              <w:numPr>
                <w:ilvl w:val="1"/>
                <w:numId w:val="0"/>
              </w:numPr>
              <w:bidi w:val="0"/>
              <w:ind w:leftChars="0"/>
              <w:rPr>
                <w:rFonts w:hint="eastAsia" w:cs="Times New Roman"/>
                <w:bCs/>
                <w:sz w:val="24"/>
                <w:szCs w:val="24"/>
                <w:lang w:val="en-US" w:eastAsia="zh-CN"/>
              </w:rPr>
            </w:pPr>
            <w:r>
              <w:rPr>
                <w:rFonts w:hint="eastAsia"/>
                <w:lang w:val="en-US" w:eastAsia="zh-CN"/>
              </w:rPr>
              <w:t>1.6、</w:t>
            </w:r>
            <w:r>
              <w:rPr>
                <w:rFonts w:hint="default" w:ascii="Times New Roman" w:hAnsi="Times New Roman" w:cs="Times New Roman"/>
                <w:bCs/>
                <w:sz w:val="24"/>
                <w:szCs w:val="24"/>
                <w:lang w:val="en-US" w:eastAsia="zh-CN"/>
              </w:rPr>
              <w:t>“三区三线”</w:t>
            </w:r>
            <w:r>
              <w:rPr>
                <w:rFonts w:hint="eastAsia" w:cs="Times New Roman"/>
                <w:bCs/>
                <w:sz w:val="24"/>
                <w:szCs w:val="24"/>
                <w:lang w:val="en-US" w:eastAsia="zh-CN"/>
              </w:rPr>
              <w:t>相符性分析</w:t>
            </w:r>
          </w:p>
          <w:p w14:paraId="32B36DF7">
            <w:pPr>
              <w:rPr>
                <w:rFonts w:hint="default"/>
                <w:u w:val="single"/>
                <w:lang w:val="en-US" w:eastAsia="zh-CN"/>
              </w:rPr>
            </w:pPr>
            <w:r>
              <w:rPr>
                <w:rFonts w:hint="eastAsia" w:cs="Times New Roman"/>
                <w:bCs/>
                <w:sz w:val="24"/>
                <w:szCs w:val="24"/>
                <w:u w:val="single"/>
                <w:lang w:val="en-US" w:eastAsia="zh-CN"/>
              </w:rPr>
              <w:t>根据全州县自然资源局《关于全州县病死畜禽无害化处理项目“三区三线”审查意见》，本项目位于城西工业园区，用地面积10430.52平方米(合15.6458亩)。经套合“三区三线”成果数据，该项目不占生态保护红线、不占永久基本农田、全部在城镇开发边界内。与</w:t>
            </w:r>
            <w:r>
              <w:rPr>
                <w:rFonts w:hint="default" w:ascii="Times New Roman" w:hAnsi="Times New Roman" w:cs="Times New Roman"/>
                <w:bCs/>
                <w:sz w:val="24"/>
                <w:szCs w:val="24"/>
                <w:u w:val="single"/>
                <w:lang w:val="en-US" w:eastAsia="zh-CN"/>
              </w:rPr>
              <w:t>“三区三线”</w:t>
            </w:r>
            <w:r>
              <w:rPr>
                <w:rFonts w:hint="eastAsia" w:cs="Times New Roman"/>
                <w:bCs/>
                <w:sz w:val="24"/>
                <w:szCs w:val="24"/>
                <w:u w:val="single"/>
                <w:lang w:val="en-US" w:eastAsia="zh-CN"/>
              </w:rPr>
              <w:t>规划相符。详见附件8。</w:t>
            </w:r>
          </w:p>
          <w:p w14:paraId="12BFFE6C">
            <w:pPr>
              <w:ind w:firstLine="480"/>
            </w:pPr>
          </w:p>
        </w:tc>
      </w:tr>
    </w:tbl>
    <w:p w14:paraId="3B78D19F">
      <w:pPr>
        <w:pStyle w:val="2"/>
        <w:numPr>
          <w:ilvl w:val="0"/>
          <w:numId w:val="0"/>
        </w:numPr>
        <w:ind w:left="0" w:leftChars="0" w:firstLine="0" w:firstLineChars="0"/>
      </w:pPr>
      <w:bookmarkStart w:id="3" w:name="_Toc61627931"/>
      <w:r>
        <w:rPr>
          <w:rFonts w:hint="eastAsia" w:ascii="Times New Roman" w:hAnsi="Times New Roman" w:eastAsia="宋体" w:cs="Times New Roman"/>
          <w:b/>
          <w:kern w:val="2"/>
          <w:sz w:val="28"/>
          <w:szCs w:val="28"/>
          <w:lang w:val="en-US" w:eastAsia="zh-CN" w:bidi="ar-SA"/>
        </w:rPr>
        <w:t>二、</w:t>
      </w:r>
      <w:r>
        <w:t>建设项目工程分析</w:t>
      </w:r>
      <w:bookmarkEnd w:id="3"/>
    </w:p>
    <w:tbl>
      <w:tblPr>
        <w:tblStyle w:val="2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8831"/>
      </w:tblGrid>
      <w:tr w14:paraId="2AE0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50E8CBE">
            <w:pPr>
              <w:spacing w:line="276" w:lineRule="auto"/>
              <w:ind w:firstLine="0" w:firstLineChars="0"/>
              <w:jc w:val="center"/>
            </w:pPr>
            <w:r>
              <w:rPr>
                <w:rFonts w:hint="eastAsia"/>
              </w:rPr>
              <w:t>建设内容</w:t>
            </w:r>
          </w:p>
        </w:tc>
        <w:tc>
          <w:tcPr>
            <w:tcW w:w="8363" w:type="dxa"/>
          </w:tcPr>
          <w:p w14:paraId="17A9296E">
            <w:pPr>
              <w:pStyle w:val="4"/>
              <w:numPr>
                <w:ilvl w:val="1"/>
                <w:numId w:val="0"/>
              </w:numPr>
              <w:bidi w:val="0"/>
              <w:ind w:left="0" w:leftChars="0" w:firstLine="0" w:firstLineChars="0"/>
              <w:rPr>
                <w:rFonts w:hint="eastAsia" w:cs="Times New Roman"/>
                <w:b/>
                <w:i w:val="0"/>
                <w:kern w:val="2"/>
                <w:sz w:val="24"/>
                <w:szCs w:val="24"/>
                <w:lang w:val="en-US" w:eastAsia="zh-CN" w:bidi="ar-SA"/>
              </w:rPr>
            </w:pPr>
            <w:r>
              <w:rPr>
                <w:rFonts w:hint="eastAsia" w:cs="Times New Roman"/>
                <w:b/>
                <w:i w:val="0"/>
                <w:kern w:val="2"/>
                <w:sz w:val="24"/>
                <w:szCs w:val="24"/>
                <w:lang w:val="en-US" w:eastAsia="zh-CN" w:bidi="ar-SA"/>
              </w:rPr>
              <w:t>2.1、项目背景及由来</w:t>
            </w:r>
          </w:p>
          <w:p w14:paraId="5188FF93">
            <w:pPr>
              <w:pStyle w:val="63"/>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随着国家大力扶持畜禽养殖产业，</w:t>
            </w:r>
            <w:r>
              <w:rPr>
                <w:rFonts w:hint="eastAsia" w:ascii="Times New Roman" w:hAnsi="Times New Roman" w:eastAsia="宋体" w:cs="Times New Roman"/>
                <w:color w:val="auto"/>
                <w:kern w:val="2"/>
                <w:sz w:val="24"/>
                <w:szCs w:val="24"/>
                <w:highlight w:val="none"/>
                <w:lang w:val="en-US" w:eastAsia="zh-CN" w:bidi="ar-SA"/>
              </w:rPr>
              <w:t>全州及周边县城</w:t>
            </w:r>
            <w:r>
              <w:rPr>
                <w:rFonts w:hint="default" w:ascii="Times New Roman" w:hAnsi="Times New Roman" w:eastAsia="宋体" w:cs="Times New Roman"/>
                <w:color w:val="auto"/>
                <w:kern w:val="2"/>
                <w:sz w:val="24"/>
                <w:szCs w:val="24"/>
                <w:highlight w:val="none"/>
                <w:lang w:val="en-US" w:eastAsia="zh-CN" w:bidi="ar-SA"/>
              </w:rPr>
              <w:t>畜禽养殖量逐年递增，与此同时，病死畜禽的数量也大大增加，产生了较大的动物疫情隐患和畜禽产品安全问题，主要包括：一是农村散养户产生的少量的病死畜禽自行采取就近掩埋的方法甚至随处丢弃；二是无害化处理不规范，部分养殖（户</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主缺乏病死畜禽无害化处理常识，在处理过程中常会出现焚烧、掩埋不彻底、消毒不严等问题，对周围环境和地下水源等造成较大污染，甚至有可能造成动物间甚至人与动物间的疾病传播，从而引发公共卫生及食品安全事件。为了有效控制畜禽疫病传播扩散，有效解决病死畜禽环境污染等问题，从源头上遏制病死畜禽流向市场或随意丢弃，国务院办公厅发布了《关于建立病死畜禽无害化处理机制的意见》国办发〔2014〕47号文件，</w:t>
            </w:r>
            <w:r>
              <w:rPr>
                <w:rFonts w:hint="eastAsia" w:ascii="Times New Roman" w:hAnsi="Times New Roman" w:eastAsia="宋体" w:cs="Times New Roman"/>
                <w:color w:val="auto"/>
                <w:kern w:val="2"/>
                <w:sz w:val="24"/>
                <w:szCs w:val="24"/>
                <w:highlight w:val="none"/>
                <w:lang w:val="en-US" w:eastAsia="zh-CN" w:bidi="ar-SA"/>
              </w:rPr>
              <w:t>农业农村部</w:t>
            </w:r>
            <w:r>
              <w:rPr>
                <w:rFonts w:hint="default" w:ascii="Times New Roman" w:hAnsi="Times New Roman" w:eastAsia="宋体" w:cs="Times New Roman"/>
                <w:color w:val="auto"/>
                <w:kern w:val="2"/>
                <w:sz w:val="24"/>
                <w:szCs w:val="24"/>
                <w:highlight w:val="none"/>
                <w:lang w:val="en-US" w:eastAsia="zh-CN" w:bidi="ar-SA"/>
              </w:rPr>
              <w:t>印发《建立病死猪无害化处理长效机制试点方案》的通知。</w:t>
            </w:r>
          </w:p>
          <w:p w14:paraId="5558DDBA">
            <w:pPr>
              <w:pStyle w:val="63"/>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根据《中华人民共和国动物防疫法》规定，禁止屠宰、经营、运输、加工病死及死因不明的动物及动物产品，病死动物不得随意处置，必须进行无害化处理。因此，</w:t>
            </w:r>
            <w:r>
              <w:rPr>
                <w:rFonts w:hint="eastAsia" w:ascii="Times New Roman" w:hAnsi="Times New Roman" w:eastAsia="宋体" w:cs="Times New Roman"/>
                <w:color w:val="auto"/>
                <w:kern w:val="2"/>
                <w:sz w:val="24"/>
                <w:szCs w:val="24"/>
                <w:highlight w:val="none"/>
                <w:lang w:val="en-US" w:eastAsia="zh-CN" w:bidi="ar-SA"/>
              </w:rPr>
              <w:t>全州县侨盈环保科技有限公司</w:t>
            </w:r>
            <w:r>
              <w:rPr>
                <w:rFonts w:hint="default" w:ascii="Times New Roman" w:hAnsi="Times New Roman" w:eastAsia="宋体" w:cs="Times New Roman"/>
                <w:color w:val="auto"/>
                <w:kern w:val="2"/>
                <w:sz w:val="24"/>
                <w:szCs w:val="24"/>
                <w:highlight w:val="none"/>
                <w:lang w:val="en-US" w:eastAsia="zh-CN" w:bidi="ar-SA"/>
              </w:rPr>
              <w:t>（以下简称</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建设单位</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选址于</w:t>
            </w:r>
            <w:r>
              <w:rPr>
                <w:rFonts w:hint="eastAsia" w:ascii="Times New Roman" w:hAnsi="Times New Roman" w:eastAsia="宋体" w:cs="Times New Roman"/>
                <w:color w:val="auto"/>
                <w:kern w:val="2"/>
                <w:sz w:val="24"/>
                <w:szCs w:val="24"/>
                <w:highlight w:val="none"/>
                <w:lang w:val="en-US" w:eastAsia="zh-CN" w:bidi="ar-SA"/>
              </w:rPr>
              <w:t>桂林市全州县工业集中区综合产业园城西片区</w:t>
            </w:r>
            <w:r>
              <w:rPr>
                <w:rFonts w:hint="default" w:ascii="Times New Roman" w:hAnsi="Times New Roman" w:eastAsia="宋体" w:cs="Times New Roman"/>
                <w:color w:val="auto"/>
                <w:kern w:val="2"/>
                <w:sz w:val="24"/>
                <w:szCs w:val="24"/>
                <w:highlight w:val="none"/>
                <w:lang w:val="en-US" w:eastAsia="zh-CN" w:bidi="ar-SA"/>
              </w:rPr>
              <w:t>建设</w:t>
            </w:r>
            <w:r>
              <w:rPr>
                <w:rFonts w:hint="eastAsia" w:ascii="Times New Roman" w:hAnsi="Times New Roman" w:eastAsia="宋体" w:cs="Times New Roman"/>
                <w:color w:val="auto"/>
                <w:kern w:val="2"/>
                <w:sz w:val="24"/>
                <w:szCs w:val="24"/>
                <w:highlight w:val="none"/>
                <w:lang w:val="en-US" w:eastAsia="zh-CN" w:bidi="ar-SA"/>
              </w:rPr>
              <w:t>全州县病死畜禽无害化处理项目</w:t>
            </w:r>
            <w:r>
              <w:rPr>
                <w:rFonts w:hint="default" w:ascii="Times New Roman" w:hAnsi="Times New Roman" w:eastAsia="宋体" w:cs="Times New Roman"/>
                <w:color w:val="auto"/>
                <w:kern w:val="2"/>
                <w:sz w:val="24"/>
                <w:szCs w:val="24"/>
                <w:highlight w:val="none"/>
                <w:lang w:val="en-US" w:eastAsia="zh-CN" w:bidi="ar-SA"/>
              </w:rPr>
              <w:t>（以下简称</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本项目</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，对</w:t>
            </w:r>
            <w:r>
              <w:rPr>
                <w:rFonts w:hint="eastAsia" w:ascii="Times New Roman" w:hAnsi="Times New Roman" w:eastAsia="宋体" w:cs="Times New Roman"/>
                <w:color w:val="auto"/>
                <w:kern w:val="2"/>
                <w:sz w:val="24"/>
                <w:szCs w:val="24"/>
                <w:highlight w:val="none"/>
                <w:lang w:val="en-US" w:eastAsia="zh-CN" w:bidi="ar-SA"/>
              </w:rPr>
              <w:t>全州县及</w:t>
            </w:r>
            <w:r>
              <w:rPr>
                <w:rFonts w:hint="default" w:ascii="Times New Roman" w:hAnsi="Times New Roman" w:eastAsia="宋体" w:cs="Times New Roman"/>
                <w:color w:val="auto"/>
                <w:kern w:val="2"/>
                <w:sz w:val="24"/>
                <w:szCs w:val="24"/>
                <w:highlight w:val="none"/>
                <w:lang w:val="en-US" w:eastAsia="zh-CN" w:bidi="ar-SA"/>
              </w:rPr>
              <w:t>周边区域的病死畜禽进行无害化处理。对病死畜禽进行无害化处理，是指用物理、化学等方法处理病死动物尸体及相关动物产品，消灭其携带的病原微生物，消除动物尸体危害的过程。《病死动物无害化处理技术规范》（农医发[2017]25号</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中规定的方法有焚烧法、化制法、高温法、深埋法和硫酸分解法等，本项目采用该技术规范中</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化制法中的干化法</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对病死畜禽进行无害化处理。</w:t>
            </w:r>
          </w:p>
          <w:p w14:paraId="76B4559C">
            <w:pPr>
              <w:pStyle w:val="63"/>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拟建项目在接收到养殖户汇报有病死畜禽需要收集处置前，保险部门与畜禽防疫部门已派遣专业检疫人员先进入养殖户对病死畜禽进行鉴定是否为感染《病死及病害动物无害化处理技术规范》中规定拟建项目不得收集处置的疫病，若为规定拟建项目不得处置的病死畜禽，不进行收集。是否感染病毒由畜禽防疫部门与保险部门前期把控，拟建项目作为末端治理工程，其工艺设计即已满足染疫病死畜禽处置的要求。</w:t>
            </w:r>
          </w:p>
          <w:p w14:paraId="7CC97606">
            <w:pPr>
              <w:pStyle w:val="63"/>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根据《关于病害动物无害化处理有关意见的复函》（环办函[2014]789号</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，本项目属于病死畜禽无害化处理项目，但不属于危险废物集中处置项目。其具体内容如下：</w:t>
            </w:r>
          </w:p>
          <w:p w14:paraId="5432B9B7">
            <w:pPr>
              <w:pStyle w:val="63"/>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一、《</w:t>
            </w:r>
            <w:r>
              <w:rPr>
                <w:rFonts w:hint="eastAsia" w:ascii="Times New Roman" w:hAnsi="Times New Roman" w:eastAsia="宋体" w:cs="Times New Roman"/>
                <w:color w:val="auto"/>
                <w:kern w:val="2"/>
                <w:sz w:val="24"/>
                <w:szCs w:val="24"/>
                <w:highlight w:val="none"/>
                <w:lang w:val="en-US" w:eastAsia="zh-CN" w:bidi="ar-SA"/>
              </w:rPr>
              <w:t>中华人民共和国动物防疫法</w:t>
            </w:r>
            <w:r>
              <w:rPr>
                <w:rFonts w:hint="default" w:ascii="Times New Roman" w:hAnsi="Times New Roman" w:eastAsia="宋体" w:cs="Times New Roman"/>
                <w:color w:val="auto"/>
                <w:kern w:val="2"/>
                <w:sz w:val="24"/>
                <w:szCs w:val="24"/>
                <w:highlight w:val="none"/>
                <w:lang w:val="en-US" w:eastAsia="zh-CN" w:bidi="ar-SA"/>
              </w:rPr>
              <w:t>》明确要求病害动物应当按照国务院兽医主管部门的规定进行无害化处理，不得随意处置；不按规定处置的，由动物卫生监督机构责令无害化处理，所需处理费用由违法行为人承担。</w:t>
            </w:r>
            <w:r>
              <w:rPr>
                <w:rFonts w:hint="eastAsia" w:ascii="Times New Roman" w:hAnsi="Times New Roman" w:eastAsia="宋体" w:cs="Times New Roman"/>
                <w:color w:val="auto"/>
                <w:kern w:val="2"/>
                <w:sz w:val="24"/>
                <w:szCs w:val="24"/>
                <w:highlight w:val="none"/>
                <w:lang w:val="en-US" w:eastAsia="zh-CN" w:bidi="ar-SA"/>
              </w:rPr>
              <w:t>农业农村部</w:t>
            </w:r>
            <w:r>
              <w:rPr>
                <w:rFonts w:hint="default" w:ascii="Times New Roman" w:hAnsi="Times New Roman" w:eastAsia="宋体" w:cs="Times New Roman"/>
                <w:color w:val="auto"/>
                <w:kern w:val="2"/>
                <w:sz w:val="24"/>
                <w:szCs w:val="24"/>
                <w:highlight w:val="none"/>
                <w:lang w:val="en-US" w:eastAsia="zh-CN" w:bidi="ar-SA"/>
              </w:rPr>
              <w:t>印发的《关于进一步加强病死动物无害化处理监管工作的通知》（农医发[2012]12号</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也明确提出，动物卫生监督机构承担病死动物及动物产品无害化处理的监督责任；《病死动物无害化处理技术规范》（农医发[2013]34号</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明确了病害动物无害化处理的技术要求。</w:t>
            </w:r>
          </w:p>
          <w:p w14:paraId="56406F51">
            <w:pPr>
              <w:pStyle w:val="63"/>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二、</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为防治动物传染病而需要收集和处置的废物</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被列入《国家危险废物名录》中，编号为900—001—01。但是，根据法律位阶高于部门规章的法律适用规则，病害动物的无害化处理应执行《动物防治法》。</w:t>
            </w:r>
          </w:p>
          <w:p w14:paraId="0A3521F7">
            <w:pPr>
              <w:pStyle w:val="63"/>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三、我部认为病害动物无害化处理项目由农业部门按照有关法律法规和技术规范进行监管，可以实现病害动物无害化处理和环境污染防控的目的，不宜再认定为危险废物集中处置项目。</w:t>
            </w:r>
          </w:p>
          <w:p w14:paraId="5A6AD743">
            <w:pPr>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根据《中华人民共和国环境保护法》、《中华人民共和国环境影响评价法》和《建设项目环境保护管理条例》的规定，本项目应开展环境影响评价工作。根据国家《建设项目环境影响评价分类管理名录（2021年版</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》（2020年11月30日</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规定，该项目属于</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四十七、生态保护和环境治理业；102医疗废物处置、病死及病害动物无害化处理—其他</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w:t>
            </w:r>
            <w:r>
              <w:rPr>
                <w:rFonts w:hint="eastAsia" w:ascii="Times New Roman" w:eastAsia="Times New Roman"/>
                <w:sz w:val="24"/>
              </w:rPr>
              <w:t>四十一、电力、热力生产和供应业中“91、热力生产和供应工程(包括建设单位自建自用的供热工程)</w:t>
            </w:r>
            <w:r>
              <w:rPr>
                <w:rFonts w:hint="eastAsia"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应当编制环境影响报告表。受</w:t>
            </w:r>
            <w:r>
              <w:rPr>
                <w:rFonts w:hint="eastAsia" w:ascii="Times New Roman" w:hAnsi="Times New Roman" w:eastAsia="宋体" w:cs="Times New Roman"/>
                <w:color w:val="auto"/>
                <w:kern w:val="2"/>
                <w:sz w:val="24"/>
                <w:szCs w:val="24"/>
                <w:highlight w:val="none"/>
                <w:lang w:val="en-US" w:eastAsia="zh-CN" w:bidi="ar-SA"/>
              </w:rPr>
              <w:t>全州县侨盈环保科技有限公司</w:t>
            </w:r>
            <w:r>
              <w:rPr>
                <w:rFonts w:hint="default" w:ascii="Times New Roman" w:hAnsi="Times New Roman" w:eastAsia="宋体" w:cs="Times New Roman"/>
                <w:color w:val="auto"/>
                <w:kern w:val="2"/>
                <w:sz w:val="24"/>
                <w:szCs w:val="24"/>
                <w:highlight w:val="none"/>
                <w:lang w:val="en-US" w:eastAsia="zh-CN" w:bidi="ar-SA"/>
              </w:rPr>
              <w:t>的委托，我单位接受了该项目环境影响评价工作，并开展了现场踏勘、资料收集、整理工作。本单位在掌握了充分的资料数据基础上，对有关环境现状和可能产生的环境影响进行分析后，编制了《</w:t>
            </w:r>
            <w:r>
              <w:rPr>
                <w:rFonts w:hint="eastAsia" w:ascii="Times New Roman" w:hAnsi="Times New Roman" w:eastAsia="宋体" w:cs="Times New Roman"/>
                <w:color w:val="auto"/>
                <w:kern w:val="2"/>
                <w:sz w:val="24"/>
                <w:szCs w:val="24"/>
                <w:highlight w:val="none"/>
                <w:lang w:val="en-US" w:eastAsia="zh-CN" w:bidi="ar-SA"/>
              </w:rPr>
              <w:t>全州县病死畜禽无害化处理项目</w:t>
            </w:r>
            <w:r>
              <w:rPr>
                <w:rFonts w:hint="default" w:ascii="Times New Roman" w:hAnsi="Times New Roman" w:eastAsia="宋体" w:cs="Times New Roman"/>
                <w:color w:val="auto"/>
                <w:kern w:val="2"/>
                <w:sz w:val="24"/>
                <w:szCs w:val="24"/>
                <w:highlight w:val="none"/>
                <w:lang w:val="en-US" w:eastAsia="zh-CN" w:bidi="ar-SA"/>
              </w:rPr>
              <w:t>环境影响报告表》，以供建设单位上报环境保护行政主管部门审批，作为本项目进行环境管理的依据</w:t>
            </w:r>
            <w:r>
              <w:rPr>
                <w:rFonts w:hint="eastAsia" w:ascii="Times New Roman" w:hAnsi="Times New Roman" w:eastAsia="宋体" w:cs="Times New Roman"/>
                <w:color w:val="auto"/>
                <w:kern w:val="2"/>
                <w:sz w:val="24"/>
                <w:szCs w:val="24"/>
                <w:highlight w:val="none"/>
                <w:lang w:val="en-US" w:eastAsia="zh-CN" w:bidi="ar-SA"/>
              </w:rPr>
              <w:t>。</w:t>
            </w:r>
          </w:p>
          <w:p w14:paraId="549E65DE">
            <w:pPr>
              <w:pStyle w:val="4"/>
              <w:numPr>
                <w:ilvl w:val="1"/>
                <w:numId w:val="0"/>
              </w:numPr>
              <w:bidi w:val="0"/>
              <w:ind w:left="0" w:leftChars="0" w:firstLine="0" w:firstLineChars="0"/>
              <w:rPr>
                <w:rFonts w:hint="eastAsia"/>
                <w:lang w:eastAsia="zh-CN"/>
              </w:rPr>
            </w:pPr>
            <w:r>
              <w:rPr>
                <w:rFonts w:hint="default" w:ascii="Times New Roman" w:hAnsi="Times New Roman" w:eastAsia="宋体" w:cs="Times New Roman"/>
                <w:b/>
                <w:i w:val="0"/>
                <w:kern w:val="2"/>
                <w:sz w:val="24"/>
                <w:szCs w:val="24"/>
                <w:lang w:val="en-US" w:eastAsia="zh-CN" w:bidi="ar-SA"/>
              </w:rPr>
              <w:t>2.</w:t>
            </w:r>
            <w:r>
              <w:rPr>
                <w:rFonts w:hint="eastAsia" w:cs="Times New Roman"/>
                <w:b/>
                <w:i w:val="0"/>
                <w:kern w:val="2"/>
                <w:sz w:val="24"/>
                <w:szCs w:val="24"/>
                <w:lang w:val="en-US" w:eastAsia="zh-CN" w:bidi="ar-SA"/>
              </w:rPr>
              <w:t>2</w:t>
            </w:r>
            <w:r>
              <w:rPr>
                <w:rFonts w:hint="default" w:ascii="Times New Roman" w:hAnsi="Times New Roman" w:eastAsia="宋体" w:cs="Times New Roman"/>
                <w:b/>
                <w:i w:val="0"/>
                <w:kern w:val="2"/>
                <w:sz w:val="24"/>
                <w:szCs w:val="24"/>
                <w:lang w:val="en-US" w:eastAsia="zh-CN" w:bidi="ar-SA"/>
              </w:rPr>
              <w:t>、</w:t>
            </w:r>
            <w:r>
              <w:rPr>
                <w:rFonts w:hint="eastAsia"/>
                <w:lang w:eastAsia="zh-CN"/>
              </w:rPr>
              <w:t>项目建设内容</w:t>
            </w:r>
          </w:p>
          <w:p w14:paraId="4C7B440A">
            <w:pPr>
              <w:autoSpaceDE/>
              <w:autoSpaceDN/>
              <w:spacing w:line="360" w:lineRule="auto"/>
              <w:ind w:firstLine="480" w:firstLineChars="200"/>
              <w:jc w:val="both"/>
              <w:rPr>
                <w:rFonts w:ascii="Times New Roman" w:hAnsi="Times New Roman" w:cs="Times New Roman"/>
                <w:kern w:val="2"/>
                <w:sz w:val="24"/>
                <w:szCs w:val="24"/>
                <w:lang w:val="en-US" w:bidi="ar-SA"/>
              </w:rPr>
            </w:pPr>
            <w:r>
              <w:rPr>
                <w:rFonts w:ascii="Times New Roman" w:hAnsi="Times New Roman" w:cs="Times New Roman"/>
                <w:kern w:val="2"/>
                <w:sz w:val="24"/>
                <w:szCs w:val="24"/>
                <w:lang w:val="en-US" w:bidi="ar-SA"/>
              </w:rPr>
              <w:t>项目位于</w:t>
            </w:r>
            <w:r>
              <w:rPr>
                <w:rFonts w:hint="eastAsia" w:ascii="Times New Roman" w:hAnsi="Times New Roman" w:cs="Times New Roman"/>
                <w:kern w:val="2"/>
                <w:sz w:val="24"/>
                <w:szCs w:val="24"/>
                <w:lang w:val="en-US" w:bidi="ar-SA"/>
              </w:rPr>
              <w:t>桂林市全州县工业集中区综合产业园城西片区</w:t>
            </w:r>
            <w:r>
              <w:rPr>
                <w:rFonts w:ascii="Times New Roman" w:hAnsi="Times New Roman" w:cs="Times New Roman"/>
                <w:kern w:val="2"/>
                <w:sz w:val="24"/>
                <w:szCs w:val="24"/>
                <w:lang w:val="en-US" w:bidi="ar-SA"/>
              </w:rPr>
              <w:t>，</w:t>
            </w:r>
            <w:r>
              <w:rPr>
                <w:rFonts w:hint="eastAsia" w:ascii="Times New Roman" w:hAnsi="Times New Roman" w:cs="Times New Roman"/>
                <w:kern w:val="2"/>
                <w:sz w:val="24"/>
                <w:szCs w:val="24"/>
                <w:u w:val="single"/>
                <w:lang w:val="en-US" w:bidi="ar-SA"/>
              </w:rPr>
              <w:t>项目</w:t>
            </w:r>
            <w:r>
              <w:rPr>
                <w:rFonts w:ascii="Times New Roman" w:hAnsi="Times New Roman" w:cs="Times New Roman"/>
                <w:kern w:val="2"/>
                <w:sz w:val="24"/>
                <w:szCs w:val="24"/>
                <w:u w:val="single"/>
                <w:lang w:val="en-US" w:bidi="ar-SA"/>
              </w:rPr>
              <w:t>总投资</w:t>
            </w:r>
            <w:r>
              <w:rPr>
                <w:rFonts w:hint="eastAsia" w:cs="Times New Roman"/>
                <w:kern w:val="2"/>
                <w:sz w:val="24"/>
                <w:szCs w:val="24"/>
                <w:u w:val="single"/>
                <w:lang w:val="en-US" w:eastAsia="zh-CN" w:bidi="ar-SA"/>
              </w:rPr>
              <w:t>1000</w:t>
            </w:r>
            <w:r>
              <w:rPr>
                <w:rFonts w:ascii="Times New Roman" w:hAnsi="Times New Roman" w:cs="Times New Roman"/>
                <w:kern w:val="2"/>
                <w:sz w:val="24"/>
                <w:szCs w:val="24"/>
                <w:u w:val="single"/>
                <w:lang w:val="en-US" w:bidi="ar-SA"/>
              </w:rPr>
              <w:t>万元</w:t>
            </w:r>
            <w:r>
              <w:rPr>
                <w:rFonts w:hint="eastAsia" w:ascii="Times New Roman" w:hAnsi="Times New Roman" w:cs="Times New Roman"/>
                <w:kern w:val="2"/>
                <w:sz w:val="24"/>
                <w:szCs w:val="24"/>
                <w:u w:val="single"/>
                <w:lang w:val="en-US" w:bidi="ar-SA"/>
              </w:rPr>
              <w:t>，</w:t>
            </w:r>
            <w:r>
              <w:rPr>
                <w:rFonts w:hint="eastAsia" w:ascii="Times New Roman" w:hAnsi="Times New Roman" w:cs="Times New Roman"/>
                <w:kern w:val="2"/>
                <w:sz w:val="24"/>
                <w:szCs w:val="24"/>
                <w:lang w:val="en-US" w:bidi="ar-SA"/>
              </w:rPr>
              <w:t>总用地面积</w:t>
            </w:r>
            <w:r>
              <w:rPr>
                <w:rFonts w:hint="eastAsia"/>
                <w:u w:val="single"/>
                <w:lang w:val="en-US" w:eastAsia="zh-CN"/>
              </w:rPr>
              <w:t>10430.52m</w:t>
            </w:r>
            <w:r>
              <w:rPr>
                <w:rFonts w:hint="eastAsia"/>
                <w:u w:val="single"/>
                <w:vertAlign w:val="superscript"/>
                <w:lang w:val="en-US" w:eastAsia="zh-CN"/>
              </w:rPr>
              <w:t>2</w:t>
            </w:r>
            <w:r>
              <w:rPr>
                <w:rFonts w:hint="eastAsia" w:ascii="Times New Roman" w:hAnsi="Times New Roman" w:cs="Times New Roman"/>
                <w:kern w:val="2"/>
                <w:sz w:val="24"/>
                <w:szCs w:val="24"/>
                <w:lang w:val="en-US" w:bidi="ar-SA"/>
              </w:rPr>
              <w:t>，包括</w:t>
            </w:r>
            <w:r>
              <w:rPr>
                <w:rFonts w:hint="eastAsia" w:ascii="Times New Roman" w:hAnsi="Times New Roman" w:cs="Times New Roman"/>
                <w:kern w:val="2"/>
                <w:sz w:val="24"/>
                <w:szCs w:val="24"/>
                <w:lang w:val="en-US" w:eastAsia="zh-CN" w:bidi="ar-SA"/>
              </w:rPr>
              <w:t>无害化生产厂房</w:t>
            </w:r>
            <w:r>
              <w:rPr>
                <w:rFonts w:hint="eastAsia" w:ascii="Times New Roman" w:hAnsi="Times New Roman" w:cs="Times New Roman"/>
                <w:kern w:val="2"/>
                <w:sz w:val="24"/>
                <w:szCs w:val="24"/>
                <w:lang w:val="en-US" w:bidi="ar-SA"/>
              </w:rPr>
              <w:t>、</w:t>
            </w:r>
            <w:r>
              <w:rPr>
                <w:rFonts w:hint="eastAsia" w:ascii="Times New Roman" w:hAnsi="Times New Roman" w:cs="Times New Roman"/>
                <w:kern w:val="2"/>
                <w:sz w:val="24"/>
                <w:szCs w:val="24"/>
                <w:lang w:val="en-US" w:eastAsia="zh-CN" w:bidi="ar-SA"/>
              </w:rPr>
              <w:t>扑杀间</w:t>
            </w:r>
            <w:r>
              <w:rPr>
                <w:rFonts w:hint="eastAsia" w:ascii="Times New Roman" w:hAnsi="Times New Roman" w:cs="Times New Roman"/>
                <w:kern w:val="2"/>
                <w:sz w:val="24"/>
                <w:szCs w:val="24"/>
                <w:lang w:val="en-US" w:bidi="ar-SA"/>
              </w:rPr>
              <w:t>、</w:t>
            </w:r>
            <w:r>
              <w:rPr>
                <w:rFonts w:hint="eastAsia" w:ascii="Times New Roman" w:hAnsi="Times New Roman" w:cs="Times New Roman"/>
                <w:kern w:val="2"/>
                <w:sz w:val="24"/>
                <w:szCs w:val="24"/>
                <w:lang w:val="en-US" w:eastAsia="zh-CN" w:bidi="ar-SA"/>
              </w:rPr>
              <w:t>办公楼</w:t>
            </w:r>
            <w:r>
              <w:rPr>
                <w:rFonts w:hint="eastAsia" w:ascii="Times New Roman" w:hAnsi="Times New Roman" w:cs="Times New Roman"/>
                <w:kern w:val="2"/>
                <w:sz w:val="24"/>
                <w:szCs w:val="24"/>
                <w:lang w:val="en-US" w:bidi="ar-SA"/>
              </w:rPr>
              <w:t>等，另设有锅炉房</w:t>
            </w:r>
            <w:r>
              <w:rPr>
                <w:rFonts w:hint="eastAsia" w:ascii="Times New Roman" w:hAnsi="Times New Roman" w:cs="Times New Roman"/>
                <w:kern w:val="2"/>
                <w:sz w:val="24"/>
                <w:szCs w:val="24"/>
                <w:lang w:val="en-US" w:eastAsia="zh-CN" w:bidi="ar-SA"/>
              </w:rPr>
              <w:t>、门卫</w:t>
            </w:r>
            <w:r>
              <w:rPr>
                <w:rFonts w:hint="eastAsia" w:ascii="Times New Roman" w:hAnsi="Times New Roman" w:cs="Times New Roman"/>
                <w:kern w:val="2"/>
                <w:sz w:val="24"/>
                <w:szCs w:val="24"/>
                <w:lang w:val="en-US" w:bidi="ar-SA"/>
              </w:rPr>
              <w:t>等辅助用房，配套建设给排水、供电、绿化等公用设施。</w:t>
            </w:r>
          </w:p>
          <w:p w14:paraId="4AE1628D">
            <w:pPr>
              <w:bidi w:val="0"/>
            </w:pPr>
            <w:r>
              <w:rPr>
                <w:rFonts w:hint="eastAsia" w:ascii="Times New Roman" w:hAnsi="Times New Roman" w:cs="Times New Roman"/>
                <w:kern w:val="2"/>
                <w:sz w:val="24"/>
                <w:szCs w:val="24"/>
                <w:lang w:val="en-US" w:bidi="ar-SA"/>
              </w:rPr>
              <w:t>拟建病死畜禽无害化处理生产线一条，设计处理规模</w:t>
            </w:r>
            <w:r>
              <w:rPr>
                <w:rFonts w:hint="eastAsia" w:cs="Times New Roman"/>
                <w:kern w:val="2"/>
                <w:sz w:val="24"/>
                <w:szCs w:val="24"/>
                <w:lang w:val="en-US" w:eastAsia="zh-CN" w:bidi="ar-SA"/>
              </w:rPr>
              <w:t>约</w:t>
            </w:r>
            <w:r>
              <w:rPr>
                <w:rFonts w:hint="eastAsia" w:ascii="Times New Roman" w:hAnsi="Times New Roman" w:cs="Times New Roman"/>
                <w:kern w:val="2"/>
                <w:sz w:val="24"/>
                <w:szCs w:val="24"/>
                <w:lang w:val="en-US" w:bidi="ar-SA"/>
              </w:rPr>
              <w:t>为</w:t>
            </w:r>
            <w:r>
              <w:rPr>
                <w:rFonts w:hint="eastAsia" w:cs="Times New Roman"/>
                <w:kern w:val="2"/>
                <w:sz w:val="24"/>
                <w:szCs w:val="24"/>
                <w:lang w:val="en-US" w:eastAsia="zh-CN" w:bidi="ar-SA"/>
              </w:rPr>
              <w:t>24.33</w:t>
            </w:r>
            <w:r>
              <w:rPr>
                <w:rFonts w:ascii="Times New Roman" w:hAnsi="Times New Roman" w:cs="Times New Roman"/>
                <w:kern w:val="2"/>
                <w:sz w:val="24"/>
                <w:szCs w:val="24"/>
                <w:lang w:val="en-US" w:bidi="ar-SA"/>
              </w:rPr>
              <w:t>t/</w:t>
            </w:r>
            <w:r>
              <w:rPr>
                <w:rFonts w:hint="eastAsia" w:ascii="Times New Roman" w:hAnsi="Times New Roman" w:cs="Times New Roman"/>
                <w:kern w:val="2"/>
                <w:sz w:val="24"/>
                <w:szCs w:val="24"/>
                <w:lang w:val="en-US" w:bidi="ar-SA"/>
              </w:rPr>
              <w:t>d（</w:t>
            </w:r>
            <w:r>
              <w:rPr>
                <w:rFonts w:hint="eastAsia" w:cs="Times New Roman"/>
                <w:kern w:val="2"/>
                <w:sz w:val="24"/>
                <w:szCs w:val="24"/>
                <w:lang w:val="en-US" w:eastAsia="zh-CN" w:bidi="ar-SA"/>
              </w:rPr>
              <w:t>7300</w:t>
            </w:r>
            <w:r>
              <w:rPr>
                <w:rFonts w:ascii="Times New Roman" w:hAnsi="Times New Roman" w:cs="Times New Roman"/>
                <w:kern w:val="2"/>
                <w:sz w:val="24"/>
                <w:szCs w:val="24"/>
                <w:lang w:val="en-US" w:bidi="ar-SA"/>
              </w:rPr>
              <w:t>t/a</w:t>
            </w:r>
            <w:r>
              <w:rPr>
                <w:rFonts w:hint="eastAsia" w:ascii="Times New Roman" w:hAnsi="Times New Roman" w:cs="Times New Roman"/>
                <w:kern w:val="2"/>
                <w:sz w:val="24"/>
                <w:szCs w:val="24"/>
                <w:lang w:val="en-US" w:bidi="ar-SA"/>
              </w:rPr>
              <w:t>）</w:t>
            </w:r>
            <w:r>
              <w:rPr>
                <w:rFonts w:ascii="Times New Roman" w:hAnsi="Times New Roman" w:cs="Times New Roman"/>
                <w:kern w:val="2"/>
                <w:sz w:val="24"/>
                <w:szCs w:val="24"/>
                <w:lang w:val="en-US" w:bidi="ar-SA"/>
              </w:rPr>
              <w:t>，处理过程中产生的</w:t>
            </w:r>
            <w:r>
              <w:rPr>
                <w:rFonts w:hint="eastAsia" w:ascii="Times New Roman" w:hAnsi="Times New Roman" w:cs="Times New Roman"/>
                <w:kern w:val="2"/>
                <w:sz w:val="24"/>
                <w:szCs w:val="24"/>
                <w:lang w:val="en-US" w:bidi="ar-SA"/>
              </w:rPr>
              <w:t>副产物</w:t>
            </w:r>
            <w:r>
              <w:rPr>
                <w:rFonts w:ascii="Times New Roman" w:hAnsi="Times New Roman" w:cs="Times New Roman"/>
                <w:kern w:val="2"/>
                <w:sz w:val="24"/>
                <w:szCs w:val="24"/>
                <w:lang w:val="en-US" w:bidi="ar-SA"/>
              </w:rPr>
              <w:t>包括有</w:t>
            </w:r>
            <w:r>
              <w:rPr>
                <w:rFonts w:hint="eastAsia" w:ascii="Times New Roman" w:hAnsi="Times New Roman" w:cs="Times New Roman"/>
                <w:kern w:val="2"/>
                <w:sz w:val="24"/>
                <w:szCs w:val="24"/>
                <w:lang w:val="en-US" w:bidi="ar-SA"/>
              </w:rPr>
              <w:t>机肥</w:t>
            </w:r>
            <w:r>
              <w:rPr>
                <w:rFonts w:hint="eastAsia" w:ascii="Times New Roman" w:hAnsi="Times New Roman" w:cs="Times New Roman"/>
                <w:kern w:val="2"/>
                <w:sz w:val="24"/>
                <w:szCs w:val="24"/>
                <w:lang w:val="en-US" w:eastAsia="zh-CN" w:bidi="ar-SA"/>
              </w:rPr>
              <w:t>基</w:t>
            </w:r>
            <w:r>
              <w:rPr>
                <w:rFonts w:hint="eastAsia" w:ascii="Times New Roman" w:hAnsi="Times New Roman" w:cs="Times New Roman"/>
                <w:kern w:val="2"/>
                <w:sz w:val="24"/>
                <w:szCs w:val="24"/>
                <w:lang w:val="en-US" w:bidi="ar-SA"/>
              </w:rPr>
              <w:t>料</w:t>
            </w:r>
            <w:r>
              <w:rPr>
                <w:rFonts w:hint="eastAsia" w:cs="Times New Roman"/>
                <w:kern w:val="2"/>
                <w:sz w:val="24"/>
                <w:szCs w:val="24"/>
                <w:lang w:val="en-US" w:eastAsia="zh-CN" w:bidi="ar-SA"/>
              </w:rPr>
              <w:t>1460</w:t>
            </w:r>
            <w:r>
              <w:rPr>
                <w:rFonts w:ascii="Times New Roman" w:hAnsi="Times New Roman" w:cs="Times New Roman"/>
                <w:kern w:val="2"/>
                <w:sz w:val="24"/>
                <w:szCs w:val="24"/>
                <w:lang w:val="en-US" w:bidi="ar-SA"/>
              </w:rPr>
              <w:t>t/a、生物柴油原料</w:t>
            </w:r>
            <w:r>
              <w:rPr>
                <w:rFonts w:hint="eastAsia" w:cs="Times New Roman"/>
                <w:kern w:val="2"/>
                <w:sz w:val="24"/>
                <w:szCs w:val="24"/>
                <w:lang w:val="en-US" w:eastAsia="zh-CN" w:bidi="ar-SA"/>
              </w:rPr>
              <w:t>730</w:t>
            </w:r>
            <w:r>
              <w:rPr>
                <w:rFonts w:ascii="Times New Roman" w:hAnsi="Times New Roman" w:cs="Times New Roman"/>
                <w:kern w:val="2"/>
                <w:sz w:val="24"/>
                <w:szCs w:val="24"/>
                <w:lang w:val="en-US" w:bidi="ar-SA"/>
              </w:rPr>
              <w:t>t/a</w:t>
            </w:r>
            <w:r>
              <w:rPr>
                <w:rFonts w:hint="eastAsia" w:ascii="Times New Roman" w:hAnsi="Times New Roman" w:cs="Times New Roman"/>
                <w:kern w:val="2"/>
                <w:sz w:val="24"/>
                <w:szCs w:val="24"/>
                <w:lang w:val="en-US" w:eastAsia="zh-CN" w:bidi="ar-SA"/>
              </w:rPr>
              <w:t>。</w:t>
            </w:r>
          </w:p>
          <w:p w14:paraId="422FD3E2">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2.</w:t>
            </w:r>
            <w:r>
              <w:rPr>
                <w:rFonts w:hint="eastAsia" w:cs="Times New Roman"/>
                <w:b/>
                <w:i w:val="0"/>
                <w:kern w:val="2"/>
                <w:sz w:val="24"/>
                <w:szCs w:val="24"/>
                <w:lang w:val="en-US" w:eastAsia="zh-CN" w:bidi="ar-SA"/>
              </w:rPr>
              <w:t>3</w:t>
            </w:r>
            <w:r>
              <w:rPr>
                <w:rFonts w:hint="default" w:ascii="Times New Roman" w:hAnsi="Times New Roman" w:eastAsia="宋体" w:cs="Times New Roman"/>
                <w:b/>
                <w:i w:val="0"/>
                <w:kern w:val="2"/>
                <w:sz w:val="24"/>
                <w:szCs w:val="24"/>
                <w:lang w:val="en-US" w:eastAsia="zh-CN" w:bidi="ar-SA"/>
              </w:rPr>
              <w:t>、</w:t>
            </w:r>
            <w:r>
              <w:rPr>
                <w:rFonts w:hint="eastAsia"/>
              </w:rPr>
              <w:t>项目工程概况</w:t>
            </w:r>
          </w:p>
          <w:p w14:paraId="3FE064B6">
            <w:pPr>
              <w:pStyle w:val="8"/>
              <w:numPr>
                <w:ilvl w:val="5"/>
                <w:numId w:val="0"/>
              </w:numPr>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表2-1</w:t>
            </w:r>
            <w:r>
              <w:rPr>
                <w:rFonts w:hint="eastAsia"/>
              </w:rPr>
              <w:t>本项目工程组成一览表</w:t>
            </w:r>
          </w:p>
          <w:tbl>
            <w:tblPr>
              <w:tblStyle w:val="26"/>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029"/>
              <w:gridCol w:w="5010"/>
              <w:gridCol w:w="1686"/>
            </w:tblGrid>
            <w:tr w14:paraId="1535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3" w:type="pct"/>
                  <w:vAlign w:val="center"/>
                </w:tcPr>
                <w:p w14:paraId="07097C69">
                  <w:pPr>
                    <w:pStyle w:val="42"/>
                    <w:jc w:val="center"/>
                    <w:rPr>
                      <w:rFonts w:hint="eastAsia"/>
                    </w:rPr>
                  </w:pPr>
                  <w:r>
                    <w:rPr>
                      <w:rFonts w:hint="eastAsia"/>
                    </w:rPr>
                    <w:t>工程</w:t>
                  </w:r>
                </w:p>
                <w:p w14:paraId="4A41A265">
                  <w:pPr>
                    <w:pStyle w:val="42"/>
                    <w:jc w:val="center"/>
                    <w:rPr>
                      <w:rFonts w:hint="eastAsia"/>
                    </w:rPr>
                  </w:pPr>
                  <w:r>
                    <w:rPr>
                      <w:rFonts w:hint="eastAsia"/>
                    </w:rPr>
                    <w:t>类别</w:t>
                  </w:r>
                </w:p>
              </w:tc>
              <w:tc>
                <w:tcPr>
                  <w:tcW w:w="604" w:type="pct"/>
                  <w:vAlign w:val="center"/>
                </w:tcPr>
                <w:p w14:paraId="2412FA65">
                  <w:pPr>
                    <w:pStyle w:val="42"/>
                    <w:jc w:val="center"/>
                    <w:rPr>
                      <w:rFonts w:hint="eastAsia"/>
                    </w:rPr>
                  </w:pPr>
                  <w:r>
                    <w:rPr>
                      <w:rFonts w:hint="eastAsia"/>
                    </w:rPr>
                    <w:t>单项工</w:t>
                  </w:r>
                </w:p>
                <w:p w14:paraId="05483B0A">
                  <w:pPr>
                    <w:pStyle w:val="42"/>
                    <w:jc w:val="center"/>
                    <w:rPr>
                      <w:rFonts w:hint="eastAsia"/>
                    </w:rPr>
                  </w:pPr>
                  <w:r>
                    <w:rPr>
                      <w:rFonts w:hint="eastAsia"/>
                    </w:rPr>
                    <w:t>程名称</w:t>
                  </w:r>
                </w:p>
              </w:tc>
              <w:tc>
                <w:tcPr>
                  <w:tcW w:w="2941" w:type="pct"/>
                  <w:vAlign w:val="center"/>
                </w:tcPr>
                <w:p w14:paraId="195A31B4">
                  <w:pPr>
                    <w:pStyle w:val="42"/>
                    <w:jc w:val="center"/>
                    <w:rPr>
                      <w:rFonts w:hint="eastAsia"/>
                    </w:rPr>
                  </w:pPr>
                  <w:r>
                    <w:rPr>
                      <w:rFonts w:hint="eastAsia"/>
                    </w:rPr>
                    <w:t>工程内容及规模</w:t>
                  </w:r>
                </w:p>
              </w:tc>
              <w:tc>
                <w:tcPr>
                  <w:tcW w:w="990" w:type="pct"/>
                  <w:vAlign w:val="center"/>
                </w:tcPr>
                <w:p w14:paraId="288D3E12">
                  <w:pPr>
                    <w:pStyle w:val="42"/>
                    <w:jc w:val="center"/>
                    <w:rPr>
                      <w:rFonts w:hint="eastAsia"/>
                      <w:lang w:eastAsia="zh-CN"/>
                    </w:rPr>
                  </w:pPr>
                  <w:r>
                    <w:rPr>
                      <w:rFonts w:hint="eastAsia"/>
                      <w:lang w:eastAsia="zh-CN"/>
                    </w:rPr>
                    <w:t>备注</w:t>
                  </w:r>
                </w:p>
              </w:tc>
            </w:tr>
            <w:tr w14:paraId="4F9A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463" w:type="pct"/>
                  <w:vAlign w:val="center"/>
                </w:tcPr>
                <w:p w14:paraId="374C7C7D">
                  <w:pPr>
                    <w:pStyle w:val="42"/>
                    <w:jc w:val="center"/>
                    <w:rPr>
                      <w:rFonts w:hint="eastAsia"/>
                    </w:rPr>
                  </w:pPr>
                  <w:r>
                    <w:rPr>
                      <w:rFonts w:hint="eastAsia"/>
                    </w:rPr>
                    <w:t>主体工程</w:t>
                  </w:r>
                </w:p>
              </w:tc>
              <w:tc>
                <w:tcPr>
                  <w:tcW w:w="604" w:type="pct"/>
                  <w:vAlign w:val="center"/>
                </w:tcPr>
                <w:p w14:paraId="71B51AED">
                  <w:pPr>
                    <w:pStyle w:val="42"/>
                    <w:jc w:val="center"/>
                    <w:rPr>
                      <w:rFonts w:hint="eastAsia"/>
                    </w:rPr>
                  </w:pPr>
                  <w:r>
                    <w:rPr>
                      <w:rFonts w:hint="eastAsia"/>
                      <w:lang w:eastAsia="zh-CN"/>
                    </w:rPr>
                    <w:t>无害化生产厂房</w:t>
                  </w:r>
                </w:p>
              </w:tc>
              <w:tc>
                <w:tcPr>
                  <w:tcW w:w="2941" w:type="pct"/>
                  <w:vAlign w:val="center"/>
                </w:tcPr>
                <w:p w14:paraId="0A1326FB">
                  <w:pPr>
                    <w:pStyle w:val="42"/>
                    <w:jc w:val="both"/>
                    <w:rPr>
                      <w:rFonts w:hint="eastAsia"/>
                    </w:rPr>
                  </w:pPr>
                  <w:r>
                    <w:rPr>
                      <w:rFonts w:hint="eastAsia"/>
                    </w:rPr>
                    <w:t>位于厂区</w:t>
                  </w:r>
                  <w:r>
                    <w:rPr>
                      <w:rFonts w:hint="eastAsia"/>
                      <w:lang w:eastAsia="zh-CN"/>
                    </w:rPr>
                    <w:t>西北</w:t>
                  </w:r>
                  <w:r>
                    <w:rPr>
                      <w:rFonts w:hint="eastAsia"/>
                    </w:rPr>
                    <w:t>，</w:t>
                  </w:r>
                  <w:r>
                    <w:rPr>
                      <w:rFonts w:hint="eastAsia"/>
                      <w:lang w:eastAsia="zh-CN"/>
                    </w:rPr>
                    <w:t>占地</w:t>
                  </w:r>
                  <w:r>
                    <w:rPr>
                      <w:rFonts w:hint="eastAsia"/>
                    </w:rPr>
                    <w:t>面积约</w:t>
                  </w:r>
                  <w:r>
                    <w:rPr>
                      <w:rFonts w:hint="eastAsia"/>
                      <w:highlight w:val="none"/>
                      <w:lang w:val="en-US" w:eastAsia="zh-CN"/>
                    </w:rPr>
                    <w:t>864</w:t>
                  </w:r>
                  <w:r>
                    <w:rPr>
                      <w:rFonts w:hint="eastAsia"/>
                      <w:highlight w:val="none"/>
                    </w:rPr>
                    <w:t>m</w:t>
                  </w:r>
                  <w:r>
                    <w:rPr>
                      <w:rFonts w:hint="eastAsia"/>
                      <w:highlight w:val="none"/>
                      <w:vertAlign w:val="superscript"/>
                      <w:lang w:val="en-US" w:eastAsia="zh-CN"/>
                    </w:rPr>
                    <w:t>2</w:t>
                  </w:r>
                  <w:r>
                    <w:rPr>
                      <w:rFonts w:hint="eastAsia"/>
                      <w:highlight w:val="none"/>
                    </w:rPr>
                    <w:t>，长</w:t>
                  </w:r>
                  <w:r>
                    <w:rPr>
                      <w:rFonts w:hint="eastAsia"/>
                      <w:highlight w:val="none"/>
                      <w:lang w:val="en-US" w:eastAsia="zh-CN"/>
                    </w:rPr>
                    <w:t>54</w:t>
                  </w:r>
                  <w:r>
                    <w:rPr>
                      <w:rFonts w:hint="eastAsia"/>
                      <w:highlight w:val="none"/>
                    </w:rPr>
                    <w:t>m，宽</w:t>
                  </w:r>
                  <w:r>
                    <w:rPr>
                      <w:rFonts w:hint="eastAsia"/>
                      <w:highlight w:val="none"/>
                      <w:lang w:val="en-US" w:eastAsia="zh-CN"/>
                    </w:rPr>
                    <w:t>16</w:t>
                  </w:r>
                  <w:r>
                    <w:rPr>
                      <w:rFonts w:hint="eastAsia"/>
                      <w:highlight w:val="none"/>
                    </w:rPr>
                    <w:t>m</w:t>
                  </w:r>
                  <w:r>
                    <w:rPr>
                      <w:rFonts w:hint="eastAsia"/>
                    </w:rPr>
                    <w:t>，</w:t>
                  </w:r>
                </w:p>
                <w:p w14:paraId="00B89649">
                  <w:pPr>
                    <w:pStyle w:val="42"/>
                    <w:jc w:val="both"/>
                    <w:rPr>
                      <w:rFonts w:hint="eastAsia"/>
                    </w:rPr>
                  </w:pPr>
                  <w:r>
                    <w:rPr>
                      <w:rFonts w:hint="eastAsia"/>
                    </w:rPr>
                    <w:t>高</w:t>
                  </w:r>
                  <w:r>
                    <w:rPr>
                      <w:rFonts w:hint="eastAsia"/>
                      <w:lang w:val="en-US" w:eastAsia="zh-CN"/>
                    </w:rPr>
                    <w:t>7.55</w:t>
                  </w:r>
                  <w:r>
                    <w:rPr>
                      <w:rFonts w:hint="eastAsia"/>
                    </w:rPr>
                    <w:t>m。设有化制烘干生产线1条，布置病死畜禽无害化处理设备一套(化制机1台、烘干机1台、缓存料仓1个、榨油机1台、搅拌罐1个、离心机1台等等)，具备年处理病死畜禽</w:t>
                  </w:r>
                  <w:r>
                    <w:rPr>
                      <w:rFonts w:hint="eastAsia"/>
                      <w:lang w:val="en-US" w:eastAsia="zh-CN"/>
                    </w:rPr>
                    <w:t>7300</w:t>
                  </w:r>
                  <w:r>
                    <w:rPr>
                      <w:rFonts w:hint="eastAsia"/>
                    </w:rPr>
                    <w:t>吨，年产有机肥</w:t>
                  </w:r>
                  <w:r>
                    <w:rPr>
                      <w:rFonts w:hint="eastAsia"/>
                      <w:lang w:eastAsia="zh-CN"/>
                    </w:rPr>
                    <w:t>基</w:t>
                  </w:r>
                  <w:r>
                    <w:rPr>
                      <w:rFonts w:hint="eastAsia"/>
                    </w:rPr>
                    <w:t>料</w:t>
                  </w:r>
                  <w:r>
                    <w:rPr>
                      <w:rFonts w:hint="eastAsia"/>
                      <w:lang w:val="en-US" w:eastAsia="zh-CN"/>
                    </w:rPr>
                    <w:t>1460</w:t>
                  </w:r>
                  <w:r>
                    <w:rPr>
                      <w:rFonts w:hint="eastAsia"/>
                    </w:rPr>
                    <w:t>吨、生物柴油原料</w:t>
                  </w:r>
                  <w:r>
                    <w:rPr>
                      <w:rFonts w:hint="eastAsia"/>
                      <w:lang w:val="en-US" w:eastAsia="zh-CN"/>
                    </w:rPr>
                    <w:t>730</w:t>
                  </w:r>
                  <w:r>
                    <w:rPr>
                      <w:rFonts w:hint="eastAsia"/>
                    </w:rPr>
                    <w:t>吨的能力。</w:t>
                  </w:r>
                </w:p>
              </w:tc>
              <w:tc>
                <w:tcPr>
                  <w:tcW w:w="990" w:type="pct"/>
                  <w:vAlign w:val="center"/>
                </w:tcPr>
                <w:p w14:paraId="7180B039">
                  <w:pPr>
                    <w:pStyle w:val="42"/>
                    <w:jc w:val="center"/>
                    <w:rPr>
                      <w:rFonts w:hint="default"/>
                      <w:lang w:val="en-US" w:eastAsia="zh-CN"/>
                    </w:rPr>
                  </w:pPr>
                  <w:r>
                    <w:rPr>
                      <w:rFonts w:hint="eastAsia"/>
                      <w:lang w:val="en-US" w:eastAsia="zh-CN"/>
                    </w:rPr>
                    <w:t>新建</w:t>
                  </w:r>
                </w:p>
              </w:tc>
            </w:tr>
            <w:tr w14:paraId="2691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3" w:type="pct"/>
                  <w:vMerge w:val="restart"/>
                  <w:vAlign w:val="center"/>
                </w:tcPr>
                <w:p w14:paraId="300EBEA7">
                  <w:pPr>
                    <w:pStyle w:val="42"/>
                    <w:jc w:val="center"/>
                    <w:rPr>
                      <w:rFonts w:hint="eastAsia"/>
                    </w:rPr>
                  </w:pPr>
                  <w:r>
                    <w:rPr>
                      <w:rFonts w:hint="eastAsia"/>
                    </w:rPr>
                    <w:t>储运工程</w:t>
                  </w:r>
                </w:p>
              </w:tc>
              <w:tc>
                <w:tcPr>
                  <w:tcW w:w="604" w:type="pct"/>
                  <w:vAlign w:val="center"/>
                </w:tcPr>
                <w:p w14:paraId="4E73A44B">
                  <w:pPr>
                    <w:pStyle w:val="42"/>
                    <w:jc w:val="center"/>
                    <w:rPr>
                      <w:rFonts w:hint="eastAsia"/>
                      <w:highlight w:val="none"/>
                    </w:rPr>
                  </w:pPr>
                  <w:r>
                    <w:rPr>
                      <w:rFonts w:hint="eastAsia"/>
                      <w:highlight w:val="none"/>
                      <w:lang w:eastAsia="zh-CN"/>
                    </w:rPr>
                    <w:t>库房</w:t>
                  </w:r>
                </w:p>
              </w:tc>
              <w:tc>
                <w:tcPr>
                  <w:tcW w:w="2941" w:type="pct"/>
                  <w:vAlign w:val="center"/>
                </w:tcPr>
                <w:p w14:paraId="74347089">
                  <w:pPr>
                    <w:pStyle w:val="42"/>
                    <w:jc w:val="both"/>
                    <w:rPr>
                      <w:rFonts w:hint="eastAsia"/>
                      <w:highlight w:val="none"/>
                      <w:lang w:eastAsia="zh-CN"/>
                    </w:rPr>
                  </w:pPr>
                  <w:r>
                    <w:rPr>
                      <w:rFonts w:hint="eastAsia"/>
                    </w:rPr>
                    <w:t>位于厂区</w:t>
                  </w:r>
                  <w:r>
                    <w:rPr>
                      <w:rFonts w:hint="eastAsia"/>
                      <w:lang w:eastAsia="zh-CN"/>
                    </w:rPr>
                    <w:t>东南部</w:t>
                  </w:r>
                  <w:r>
                    <w:rPr>
                      <w:rFonts w:hint="eastAsia"/>
                    </w:rPr>
                    <w:t>，</w:t>
                  </w:r>
                  <w:r>
                    <w:rPr>
                      <w:rFonts w:hint="eastAsia"/>
                      <w:lang w:eastAsia="zh-CN"/>
                    </w:rPr>
                    <w:t>占地</w:t>
                  </w:r>
                  <w:r>
                    <w:rPr>
                      <w:rFonts w:hint="eastAsia"/>
                    </w:rPr>
                    <w:t>面积约</w:t>
                  </w:r>
                  <w:r>
                    <w:rPr>
                      <w:rFonts w:hint="eastAsia"/>
                      <w:highlight w:val="none"/>
                      <w:lang w:val="en-US" w:eastAsia="zh-CN"/>
                    </w:rPr>
                    <w:t>240</w:t>
                  </w:r>
                  <w:r>
                    <w:rPr>
                      <w:rFonts w:hint="eastAsia"/>
                      <w:highlight w:val="none"/>
                    </w:rPr>
                    <w:t>m</w:t>
                  </w:r>
                  <w:r>
                    <w:rPr>
                      <w:rFonts w:hint="eastAsia"/>
                      <w:highlight w:val="none"/>
                      <w:vertAlign w:val="superscript"/>
                      <w:lang w:val="en-US" w:eastAsia="zh-CN"/>
                    </w:rPr>
                    <w:t>2</w:t>
                  </w:r>
                  <w:r>
                    <w:rPr>
                      <w:rFonts w:hint="eastAsia"/>
                      <w:highlight w:val="none"/>
                    </w:rPr>
                    <w:t>，长</w:t>
                  </w:r>
                  <w:r>
                    <w:rPr>
                      <w:rFonts w:hint="eastAsia"/>
                      <w:highlight w:val="none"/>
                      <w:lang w:val="en-US" w:eastAsia="zh-CN"/>
                    </w:rPr>
                    <w:t>24</w:t>
                  </w:r>
                  <w:r>
                    <w:rPr>
                      <w:rFonts w:hint="eastAsia"/>
                      <w:highlight w:val="none"/>
                    </w:rPr>
                    <w:t>m，宽</w:t>
                  </w:r>
                  <w:r>
                    <w:rPr>
                      <w:rFonts w:hint="eastAsia"/>
                      <w:highlight w:val="none"/>
                      <w:lang w:val="en-US" w:eastAsia="zh-CN"/>
                    </w:rPr>
                    <w:t>10</w:t>
                  </w:r>
                  <w:r>
                    <w:rPr>
                      <w:rFonts w:hint="eastAsia"/>
                      <w:highlight w:val="none"/>
                    </w:rPr>
                    <w:t>m</w:t>
                  </w:r>
                  <w:r>
                    <w:rPr>
                      <w:rFonts w:hint="eastAsia"/>
                    </w:rPr>
                    <w:t>，高</w:t>
                  </w:r>
                  <w:r>
                    <w:rPr>
                      <w:rFonts w:hint="eastAsia"/>
                      <w:lang w:val="en-US" w:eastAsia="zh-CN"/>
                    </w:rPr>
                    <w:t>3.6</w:t>
                  </w:r>
                  <w:r>
                    <w:rPr>
                      <w:rFonts w:hint="eastAsia"/>
                    </w:rPr>
                    <w:t>m。</w:t>
                  </w:r>
                </w:p>
              </w:tc>
              <w:tc>
                <w:tcPr>
                  <w:tcW w:w="990" w:type="pct"/>
                  <w:vAlign w:val="center"/>
                </w:tcPr>
                <w:p w14:paraId="1509F94A">
                  <w:pPr>
                    <w:pStyle w:val="42"/>
                    <w:jc w:val="center"/>
                    <w:rPr>
                      <w:rFonts w:hint="eastAsia"/>
                      <w:lang w:eastAsia="zh-CN"/>
                    </w:rPr>
                  </w:pPr>
                  <w:r>
                    <w:rPr>
                      <w:rFonts w:hint="eastAsia"/>
                      <w:lang w:val="en-US" w:eastAsia="zh-CN"/>
                    </w:rPr>
                    <w:t>新建</w:t>
                  </w:r>
                </w:p>
              </w:tc>
            </w:tr>
            <w:tr w14:paraId="6C0B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3" w:type="pct"/>
                  <w:vMerge w:val="continue"/>
                  <w:vAlign w:val="center"/>
                </w:tcPr>
                <w:p w14:paraId="1D8CC808">
                  <w:pPr>
                    <w:pStyle w:val="42"/>
                    <w:jc w:val="center"/>
                    <w:rPr>
                      <w:rFonts w:hint="eastAsia"/>
                    </w:rPr>
                  </w:pPr>
                </w:p>
              </w:tc>
              <w:tc>
                <w:tcPr>
                  <w:tcW w:w="604" w:type="pct"/>
                  <w:vAlign w:val="center"/>
                </w:tcPr>
                <w:p w14:paraId="64610C11">
                  <w:pPr>
                    <w:pStyle w:val="42"/>
                    <w:jc w:val="center"/>
                    <w:rPr>
                      <w:rFonts w:hint="eastAsia" w:eastAsia="宋体"/>
                      <w:highlight w:val="none"/>
                      <w:lang w:eastAsia="zh-CN"/>
                    </w:rPr>
                  </w:pPr>
                  <w:r>
                    <w:rPr>
                      <w:rFonts w:hint="eastAsia"/>
                      <w:highlight w:val="none"/>
                      <w:lang w:eastAsia="zh-CN"/>
                    </w:rPr>
                    <w:t>储油罐区</w:t>
                  </w:r>
                </w:p>
              </w:tc>
              <w:tc>
                <w:tcPr>
                  <w:tcW w:w="2941" w:type="pct"/>
                  <w:vAlign w:val="center"/>
                </w:tcPr>
                <w:p w14:paraId="5168C87D">
                  <w:pPr>
                    <w:pStyle w:val="42"/>
                    <w:jc w:val="both"/>
                    <w:rPr>
                      <w:rFonts w:hint="eastAsia" w:eastAsia="宋体"/>
                      <w:highlight w:val="none"/>
                      <w:lang w:val="en-US" w:eastAsia="zh-CN"/>
                    </w:rPr>
                  </w:pPr>
                  <w:r>
                    <w:rPr>
                      <w:rFonts w:hint="eastAsia"/>
                    </w:rPr>
                    <w:t>位于厂区</w:t>
                  </w:r>
                  <w:r>
                    <w:rPr>
                      <w:rFonts w:hint="eastAsia"/>
                      <w:lang w:eastAsia="zh-CN"/>
                    </w:rPr>
                    <w:t>东南部库房里，占地</w:t>
                  </w:r>
                  <w:r>
                    <w:rPr>
                      <w:rFonts w:hint="eastAsia"/>
                    </w:rPr>
                    <w:t>面积约</w:t>
                  </w:r>
                  <w:r>
                    <w:rPr>
                      <w:rFonts w:hint="eastAsia"/>
                      <w:highlight w:val="none"/>
                      <w:lang w:val="en-US" w:eastAsia="zh-CN"/>
                    </w:rPr>
                    <w:t>40</w:t>
                  </w:r>
                  <w:r>
                    <w:rPr>
                      <w:rFonts w:hint="eastAsia"/>
                      <w:highlight w:val="none"/>
                    </w:rPr>
                    <w:t>m</w:t>
                  </w:r>
                  <w:r>
                    <w:rPr>
                      <w:rFonts w:hint="eastAsia"/>
                      <w:highlight w:val="none"/>
                      <w:vertAlign w:val="superscript"/>
                      <w:lang w:val="en-US" w:eastAsia="zh-CN"/>
                    </w:rPr>
                    <w:t>2</w:t>
                  </w:r>
                  <w:r>
                    <w:rPr>
                      <w:rFonts w:hint="eastAsia"/>
                      <w:highlight w:val="none"/>
                    </w:rPr>
                    <w:t>，长</w:t>
                  </w:r>
                  <w:r>
                    <w:rPr>
                      <w:rFonts w:hint="eastAsia"/>
                      <w:highlight w:val="none"/>
                      <w:lang w:val="en-US" w:eastAsia="zh-CN"/>
                    </w:rPr>
                    <w:t>10</w:t>
                  </w:r>
                  <w:r>
                    <w:rPr>
                      <w:rFonts w:hint="eastAsia"/>
                      <w:highlight w:val="none"/>
                    </w:rPr>
                    <w:t>m，宽</w:t>
                  </w:r>
                  <w:r>
                    <w:rPr>
                      <w:rFonts w:hint="eastAsia"/>
                      <w:highlight w:val="none"/>
                      <w:lang w:val="en-US" w:eastAsia="zh-CN"/>
                    </w:rPr>
                    <w:t>4</w:t>
                  </w:r>
                  <w:r>
                    <w:rPr>
                      <w:rFonts w:hint="eastAsia"/>
                      <w:highlight w:val="none"/>
                    </w:rPr>
                    <w:t>m</w:t>
                  </w:r>
                  <w:r>
                    <w:rPr>
                      <w:rFonts w:hint="eastAsia"/>
                    </w:rPr>
                    <w:t>，高</w:t>
                  </w:r>
                  <w:r>
                    <w:rPr>
                      <w:rFonts w:hint="eastAsia"/>
                      <w:lang w:val="en-US" w:eastAsia="zh-CN"/>
                    </w:rPr>
                    <w:t>3.6</w:t>
                  </w:r>
                  <w:r>
                    <w:rPr>
                      <w:rFonts w:hint="eastAsia"/>
                    </w:rPr>
                    <w:t>m</w:t>
                  </w:r>
                  <w:r>
                    <w:rPr>
                      <w:rFonts w:hint="eastAsia"/>
                      <w:lang w:eastAsia="zh-CN"/>
                    </w:rPr>
                    <w:t>。</w:t>
                  </w:r>
                </w:p>
              </w:tc>
              <w:tc>
                <w:tcPr>
                  <w:tcW w:w="990" w:type="pct"/>
                  <w:vAlign w:val="center"/>
                </w:tcPr>
                <w:p w14:paraId="5AFB0E50">
                  <w:pPr>
                    <w:pStyle w:val="42"/>
                    <w:jc w:val="center"/>
                    <w:rPr>
                      <w:rFonts w:hint="eastAsia"/>
                      <w:lang w:eastAsia="zh-CN"/>
                    </w:rPr>
                  </w:pPr>
                  <w:r>
                    <w:rPr>
                      <w:rFonts w:hint="eastAsia"/>
                      <w:lang w:val="en-US" w:eastAsia="zh-CN"/>
                    </w:rPr>
                    <w:t>新建</w:t>
                  </w:r>
                </w:p>
              </w:tc>
            </w:tr>
            <w:tr w14:paraId="1923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3" w:type="pct"/>
                  <w:vMerge w:val="continue"/>
                  <w:vAlign w:val="center"/>
                </w:tcPr>
                <w:p w14:paraId="75243069">
                  <w:pPr>
                    <w:pStyle w:val="42"/>
                    <w:jc w:val="center"/>
                    <w:rPr>
                      <w:rFonts w:hint="eastAsia"/>
                    </w:rPr>
                  </w:pPr>
                </w:p>
              </w:tc>
              <w:tc>
                <w:tcPr>
                  <w:tcW w:w="604" w:type="pct"/>
                  <w:vAlign w:val="center"/>
                </w:tcPr>
                <w:p w14:paraId="4E6E9285">
                  <w:pPr>
                    <w:pStyle w:val="42"/>
                    <w:jc w:val="center"/>
                    <w:rPr>
                      <w:rFonts w:hint="eastAsia" w:eastAsia="宋体"/>
                      <w:highlight w:val="none"/>
                      <w:lang w:eastAsia="zh-CN"/>
                    </w:rPr>
                  </w:pPr>
                  <w:r>
                    <w:rPr>
                      <w:rFonts w:hint="eastAsia"/>
                      <w:highlight w:val="none"/>
                      <w:lang w:eastAsia="zh-CN"/>
                    </w:rPr>
                    <w:t>一般固废库</w:t>
                  </w:r>
                </w:p>
              </w:tc>
              <w:tc>
                <w:tcPr>
                  <w:tcW w:w="2941" w:type="pct"/>
                  <w:vAlign w:val="center"/>
                </w:tcPr>
                <w:p w14:paraId="79F9F5E5">
                  <w:pPr>
                    <w:pStyle w:val="42"/>
                    <w:jc w:val="both"/>
                    <w:rPr>
                      <w:rFonts w:hint="eastAsia" w:eastAsia="宋体"/>
                      <w:highlight w:val="none"/>
                      <w:lang w:val="en-US" w:eastAsia="zh-CN"/>
                    </w:rPr>
                  </w:pPr>
                  <w:r>
                    <w:rPr>
                      <w:rFonts w:hint="eastAsia"/>
                    </w:rPr>
                    <w:t>位于厂区</w:t>
                  </w:r>
                  <w:r>
                    <w:rPr>
                      <w:rFonts w:hint="eastAsia"/>
                      <w:lang w:eastAsia="zh-CN"/>
                    </w:rPr>
                    <w:t>东南部库房里，占地</w:t>
                  </w:r>
                  <w:r>
                    <w:rPr>
                      <w:rFonts w:hint="eastAsia"/>
                    </w:rPr>
                    <w:t>面积约</w:t>
                  </w:r>
                  <w:r>
                    <w:rPr>
                      <w:rFonts w:hint="eastAsia"/>
                      <w:highlight w:val="none"/>
                      <w:lang w:val="en-US" w:eastAsia="zh-CN"/>
                    </w:rPr>
                    <w:t>40</w:t>
                  </w:r>
                  <w:r>
                    <w:rPr>
                      <w:rFonts w:hint="eastAsia"/>
                      <w:highlight w:val="none"/>
                    </w:rPr>
                    <w:t>m</w:t>
                  </w:r>
                  <w:r>
                    <w:rPr>
                      <w:rFonts w:hint="eastAsia"/>
                      <w:highlight w:val="none"/>
                      <w:vertAlign w:val="superscript"/>
                      <w:lang w:val="en-US" w:eastAsia="zh-CN"/>
                    </w:rPr>
                    <w:t>2</w:t>
                  </w:r>
                  <w:r>
                    <w:rPr>
                      <w:rFonts w:hint="eastAsia"/>
                      <w:highlight w:val="none"/>
                    </w:rPr>
                    <w:t>，长</w:t>
                  </w:r>
                  <w:r>
                    <w:rPr>
                      <w:rFonts w:hint="eastAsia"/>
                      <w:highlight w:val="none"/>
                      <w:lang w:val="en-US" w:eastAsia="zh-CN"/>
                    </w:rPr>
                    <w:t>10</w:t>
                  </w:r>
                  <w:r>
                    <w:rPr>
                      <w:rFonts w:hint="eastAsia"/>
                      <w:highlight w:val="none"/>
                    </w:rPr>
                    <w:t>m，宽</w:t>
                  </w:r>
                  <w:r>
                    <w:rPr>
                      <w:rFonts w:hint="eastAsia"/>
                      <w:highlight w:val="none"/>
                      <w:lang w:val="en-US" w:eastAsia="zh-CN"/>
                    </w:rPr>
                    <w:t>4</w:t>
                  </w:r>
                  <w:r>
                    <w:rPr>
                      <w:rFonts w:hint="eastAsia"/>
                      <w:highlight w:val="none"/>
                    </w:rPr>
                    <w:t>m</w:t>
                  </w:r>
                  <w:r>
                    <w:rPr>
                      <w:rFonts w:hint="eastAsia"/>
                    </w:rPr>
                    <w:t>，高</w:t>
                  </w:r>
                  <w:r>
                    <w:rPr>
                      <w:rFonts w:hint="eastAsia"/>
                      <w:lang w:val="en-US" w:eastAsia="zh-CN"/>
                    </w:rPr>
                    <w:t>3.6</w:t>
                  </w:r>
                  <w:r>
                    <w:rPr>
                      <w:rFonts w:hint="eastAsia"/>
                    </w:rPr>
                    <w:t>m</w:t>
                  </w:r>
                  <w:r>
                    <w:rPr>
                      <w:rFonts w:hint="eastAsia"/>
                      <w:lang w:eastAsia="zh-CN"/>
                    </w:rPr>
                    <w:t>。</w:t>
                  </w:r>
                </w:p>
              </w:tc>
              <w:tc>
                <w:tcPr>
                  <w:tcW w:w="990" w:type="pct"/>
                  <w:vAlign w:val="center"/>
                </w:tcPr>
                <w:p w14:paraId="5CC118C2">
                  <w:pPr>
                    <w:pStyle w:val="42"/>
                    <w:jc w:val="center"/>
                    <w:rPr>
                      <w:rFonts w:hint="eastAsia"/>
                      <w:lang w:eastAsia="zh-CN"/>
                    </w:rPr>
                  </w:pPr>
                  <w:r>
                    <w:rPr>
                      <w:rFonts w:hint="eastAsia"/>
                      <w:lang w:val="en-US" w:eastAsia="zh-CN"/>
                    </w:rPr>
                    <w:t>新建</w:t>
                  </w:r>
                </w:p>
              </w:tc>
            </w:tr>
            <w:tr w14:paraId="623F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3" w:type="pct"/>
                  <w:vMerge w:val="continue"/>
                  <w:vAlign w:val="center"/>
                </w:tcPr>
                <w:p w14:paraId="02F8C7BD">
                  <w:pPr>
                    <w:pStyle w:val="42"/>
                    <w:jc w:val="center"/>
                    <w:rPr>
                      <w:rFonts w:hint="eastAsia"/>
                    </w:rPr>
                  </w:pPr>
                </w:p>
              </w:tc>
              <w:tc>
                <w:tcPr>
                  <w:tcW w:w="604" w:type="pct"/>
                  <w:vAlign w:val="center"/>
                </w:tcPr>
                <w:p w14:paraId="37DA6CB7">
                  <w:pPr>
                    <w:pStyle w:val="42"/>
                    <w:jc w:val="center"/>
                    <w:rPr>
                      <w:rFonts w:hint="eastAsia" w:eastAsia="宋体"/>
                      <w:highlight w:val="none"/>
                      <w:lang w:eastAsia="zh-CN"/>
                    </w:rPr>
                  </w:pPr>
                  <w:r>
                    <w:rPr>
                      <w:rFonts w:hint="eastAsia"/>
                      <w:highlight w:val="none"/>
                      <w:lang w:eastAsia="zh-CN"/>
                    </w:rPr>
                    <w:t>危废库</w:t>
                  </w:r>
                </w:p>
              </w:tc>
              <w:tc>
                <w:tcPr>
                  <w:tcW w:w="2941" w:type="pct"/>
                  <w:vAlign w:val="center"/>
                </w:tcPr>
                <w:p w14:paraId="6E13FF0E">
                  <w:pPr>
                    <w:pStyle w:val="42"/>
                    <w:jc w:val="both"/>
                    <w:rPr>
                      <w:rFonts w:hint="eastAsia" w:eastAsia="宋体"/>
                      <w:highlight w:val="none"/>
                      <w:lang w:val="en-US" w:eastAsia="zh-CN"/>
                    </w:rPr>
                  </w:pPr>
                  <w:r>
                    <w:rPr>
                      <w:rFonts w:hint="eastAsia"/>
                    </w:rPr>
                    <w:t>位于厂区</w:t>
                  </w:r>
                  <w:r>
                    <w:rPr>
                      <w:rFonts w:hint="eastAsia"/>
                      <w:lang w:eastAsia="zh-CN"/>
                    </w:rPr>
                    <w:t>东南部库房里，占地</w:t>
                  </w:r>
                  <w:r>
                    <w:rPr>
                      <w:rFonts w:hint="eastAsia"/>
                    </w:rPr>
                    <w:t>面积约</w:t>
                  </w:r>
                  <w:r>
                    <w:rPr>
                      <w:rFonts w:hint="eastAsia"/>
                      <w:highlight w:val="none"/>
                      <w:lang w:val="en-US" w:eastAsia="zh-CN"/>
                    </w:rPr>
                    <w:t>40</w:t>
                  </w:r>
                  <w:r>
                    <w:rPr>
                      <w:rFonts w:hint="eastAsia"/>
                      <w:highlight w:val="none"/>
                    </w:rPr>
                    <w:t>m</w:t>
                  </w:r>
                  <w:r>
                    <w:rPr>
                      <w:rFonts w:hint="eastAsia"/>
                      <w:highlight w:val="none"/>
                      <w:vertAlign w:val="superscript"/>
                      <w:lang w:val="en-US" w:eastAsia="zh-CN"/>
                    </w:rPr>
                    <w:t>2</w:t>
                  </w:r>
                  <w:r>
                    <w:rPr>
                      <w:rFonts w:hint="eastAsia"/>
                      <w:highlight w:val="none"/>
                    </w:rPr>
                    <w:t>，长</w:t>
                  </w:r>
                  <w:r>
                    <w:rPr>
                      <w:rFonts w:hint="eastAsia"/>
                      <w:highlight w:val="none"/>
                      <w:lang w:val="en-US" w:eastAsia="zh-CN"/>
                    </w:rPr>
                    <w:t>10</w:t>
                  </w:r>
                  <w:r>
                    <w:rPr>
                      <w:rFonts w:hint="eastAsia"/>
                      <w:highlight w:val="none"/>
                    </w:rPr>
                    <w:t>m，宽</w:t>
                  </w:r>
                  <w:r>
                    <w:rPr>
                      <w:rFonts w:hint="eastAsia"/>
                      <w:highlight w:val="none"/>
                      <w:lang w:val="en-US" w:eastAsia="zh-CN"/>
                    </w:rPr>
                    <w:t>4</w:t>
                  </w:r>
                  <w:r>
                    <w:rPr>
                      <w:rFonts w:hint="eastAsia"/>
                      <w:highlight w:val="none"/>
                    </w:rPr>
                    <w:t>m</w:t>
                  </w:r>
                  <w:r>
                    <w:rPr>
                      <w:rFonts w:hint="eastAsia"/>
                    </w:rPr>
                    <w:t>，高</w:t>
                  </w:r>
                  <w:r>
                    <w:rPr>
                      <w:rFonts w:hint="eastAsia"/>
                      <w:lang w:val="en-US" w:eastAsia="zh-CN"/>
                    </w:rPr>
                    <w:t>3.6</w:t>
                  </w:r>
                  <w:r>
                    <w:rPr>
                      <w:rFonts w:hint="eastAsia"/>
                    </w:rPr>
                    <w:t>m</w:t>
                  </w:r>
                  <w:r>
                    <w:rPr>
                      <w:rFonts w:hint="eastAsia"/>
                      <w:lang w:eastAsia="zh-CN"/>
                    </w:rPr>
                    <w:t>。</w:t>
                  </w:r>
                </w:p>
              </w:tc>
              <w:tc>
                <w:tcPr>
                  <w:tcW w:w="990" w:type="pct"/>
                  <w:vAlign w:val="center"/>
                </w:tcPr>
                <w:p w14:paraId="50B4DE27">
                  <w:pPr>
                    <w:pStyle w:val="42"/>
                    <w:jc w:val="center"/>
                    <w:rPr>
                      <w:rFonts w:hint="eastAsia"/>
                      <w:lang w:eastAsia="zh-CN"/>
                    </w:rPr>
                  </w:pPr>
                  <w:r>
                    <w:rPr>
                      <w:rFonts w:hint="eastAsia"/>
                      <w:lang w:val="en-US" w:eastAsia="zh-CN"/>
                    </w:rPr>
                    <w:t>新建</w:t>
                  </w:r>
                </w:p>
              </w:tc>
            </w:tr>
            <w:tr w14:paraId="613B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3" w:type="pct"/>
                  <w:vMerge w:val="restart"/>
                  <w:vAlign w:val="center"/>
                </w:tcPr>
                <w:p w14:paraId="31E9B9D9">
                  <w:pPr>
                    <w:pStyle w:val="42"/>
                    <w:jc w:val="center"/>
                    <w:rPr>
                      <w:rFonts w:hint="eastAsia"/>
                    </w:rPr>
                  </w:pPr>
                  <w:r>
                    <w:rPr>
                      <w:rFonts w:hint="eastAsia"/>
                    </w:rPr>
                    <w:t>辅助工程</w:t>
                  </w:r>
                </w:p>
              </w:tc>
              <w:tc>
                <w:tcPr>
                  <w:tcW w:w="604" w:type="pct"/>
                  <w:vAlign w:val="center"/>
                </w:tcPr>
                <w:p w14:paraId="036CFE27">
                  <w:pPr>
                    <w:pStyle w:val="42"/>
                    <w:jc w:val="center"/>
                    <w:rPr>
                      <w:rFonts w:hint="eastAsia"/>
                    </w:rPr>
                  </w:pPr>
                  <w:r>
                    <w:rPr>
                      <w:rFonts w:hint="eastAsia"/>
                    </w:rPr>
                    <w:t>办公楼</w:t>
                  </w:r>
                </w:p>
              </w:tc>
              <w:tc>
                <w:tcPr>
                  <w:tcW w:w="2941" w:type="pct"/>
                  <w:vAlign w:val="center"/>
                </w:tcPr>
                <w:p w14:paraId="2C0DCDBE">
                  <w:pPr>
                    <w:pStyle w:val="42"/>
                    <w:jc w:val="both"/>
                    <w:rPr>
                      <w:rFonts w:hint="eastAsia"/>
                    </w:rPr>
                  </w:pPr>
                  <w:r>
                    <w:rPr>
                      <w:rFonts w:hint="eastAsia"/>
                    </w:rPr>
                    <w:t>位于厂区</w:t>
                  </w:r>
                  <w:r>
                    <w:rPr>
                      <w:rFonts w:hint="eastAsia"/>
                      <w:lang w:eastAsia="zh-CN"/>
                    </w:rPr>
                    <w:t>南部</w:t>
                  </w:r>
                  <w:r>
                    <w:rPr>
                      <w:rFonts w:hint="eastAsia"/>
                    </w:rPr>
                    <w:t>，</w:t>
                  </w:r>
                  <w:r>
                    <w:rPr>
                      <w:rFonts w:hint="eastAsia"/>
                      <w:lang w:eastAsia="zh-CN"/>
                    </w:rPr>
                    <w:t>占地</w:t>
                  </w:r>
                  <w:r>
                    <w:rPr>
                      <w:rFonts w:hint="eastAsia"/>
                    </w:rPr>
                    <w:t>面积约</w:t>
                  </w:r>
                  <w:r>
                    <w:rPr>
                      <w:rFonts w:hint="eastAsia"/>
                      <w:highlight w:val="none"/>
                      <w:lang w:val="en-US" w:eastAsia="zh-CN"/>
                    </w:rPr>
                    <w:t>391.5</w:t>
                  </w:r>
                  <w:r>
                    <w:rPr>
                      <w:rFonts w:hint="eastAsia"/>
                      <w:highlight w:val="none"/>
                    </w:rPr>
                    <w:t>m</w:t>
                  </w:r>
                  <w:r>
                    <w:rPr>
                      <w:rFonts w:hint="eastAsia"/>
                      <w:highlight w:val="none"/>
                      <w:vertAlign w:val="superscript"/>
                      <w:lang w:val="en-US" w:eastAsia="zh-CN"/>
                    </w:rPr>
                    <w:t>2</w:t>
                  </w:r>
                  <w:r>
                    <w:rPr>
                      <w:rFonts w:hint="eastAsia"/>
                      <w:highlight w:val="none"/>
                    </w:rPr>
                    <w:t>，长</w:t>
                  </w:r>
                  <w:r>
                    <w:rPr>
                      <w:rFonts w:hint="eastAsia"/>
                      <w:highlight w:val="none"/>
                      <w:lang w:val="en-US" w:eastAsia="zh-CN"/>
                    </w:rPr>
                    <w:t>27</w:t>
                  </w:r>
                  <w:r>
                    <w:rPr>
                      <w:rFonts w:hint="eastAsia"/>
                      <w:highlight w:val="none"/>
                    </w:rPr>
                    <w:t>m，宽</w:t>
                  </w:r>
                  <w:r>
                    <w:rPr>
                      <w:rFonts w:hint="eastAsia"/>
                      <w:highlight w:val="none"/>
                      <w:lang w:val="en-US" w:eastAsia="zh-CN"/>
                    </w:rPr>
                    <w:t>14.5</w:t>
                  </w:r>
                  <w:r>
                    <w:rPr>
                      <w:rFonts w:hint="eastAsia"/>
                      <w:highlight w:val="none"/>
                    </w:rPr>
                    <w:t>m</w:t>
                  </w:r>
                  <w:r>
                    <w:rPr>
                      <w:rFonts w:hint="eastAsia"/>
                    </w:rPr>
                    <w:t>，高</w:t>
                  </w:r>
                  <w:r>
                    <w:rPr>
                      <w:rFonts w:hint="eastAsia"/>
                      <w:lang w:val="en-US" w:eastAsia="zh-CN"/>
                    </w:rPr>
                    <w:t>12.75</w:t>
                  </w:r>
                  <w:r>
                    <w:rPr>
                      <w:rFonts w:hint="eastAsia"/>
                    </w:rPr>
                    <w:t>m。</w:t>
                  </w:r>
                </w:p>
              </w:tc>
              <w:tc>
                <w:tcPr>
                  <w:tcW w:w="990" w:type="pct"/>
                  <w:vAlign w:val="center"/>
                </w:tcPr>
                <w:p w14:paraId="4E4B0822">
                  <w:pPr>
                    <w:pStyle w:val="42"/>
                    <w:jc w:val="center"/>
                    <w:rPr>
                      <w:rFonts w:hint="eastAsia"/>
                      <w:lang w:eastAsia="zh-CN"/>
                    </w:rPr>
                  </w:pPr>
                  <w:r>
                    <w:rPr>
                      <w:rFonts w:hint="eastAsia"/>
                      <w:lang w:val="en-US" w:eastAsia="zh-CN"/>
                    </w:rPr>
                    <w:t>新建</w:t>
                  </w:r>
                </w:p>
              </w:tc>
            </w:tr>
            <w:tr w14:paraId="5D3A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3" w:type="pct"/>
                  <w:vMerge w:val="continue"/>
                  <w:vAlign w:val="center"/>
                </w:tcPr>
                <w:p w14:paraId="21ABA1AC">
                  <w:pPr>
                    <w:pStyle w:val="42"/>
                    <w:jc w:val="center"/>
                    <w:rPr>
                      <w:rFonts w:hint="eastAsia"/>
                    </w:rPr>
                  </w:pPr>
                </w:p>
              </w:tc>
              <w:tc>
                <w:tcPr>
                  <w:tcW w:w="604" w:type="pct"/>
                  <w:vAlign w:val="center"/>
                </w:tcPr>
                <w:p w14:paraId="6663B4EC">
                  <w:pPr>
                    <w:pStyle w:val="42"/>
                    <w:ind w:firstLine="0" w:firstLineChars="0"/>
                    <w:jc w:val="center"/>
                    <w:rPr>
                      <w:rFonts w:hint="eastAsia"/>
                    </w:rPr>
                  </w:pPr>
                  <w:r>
                    <w:rPr>
                      <w:rFonts w:hint="eastAsia"/>
                      <w:highlight w:val="none"/>
                      <w:lang w:eastAsia="zh-CN"/>
                    </w:rPr>
                    <w:t>锅炉房</w:t>
                  </w:r>
                </w:p>
              </w:tc>
              <w:tc>
                <w:tcPr>
                  <w:tcW w:w="2941" w:type="pct"/>
                  <w:shd w:val="clear" w:color="auto" w:fill="auto"/>
                  <w:vAlign w:val="center"/>
                </w:tcPr>
                <w:p w14:paraId="71E1B484">
                  <w:pPr>
                    <w:pStyle w:val="42"/>
                    <w:jc w:val="both"/>
                    <w:rPr>
                      <w:rFonts w:hint="eastAsia"/>
                    </w:rPr>
                  </w:pPr>
                  <w:r>
                    <w:rPr>
                      <w:rFonts w:hint="eastAsia"/>
                    </w:rPr>
                    <w:t>位于厂区</w:t>
                  </w:r>
                  <w:r>
                    <w:rPr>
                      <w:rFonts w:hint="eastAsia"/>
                      <w:lang w:eastAsia="zh-CN"/>
                    </w:rPr>
                    <w:t>西北</w:t>
                  </w:r>
                  <w:r>
                    <w:rPr>
                      <w:rFonts w:hint="eastAsia"/>
                    </w:rPr>
                    <w:t>，</w:t>
                  </w:r>
                  <w:r>
                    <w:rPr>
                      <w:rFonts w:hint="eastAsia"/>
                      <w:lang w:eastAsia="zh-CN"/>
                    </w:rPr>
                    <w:t>占地</w:t>
                  </w:r>
                  <w:r>
                    <w:rPr>
                      <w:rFonts w:hint="eastAsia"/>
                    </w:rPr>
                    <w:t>面积约</w:t>
                  </w:r>
                  <w:r>
                    <w:rPr>
                      <w:rFonts w:hint="eastAsia"/>
                      <w:highlight w:val="none"/>
                      <w:lang w:val="en-US" w:eastAsia="zh-CN"/>
                    </w:rPr>
                    <w:t>96</w:t>
                  </w:r>
                  <w:r>
                    <w:rPr>
                      <w:rFonts w:hint="eastAsia"/>
                      <w:highlight w:val="none"/>
                    </w:rPr>
                    <w:t>m</w:t>
                  </w:r>
                  <w:r>
                    <w:rPr>
                      <w:rFonts w:hint="eastAsia"/>
                      <w:highlight w:val="none"/>
                      <w:vertAlign w:val="superscript"/>
                      <w:lang w:val="en-US" w:eastAsia="zh-CN"/>
                    </w:rPr>
                    <w:t>2</w:t>
                  </w:r>
                  <w:r>
                    <w:rPr>
                      <w:rFonts w:hint="eastAsia"/>
                      <w:highlight w:val="none"/>
                    </w:rPr>
                    <w:t>，长</w:t>
                  </w:r>
                  <w:r>
                    <w:rPr>
                      <w:rFonts w:hint="eastAsia"/>
                      <w:highlight w:val="none"/>
                      <w:lang w:val="en-US" w:eastAsia="zh-CN"/>
                    </w:rPr>
                    <w:t>16</w:t>
                  </w:r>
                  <w:r>
                    <w:rPr>
                      <w:rFonts w:hint="eastAsia"/>
                      <w:highlight w:val="none"/>
                    </w:rPr>
                    <w:t>m，宽</w:t>
                  </w:r>
                  <w:r>
                    <w:rPr>
                      <w:rFonts w:hint="eastAsia"/>
                      <w:highlight w:val="none"/>
                      <w:lang w:val="en-US" w:eastAsia="zh-CN"/>
                    </w:rPr>
                    <w:t>6</w:t>
                  </w:r>
                  <w:r>
                    <w:rPr>
                      <w:rFonts w:hint="eastAsia"/>
                      <w:highlight w:val="none"/>
                    </w:rPr>
                    <w:t>m</w:t>
                  </w:r>
                  <w:r>
                    <w:rPr>
                      <w:rFonts w:hint="eastAsia"/>
                    </w:rPr>
                    <w:t>，</w:t>
                  </w:r>
                </w:p>
                <w:p w14:paraId="0900C090">
                  <w:pPr>
                    <w:pStyle w:val="42"/>
                    <w:jc w:val="both"/>
                    <w:rPr>
                      <w:rFonts w:hint="eastAsia"/>
                      <w:lang w:val="en-US" w:eastAsia="zh-CN"/>
                    </w:rPr>
                  </w:pPr>
                  <w:r>
                    <w:rPr>
                      <w:rFonts w:hint="eastAsia"/>
                    </w:rPr>
                    <w:t>高</w:t>
                  </w:r>
                  <w:r>
                    <w:rPr>
                      <w:rFonts w:hint="eastAsia"/>
                      <w:lang w:val="en-US" w:eastAsia="zh-CN"/>
                    </w:rPr>
                    <w:t>7.55</w:t>
                  </w:r>
                  <w:r>
                    <w:rPr>
                      <w:rFonts w:hint="eastAsia"/>
                    </w:rPr>
                    <w:t>m。</w:t>
                  </w:r>
                </w:p>
              </w:tc>
              <w:tc>
                <w:tcPr>
                  <w:tcW w:w="990" w:type="pct"/>
                  <w:vAlign w:val="center"/>
                </w:tcPr>
                <w:p w14:paraId="1FA905FF">
                  <w:pPr>
                    <w:pStyle w:val="42"/>
                    <w:jc w:val="center"/>
                    <w:rPr>
                      <w:rFonts w:hint="eastAsia"/>
                      <w:lang w:eastAsia="zh-CN"/>
                    </w:rPr>
                  </w:pPr>
                  <w:r>
                    <w:rPr>
                      <w:rFonts w:hint="eastAsia"/>
                      <w:lang w:val="en-US" w:eastAsia="zh-CN"/>
                    </w:rPr>
                    <w:t>新建</w:t>
                  </w:r>
                </w:p>
              </w:tc>
            </w:tr>
            <w:tr w14:paraId="0252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3" w:type="pct"/>
                  <w:vMerge w:val="continue"/>
                  <w:vAlign w:val="center"/>
                </w:tcPr>
                <w:p w14:paraId="3C027ED3">
                  <w:pPr>
                    <w:pStyle w:val="42"/>
                    <w:jc w:val="center"/>
                    <w:rPr>
                      <w:rFonts w:hint="eastAsia"/>
                    </w:rPr>
                  </w:pPr>
                </w:p>
              </w:tc>
              <w:tc>
                <w:tcPr>
                  <w:tcW w:w="604" w:type="pct"/>
                  <w:vAlign w:val="center"/>
                </w:tcPr>
                <w:p w14:paraId="537A37F6">
                  <w:pPr>
                    <w:pStyle w:val="42"/>
                    <w:ind w:firstLine="0" w:firstLineChars="0"/>
                    <w:jc w:val="center"/>
                    <w:rPr>
                      <w:rFonts w:hint="eastAsia"/>
                      <w:lang w:eastAsia="zh-CN"/>
                    </w:rPr>
                  </w:pPr>
                  <w:r>
                    <w:rPr>
                      <w:rFonts w:hint="eastAsia"/>
                      <w:highlight w:val="none"/>
                      <w:lang w:eastAsia="zh-CN"/>
                    </w:rPr>
                    <w:t>扑杀间</w:t>
                  </w:r>
                </w:p>
              </w:tc>
              <w:tc>
                <w:tcPr>
                  <w:tcW w:w="2941" w:type="pct"/>
                  <w:shd w:val="clear" w:color="auto" w:fill="auto"/>
                  <w:vAlign w:val="center"/>
                </w:tcPr>
                <w:p w14:paraId="4F00948E">
                  <w:pPr>
                    <w:pStyle w:val="42"/>
                    <w:jc w:val="both"/>
                    <w:rPr>
                      <w:rFonts w:hint="eastAsia"/>
                    </w:rPr>
                  </w:pPr>
                  <w:r>
                    <w:rPr>
                      <w:rFonts w:hint="eastAsia"/>
                    </w:rPr>
                    <w:t>位于厂区</w:t>
                  </w:r>
                  <w:r>
                    <w:rPr>
                      <w:rFonts w:hint="eastAsia"/>
                      <w:lang w:eastAsia="zh-CN"/>
                    </w:rPr>
                    <w:t>西北</w:t>
                  </w:r>
                  <w:r>
                    <w:rPr>
                      <w:rFonts w:hint="eastAsia"/>
                    </w:rPr>
                    <w:t>，</w:t>
                  </w:r>
                  <w:r>
                    <w:rPr>
                      <w:rFonts w:hint="eastAsia"/>
                      <w:lang w:eastAsia="zh-CN"/>
                    </w:rPr>
                    <w:t>占地</w:t>
                  </w:r>
                  <w:r>
                    <w:rPr>
                      <w:rFonts w:hint="eastAsia"/>
                    </w:rPr>
                    <w:t>面积约</w:t>
                  </w:r>
                  <w:r>
                    <w:rPr>
                      <w:rFonts w:hint="eastAsia"/>
                      <w:highlight w:val="none"/>
                      <w:lang w:val="en-US" w:eastAsia="zh-CN"/>
                    </w:rPr>
                    <w:t>96</w:t>
                  </w:r>
                  <w:r>
                    <w:rPr>
                      <w:rFonts w:hint="eastAsia"/>
                      <w:highlight w:val="none"/>
                    </w:rPr>
                    <w:t>m</w:t>
                  </w:r>
                  <w:r>
                    <w:rPr>
                      <w:rFonts w:hint="eastAsia"/>
                      <w:highlight w:val="none"/>
                      <w:vertAlign w:val="superscript"/>
                      <w:lang w:val="en-US" w:eastAsia="zh-CN"/>
                    </w:rPr>
                    <w:t>2</w:t>
                  </w:r>
                  <w:r>
                    <w:rPr>
                      <w:rFonts w:hint="eastAsia"/>
                      <w:highlight w:val="none"/>
                    </w:rPr>
                    <w:t>，长</w:t>
                  </w:r>
                  <w:r>
                    <w:rPr>
                      <w:rFonts w:hint="eastAsia"/>
                      <w:highlight w:val="none"/>
                      <w:lang w:val="en-US" w:eastAsia="zh-CN"/>
                    </w:rPr>
                    <w:t>16</w:t>
                  </w:r>
                  <w:r>
                    <w:rPr>
                      <w:rFonts w:hint="eastAsia"/>
                      <w:highlight w:val="none"/>
                    </w:rPr>
                    <w:t>m，宽</w:t>
                  </w:r>
                  <w:r>
                    <w:rPr>
                      <w:rFonts w:hint="eastAsia"/>
                      <w:highlight w:val="none"/>
                      <w:lang w:val="en-US" w:eastAsia="zh-CN"/>
                    </w:rPr>
                    <w:t>6</w:t>
                  </w:r>
                  <w:r>
                    <w:rPr>
                      <w:rFonts w:hint="eastAsia"/>
                      <w:highlight w:val="none"/>
                    </w:rPr>
                    <w:t>m</w:t>
                  </w:r>
                  <w:r>
                    <w:rPr>
                      <w:rFonts w:hint="eastAsia"/>
                    </w:rPr>
                    <w:t>，</w:t>
                  </w:r>
                </w:p>
                <w:p w14:paraId="09E004AF">
                  <w:pPr>
                    <w:pStyle w:val="42"/>
                    <w:jc w:val="both"/>
                    <w:rPr>
                      <w:rFonts w:hint="eastAsia"/>
                      <w:lang w:val="en-US" w:eastAsia="zh-CN"/>
                    </w:rPr>
                  </w:pPr>
                  <w:r>
                    <w:rPr>
                      <w:rFonts w:hint="eastAsia"/>
                    </w:rPr>
                    <w:t>高</w:t>
                  </w:r>
                  <w:r>
                    <w:rPr>
                      <w:rFonts w:hint="eastAsia"/>
                      <w:lang w:val="en-US" w:eastAsia="zh-CN"/>
                    </w:rPr>
                    <w:t>7.55</w:t>
                  </w:r>
                  <w:r>
                    <w:rPr>
                      <w:rFonts w:hint="eastAsia"/>
                    </w:rPr>
                    <w:t>m。</w:t>
                  </w:r>
                </w:p>
              </w:tc>
              <w:tc>
                <w:tcPr>
                  <w:tcW w:w="990" w:type="pct"/>
                  <w:vAlign w:val="center"/>
                </w:tcPr>
                <w:p w14:paraId="60886699">
                  <w:pPr>
                    <w:pStyle w:val="42"/>
                    <w:jc w:val="center"/>
                    <w:rPr>
                      <w:rFonts w:hint="eastAsia"/>
                      <w:lang w:eastAsia="zh-CN"/>
                    </w:rPr>
                  </w:pPr>
                  <w:r>
                    <w:rPr>
                      <w:rFonts w:hint="eastAsia"/>
                      <w:lang w:val="en-US" w:eastAsia="zh-CN"/>
                    </w:rPr>
                    <w:t>新建</w:t>
                  </w:r>
                </w:p>
              </w:tc>
            </w:tr>
            <w:tr w14:paraId="678A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3" w:type="pct"/>
                  <w:vMerge w:val="continue"/>
                  <w:vAlign w:val="center"/>
                </w:tcPr>
                <w:p w14:paraId="2B11E268">
                  <w:pPr>
                    <w:pStyle w:val="42"/>
                    <w:jc w:val="center"/>
                    <w:rPr>
                      <w:rFonts w:hint="eastAsia"/>
                    </w:rPr>
                  </w:pPr>
                </w:p>
              </w:tc>
              <w:tc>
                <w:tcPr>
                  <w:tcW w:w="604" w:type="pct"/>
                  <w:vAlign w:val="center"/>
                </w:tcPr>
                <w:p w14:paraId="0E53FD4C">
                  <w:pPr>
                    <w:pStyle w:val="42"/>
                    <w:jc w:val="center"/>
                    <w:rPr>
                      <w:rFonts w:hint="eastAsia"/>
                      <w:lang w:eastAsia="zh-CN"/>
                    </w:rPr>
                  </w:pPr>
                  <w:r>
                    <w:rPr>
                      <w:rFonts w:hint="eastAsia"/>
                    </w:rPr>
                    <w:t>门</w:t>
                  </w:r>
                  <w:r>
                    <w:rPr>
                      <w:rFonts w:hint="eastAsia"/>
                      <w:lang w:eastAsia="zh-CN"/>
                    </w:rPr>
                    <w:t>卫</w:t>
                  </w:r>
                </w:p>
              </w:tc>
              <w:tc>
                <w:tcPr>
                  <w:tcW w:w="2941" w:type="pct"/>
                  <w:shd w:val="clear" w:color="auto" w:fill="auto"/>
                  <w:vAlign w:val="center"/>
                </w:tcPr>
                <w:p w14:paraId="119CBF68">
                  <w:pPr>
                    <w:pStyle w:val="42"/>
                    <w:jc w:val="both"/>
                    <w:rPr>
                      <w:rFonts w:hint="eastAsia"/>
                      <w:lang w:val="en-US" w:eastAsia="zh-CN"/>
                    </w:rPr>
                  </w:pPr>
                  <w:r>
                    <w:rPr>
                      <w:rFonts w:hint="eastAsia"/>
                      <w:lang w:val="en-US" w:eastAsia="zh-CN"/>
                    </w:rPr>
                    <w:t>设置两个门卫室。</w:t>
                  </w:r>
                </w:p>
              </w:tc>
              <w:tc>
                <w:tcPr>
                  <w:tcW w:w="990" w:type="pct"/>
                  <w:vAlign w:val="center"/>
                </w:tcPr>
                <w:p w14:paraId="45678F23">
                  <w:pPr>
                    <w:pStyle w:val="42"/>
                    <w:jc w:val="center"/>
                    <w:rPr>
                      <w:rFonts w:hint="eastAsia"/>
                      <w:lang w:eastAsia="zh-CN"/>
                    </w:rPr>
                  </w:pPr>
                  <w:r>
                    <w:rPr>
                      <w:rFonts w:hint="eastAsia"/>
                      <w:lang w:val="en-US" w:eastAsia="zh-CN"/>
                    </w:rPr>
                    <w:t>新建</w:t>
                  </w:r>
                </w:p>
              </w:tc>
            </w:tr>
            <w:tr w14:paraId="1DC6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3" w:type="pct"/>
                  <w:vMerge w:val="restart"/>
                  <w:vAlign w:val="center"/>
                </w:tcPr>
                <w:p w14:paraId="2B1095EE">
                  <w:pPr>
                    <w:pStyle w:val="42"/>
                    <w:jc w:val="center"/>
                    <w:rPr>
                      <w:rFonts w:hint="eastAsia"/>
                    </w:rPr>
                  </w:pPr>
                  <w:r>
                    <w:rPr>
                      <w:rFonts w:hint="eastAsia"/>
                    </w:rPr>
                    <w:t>公用工程</w:t>
                  </w:r>
                </w:p>
              </w:tc>
              <w:tc>
                <w:tcPr>
                  <w:tcW w:w="604" w:type="pct"/>
                  <w:vAlign w:val="center"/>
                </w:tcPr>
                <w:p w14:paraId="66AF284E">
                  <w:pPr>
                    <w:pStyle w:val="42"/>
                    <w:jc w:val="center"/>
                    <w:rPr>
                      <w:rFonts w:hint="eastAsia"/>
                    </w:rPr>
                  </w:pPr>
                  <w:r>
                    <w:rPr>
                      <w:rFonts w:hint="eastAsia"/>
                    </w:rPr>
                    <w:t>给排水</w:t>
                  </w:r>
                </w:p>
              </w:tc>
              <w:tc>
                <w:tcPr>
                  <w:tcW w:w="2941" w:type="pct"/>
                  <w:vAlign w:val="center"/>
                </w:tcPr>
                <w:p w14:paraId="7CE7C172">
                  <w:pPr>
                    <w:pStyle w:val="42"/>
                    <w:jc w:val="both"/>
                    <w:rPr>
                      <w:rFonts w:hint="eastAsia"/>
                    </w:rPr>
                  </w:pPr>
                  <w:r>
                    <w:rPr>
                      <w:rFonts w:hint="eastAsia"/>
                      <w:lang w:eastAsia="zh-CN"/>
                    </w:rPr>
                    <w:t>给水：园区</w:t>
                  </w:r>
                  <w:r>
                    <w:rPr>
                      <w:rFonts w:hint="eastAsia"/>
                    </w:rPr>
                    <w:t>给水管网供水。</w:t>
                  </w:r>
                </w:p>
                <w:p w14:paraId="360DE5A6">
                  <w:pPr>
                    <w:pStyle w:val="42"/>
                    <w:jc w:val="both"/>
                    <w:rPr>
                      <w:rFonts w:hint="eastAsia"/>
                      <w:lang w:eastAsia="zh-CN"/>
                    </w:rPr>
                  </w:pPr>
                  <w:r>
                    <w:rPr>
                      <w:rFonts w:hint="eastAsia"/>
                      <w:lang w:eastAsia="zh-CN"/>
                    </w:rPr>
                    <w:t>排水：</w:t>
                  </w:r>
                  <w:r>
                    <w:rPr>
                      <w:rFonts w:hint="eastAsia"/>
                    </w:rPr>
                    <w:t>化制冷凝水排入地埋式暂存罐，自然冷却至30℃以下:车辆清洗废水和车间冲洗废水收集后汇入收集罐中，加入次氯酸钠消毒:生活污水经化粪池预处理，上述废水收集后汇同喷淋废水、软水制备产生的废水进入黑膜厌氧池，经不低于90天的厌氧发酵后，制成沼液进行厂内草坪、厂内树林</w:t>
                  </w:r>
                  <w:r>
                    <w:rPr>
                      <w:rFonts w:hint="eastAsia"/>
                      <w:lang w:eastAsia="zh-CN"/>
                    </w:rPr>
                    <w:t>及</w:t>
                  </w:r>
                  <w:r>
                    <w:rPr>
                      <w:rFonts w:hint="eastAsia"/>
                      <w:u w:val="single"/>
                      <w:lang w:val="en-US" w:eastAsia="zh-CN"/>
                    </w:rPr>
                    <w:t>50亩柑橘林用于农灌，足够消纳沼液</w:t>
                  </w:r>
                  <w:r>
                    <w:rPr>
                      <w:rFonts w:hint="eastAsia"/>
                      <w:u w:val="single"/>
                      <w:vertAlign w:val="baseline"/>
                      <w:lang w:val="en-US" w:eastAsia="zh-CN"/>
                    </w:rPr>
                    <w:t>。详见附件7。</w:t>
                  </w:r>
                </w:p>
              </w:tc>
              <w:tc>
                <w:tcPr>
                  <w:tcW w:w="990" w:type="pct"/>
                  <w:vAlign w:val="center"/>
                </w:tcPr>
                <w:p w14:paraId="79EC4FAA">
                  <w:pPr>
                    <w:pStyle w:val="42"/>
                    <w:jc w:val="center"/>
                    <w:rPr>
                      <w:rFonts w:hint="eastAsia"/>
                      <w:lang w:eastAsia="zh-CN"/>
                    </w:rPr>
                  </w:pPr>
                  <w:r>
                    <w:rPr>
                      <w:rFonts w:hint="eastAsia"/>
                      <w:lang w:val="en-US" w:eastAsia="zh-CN"/>
                    </w:rPr>
                    <w:t>新建</w:t>
                  </w:r>
                </w:p>
              </w:tc>
            </w:tr>
            <w:tr w14:paraId="4DB7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3" w:type="pct"/>
                  <w:vMerge w:val="continue"/>
                  <w:vAlign w:val="center"/>
                </w:tcPr>
                <w:p w14:paraId="5EDEF191">
                  <w:pPr>
                    <w:pStyle w:val="42"/>
                    <w:jc w:val="center"/>
                    <w:rPr>
                      <w:rFonts w:hint="eastAsia"/>
                    </w:rPr>
                  </w:pPr>
                </w:p>
              </w:tc>
              <w:tc>
                <w:tcPr>
                  <w:tcW w:w="604" w:type="pct"/>
                  <w:vAlign w:val="center"/>
                </w:tcPr>
                <w:p w14:paraId="4AD0DDD8">
                  <w:pPr>
                    <w:pStyle w:val="42"/>
                    <w:jc w:val="center"/>
                    <w:rPr>
                      <w:rFonts w:hint="eastAsia"/>
                    </w:rPr>
                  </w:pPr>
                  <w:r>
                    <w:rPr>
                      <w:rFonts w:hint="eastAsia"/>
                    </w:rPr>
                    <w:t>供电</w:t>
                  </w:r>
                </w:p>
              </w:tc>
              <w:tc>
                <w:tcPr>
                  <w:tcW w:w="2941" w:type="pct"/>
                  <w:vAlign w:val="center"/>
                </w:tcPr>
                <w:p w14:paraId="7AC3664E">
                  <w:pPr>
                    <w:pStyle w:val="42"/>
                    <w:jc w:val="both"/>
                    <w:rPr>
                      <w:rFonts w:hint="eastAsia"/>
                    </w:rPr>
                  </w:pPr>
                  <w:r>
                    <w:rPr>
                      <w:rFonts w:hint="eastAsia"/>
                      <w:lang w:eastAsia="zh-CN"/>
                    </w:rPr>
                    <w:t>园区电网</w:t>
                  </w:r>
                  <w:r>
                    <w:rPr>
                      <w:rFonts w:hint="eastAsia"/>
                    </w:rPr>
                    <w:t>供电。</w:t>
                  </w:r>
                </w:p>
              </w:tc>
              <w:tc>
                <w:tcPr>
                  <w:tcW w:w="990" w:type="pct"/>
                  <w:vAlign w:val="center"/>
                </w:tcPr>
                <w:p w14:paraId="3B0CAF44">
                  <w:pPr>
                    <w:pStyle w:val="42"/>
                    <w:jc w:val="center"/>
                    <w:rPr>
                      <w:rFonts w:hint="eastAsia"/>
                      <w:lang w:eastAsia="zh-CN"/>
                    </w:rPr>
                  </w:pPr>
                  <w:r>
                    <w:rPr>
                      <w:rFonts w:hint="eastAsia"/>
                      <w:lang w:val="en-US" w:eastAsia="zh-CN"/>
                    </w:rPr>
                    <w:t>新建</w:t>
                  </w:r>
                </w:p>
              </w:tc>
            </w:tr>
            <w:tr w14:paraId="5212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3" w:type="pct"/>
                  <w:vMerge w:val="continue"/>
                  <w:vAlign w:val="center"/>
                </w:tcPr>
                <w:p w14:paraId="1E1514A4">
                  <w:pPr>
                    <w:pStyle w:val="42"/>
                    <w:jc w:val="center"/>
                    <w:rPr>
                      <w:rFonts w:hint="eastAsia"/>
                    </w:rPr>
                  </w:pPr>
                </w:p>
              </w:tc>
              <w:tc>
                <w:tcPr>
                  <w:tcW w:w="604" w:type="pct"/>
                  <w:vAlign w:val="center"/>
                </w:tcPr>
                <w:p w14:paraId="61C3A381">
                  <w:pPr>
                    <w:pStyle w:val="42"/>
                    <w:jc w:val="center"/>
                    <w:rPr>
                      <w:rFonts w:hint="eastAsia" w:eastAsia="宋体"/>
                      <w:lang w:eastAsia="zh-CN"/>
                    </w:rPr>
                  </w:pPr>
                  <w:r>
                    <w:rPr>
                      <w:rFonts w:hint="eastAsia"/>
                    </w:rPr>
                    <w:t>供</w:t>
                  </w:r>
                  <w:r>
                    <w:rPr>
                      <w:rFonts w:hint="eastAsia"/>
                      <w:lang w:eastAsia="zh-CN"/>
                    </w:rPr>
                    <w:t>热</w:t>
                  </w:r>
                </w:p>
              </w:tc>
              <w:tc>
                <w:tcPr>
                  <w:tcW w:w="2941" w:type="pct"/>
                  <w:vAlign w:val="center"/>
                </w:tcPr>
                <w:p w14:paraId="2525D461">
                  <w:pPr>
                    <w:pStyle w:val="42"/>
                    <w:jc w:val="both"/>
                    <w:rPr>
                      <w:rFonts w:hint="eastAsia" w:eastAsia="宋体"/>
                      <w:lang w:eastAsia="zh-CN"/>
                    </w:rPr>
                  </w:pPr>
                  <w:r>
                    <w:rPr>
                      <w:rFonts w:hint="eastAsia"/>
                      <w:highlight w:val="none"/>
                      <w:lang w:eastAsia="zh-CN"/>
                    </w:rPr>
                    <w:t>本项目</w:t>
                  </w:r>
                  <w:r>
                    <w:rPr>
                      <w:rFonts w:hint="eastAsia"/>
                      <w:lang w:eastAsia="zh-CN"/>
                    </w:rPr>
                    <w:t>由生物质锅炉供热，生物质锅炉所用生物质颗粒。</w:t>
                  </w:r>
                </w:p>
              </w:tc>
              <w:tc>
                <w:tcPr>
                  <w:tcW w:w="990" w:type="pct"/>
                  <w:vAlign w:val="center"/>
                </w:tcPr>
                <w:p w14:paraId="71BF944B">
                  <w:pPr>
                    <w:pStyle w:val="42"/>
                    <w:jc w:val="center"/>
                    <w:rPr>
                      <w:rFonts w:hint="eastAsia"/>
                      <w:lang w:eastAsia="zh-CN"/>
                    </w:rPr>
                  </w:pPr>
                  <w:r>
                    <w:rPr>
                      <w:rFonts w:hint="eastAsia"/>
                      <w:lang w:val="en-US" w:eastAsia="zh-CN"/>
                    </w:rPr>
                    <w:t>新建</w:t>
                  </w:r>
                </w:p>
              </w:tc>
            </w:tr>
            <w:tr w14:paraId="6403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3" w:type="pct"/>
                  <w:vMerge w:val="continue"/>
                  <w:vAlign w:val="center"/>
                </w:tcPr>
                <w:p w14:paraId="44DC4485">
                  <w:pPr>
                    <w:pStyle w:val="42"/>
                    <w:jc w:val="center"/>
                    <w:rPr>
                      <w:rFonts w:hint="eastAsia"/>
                    </w:rPr>
                  </w:pPr>
                </w:p>
              </w:tc>
              <w:tc>
                <w:tcPr>
                  <w:tcW w:w="604" w:type="pct"/>
                  <w:vAlign w:val="center"/>
                </w:tcPr>
                <w:p w14:paraId="6C6ABE93">
                  <w:pPr>
                    <w:pStyle w:val="42"/>
                    <w:jc w:val="center"/>
                    <w:rPr>
                      <w:rFonts w:hint="eastAsia"/>
                    </w:rPr>
                  </w:pPr>
                  <w:r>
                    <w:rPr>
                      <w:rFonts w:hint="eastAsia"/>
                    </w:rPr>
                    <w:t>停车位</w:t>
                  </w:r>
                </w:p>
              </w:tc>
              <w:tc>
                <w:tcPr>
                  <w:tcW w:w="2941" w:type="pct"/>
                  <w:vAlign w:val="center"/>
                </w:tcPr>
                <w:p w14:paraId="2DF4BCDB">
                  <w:pPr>
                    <w:pStyle w:val="42"/>
                    <w:jc w:val="both"/>
                    <w:rPr>
                      <w:rFonts w:hint="default" w:eastAsia="宋体"/>
                      <w:lang w:val="en-US" w:eastAsia="zh-CN"/>
                    </w:rPr>
                  </w:pPr>
                  <w:r>
                    <w:rPr>
                      <w:rFonts w:hint="eastAsia"/>
                      <w:lang w:eastAsia="zh-CN"/>
                    </w:rPr>
                    <w:t>机动车位</w:t>
                  </w:r>
                  <w:r>
                    <w:rPr>
                      <w:rFonts w:hint="eastAsia"/>
                      <w:lang w:val="en-US" w:eastAsia="zh-CN"/>
                    </w:rPr>
                    <w:t>11个，非机动车位70个。</w:t>
                  </w:r>
                </w:p>
              </w:tc>
              <w:tc>
                <w:tcPr>
                  <w:tcW w:w="990" w:type="pct"/>
                  <w:vAlign w:val="center"/>
                </w:tcPr>
                <w:p w14:paraId="387AC316">
                  <w:pPr>
                    <w:pStyle w:val="42"/>
                    <w:jc w:val="center"/>
                    <w:rPr>
                      <w:rFonts w:hint="eastAsia"/>
                      <w:lang w:eastAsia="zh-CN"/>
                    </w:rPr>
                  </w:pPr>
                  <w:r>
                    <w:rPr>
                      <w:rFonts w:hint="eastAsia"/>
                      <w:lang w:val="en-US" w:eastAsia="zh-CN"/>
                    </w:rPr>
                    <w:t>新建</w:t>
                  </w:r>
                </w:p>
              </w:tc>
            </w:tr>
            <w:tr w14:paraId="5CBC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63" w:type="pct"/>
                  <w:vMerge w:val="restart"/>
                  <w:vAlign w:val="center"/>
                </w:tcPr>
                <w:p w14:paraId="49C4ED34">
                  <w:pPr>
                    <w:pStyle w:val="42"/>
                    <w:jc w:val="center"/>
                    <w:rPr>
                      <w:rFonts w:hint="eastAsia"/>
                    </w:rPr>
                  </w:pPr>
                  <w:r>
                    <w:rPr>
                      <w:rFonts w:hint="eastAsia"/>
                    </w:rPr>
                    <w:t>环保工程</w:t>
                  </w:r>
                </w:p>
              </w:tc>
              <w:tc>
                <w:tcPr>
                  <w:tcW w:w="604" w:type="pct"/>
                  <w:vAlign w:val="center"/>
                </w:tcPr>
                <w:p w14:paraId="1CE7B9EA">
                  <w:pPr>
                    <w:pStyle w:val="42"/>
                    <w:jc w:val="center"/>
                    <w:rPr>
                      <w:rFonts w:hint="default"/>
                    </w:rPr>
                  </w:pPr>
                  <w:r>
                    <w:rPr>
                      <w:rFonts w:hint="default"/>
                    </w:rPr>
                    <w:t>废气治理</w:t>
                  </w:r>
                </w:p>
              </w:tc>
              <w:tc>
                <w:tcPr>
                  <w:tcW w:w="2941" w:type="pct"/>
                  <w:vAlign w:val="center"/>
                </w:tcPr>
                <w:p w14:paraId="0DBF4DCC">
                  <w:pPr>
                    <w:pStyle w:val="42"/>
                    <w:jc w:val="both"/>
                    <w:rPr>
                      <w:rFonts w:hint="eastAsia"/>
                      <w:lang w:eastAsia="zh-CN"/>
                    </w:rPr>
                  </w:pPr>
                  <w:r>
                    <w:rPr>
                      <w:rFonts w:hint="eastAsia"/>
                      <w:b/>
                      <w:bCs/>
                      <w:lang w:eastAsia="zh-CN"/>
                    </w:rPr>
                    <w:t>生物质燃烧废气</w:t>
                  </w:r>
                  <w:r>
                    <w:rPr>
                      <w:rFonts w:hint="eastAsia"/>
                      <w:lang w:eastAsia="zh-CN"/>
                    </w:rPr>
                    <w:t>：产生的SO</w:t>
                  </w:r>
                  <w:r>
                    <w:rPr>
                      <w:rFonts w:hint="eastAsia"/>
                      <w:vertAlign w:val="subscript"/>
                      <w:lang w:eastAsia="zh-CN"/>
                    </w:rPr>
                    <w:t>2</w:t>
                  </w:r>
                  <w:r>
                    <w:rPr>
                      <w:rFonts w:hint="eastAsia"/>
                      <w:lang w:eastAsia="zh-CN"/>
                    </w:rPr>
                    <w:t>、NOx和烟尘经袋式除尘后由</w:t>
                  </w:r>
                  <w:r>
                    <w:rPr>
                      <w:rFonts w:hint="eastAsia"/>
                      <w:lang w:val="en-US" w:eastAsia="zh-CN"/>
                    </w:rPr>
                    <w:t>1</w:t>
                  </w:r>
                  <w:r>
                    <w:rPr>
                      <w:rFonts w:hint="eastAsia"/>
                      <w:lang w:eastAsia="zh-CN"/>
                    </w:rPr>
                    <w:t>5m高排气筒DA001排放。</w:t>
                  </w:r>
                </w:p>
                <w:p w14:paraId="4CF0D19C">
                  <w:pPr>
                    <w:pStyle w:val="42"/>
                    <w:jc w:val="both"/>
                    <w:rPr>
                      <w:rFonts w:hint="eastAsia"/>
                      <w:lang w:eastAsia="zh-CN"/>
                    </w:rPr>
                  </w:pPr>
                  <w:r>
                    <w:rPr>
                      <w:rFonts w:hint="eastAsia"/>
                      <w:b/>
                      <w:bCs/>
                      <w:lang w:eastAsia="zh-CN"/>
                    </w:rPr>
                    <w:t>化制烘干废气</w:t>
                  </w:r>
                  <w:r>
                    <w:rPr>
                      <w:rFonts w:hint="eastAsia"/>
                      <w:lang w:eastAsia="zh-CN"/>
                    </w:rPr>
                    <w:t>：经除臭箱除臭，处理后的废气和黑膜厌氧池产生的少量沼气引入锅炉燃烧，后通过</w:t>
                  </w:r>
                  <w:r>
                    <w:rPr>
                      <w:rFonts w:hint="eastAsia"/>
                      <w:lang w:val="en-US" w:eastAsia="zh-CN"/>
                    </w:rPr>
                    <w:t>1</w:t>
                  </w:r>
                  <w:r>
                    <w:rPr>
                      <w:rFonts w:hint="eastAsia"/>
                      <w:lang w:eastAsia="zh-CN"/>
                    </w:rPr>
                    <w:t>5m高</w:t>
                  </w:r>
                </w:p>
                <w:p w14:paraId="5C33B9E9">
                  <w:pPr>
                    <w:pStyle w:val="42"/>
                    <w:jc w:val="both"/>
                    <w:rPr>
                      <w:rFonts w:hint="eastAsia"/>
                      <w:lang w:eastAsia="zh-CN"/>
                    </w:rPr>
                  </w:pPr>
                  <w:r>
                    <w:rPr>
                      <w:rFonts w:hint="eastAsia"/>
                      <w:lang w:eastAsia="zh-CN"/>
                    </w:rPr>
                    <w:t>排气筒DA001排放。</w:t>
                  </w:r>
                </w:p>
                <w:p w14:paraId="61F4D1E6">
                  <w:pPr>
                    <w:pStyle w:val="42"/>
                    <w:jc w:val="both"/>
                    <w:rPr>
                      <w:rFonts w:hint="eastAsia"/>
                      <w:lang w:eastAsia="zh-CN"/>
                    </w:rPr>
                  </w:pPr>
                  <w:r>
                    <w:rPr>
                      <w:rFonts w:hint="eastAsia"/>
                      <w:b/>
                      <w:bCs/>
                      <w:lang w:eastAsia="zh-CN"/>
                    </w:rPr>
                    <w:t>无害化厂房废气</w:t>
                  </w:r>
                  <w:r>
                    <w:rPr>
                      <w:rFonts w:hint="eastAsia"/>
                      <w:lang w:eastAsia="zh-CN"/>
                    </w:rPr>
                    <w:t>：厂房内投料、破碎、缓存和油渣分离工段废气经车间负压集气系统收集后进入除臭塔+碱喷淋塔+二级活性炭吸附净化处理后由</w:t>
                  </w:r>
                  <w:r>
                    <w:rPr>
                      <w:rFonts w:hint="eastAsia"/>
                      <w:lang w:val="en-US" w:eastAsia="zh-CN"/>
                    </w:rPr>
                    <w:t>20</w:t>
                  </w:r>
                  <w:r>
                    <w:rPr>
                      <w:rFonts w:hint="eastAsia"/>
                      <w:lang w:eastAsia="zh-CN"/>
                    </w:rPr>
                    <w:t>m高排气筒DA002排放</w:t>
                  </w:r>
                </w:p>
              </w:tc>
              <w:tc>
                <w:tcPr>
                  <w:tcW w:w="990" w:type="pct"/>
                  <w:vAlign w:val="center"/>
                </w:tcPr>
                <w:p w14:paraId="0B6A47EF">
                  <w:pPr>
                    <w:pStyle w:val="42"/>
                    <w:jc w:val="center"/>
                    <w:rPr>
                      <w:rFonts w:hint="eastAsia"/>
                      <w:lang w:eastAsia="zh-CN"/>
                    </w:rPr>
                  </w:pPr>
                  <w:r>
                    <w:rPr>
                      <w:rFonts w:hint="eastAsia"/>
                      <w:lang w:val="en-US" w:eastAsia="zh-CN"/>
                    </w:rPr>
                    <w:t>新建</w:t>
                  </w:r>
                </w:p>
              </w:tc>
            </w:tr>
            <w:tr w14:paraId="3BB2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3" w:type="pct"/>
                  <w:vMerge w:val="continue"/>
                  <w:vAlign w:val="center"/>
                </w:tcPr>
                <w:p w14:paraId="20FC6CBA">
                  <w:pPr>
                    <w:pStyle w:val="42"/>
                    <w:jc w:val="center"/>
                    <w:rPr>
                      <w:rFonts w:hint="eastAsia"/>
                    </w:rPr>
                  </w:pPr>
                </w:p>
              </w:tc>
              <w:tc>
                <w:tcPr>
                  <w:tcW w:w="604" w:type="pct"/>
                  <w:vAlign w:val="center"/>
                </w:tcPr>
                <w:p w14:paraId="62F05486">
                  <w:pPr>
                    <w:pStyle w:val="42"/>
                    <w:jc w:val="center"/>
                    <w:rPr>
                      <w:rFonts w:hint="eastAsia"/>
                    </w:rPr>
                  </w:pPr>
                  <w:r>
                    <w:rPr>
                      <w:rFonts w:hint="eastAsia"/>
                    </w:rPr>
                    <w:t>废水治理</w:t>
                  </w:r>
                </w:p>
              </w:tc>
              <w:tc>
                <w:tcPr>
                  <w:tcW w:w="2941" w:type="pct"/>
                  <w:vAlign w:val="center"/>
                </w:tcPr>
                <w:p w14:paraId="66533FD4">
                  <w:pPr>
                    <w:pStyle w:val="42"/>
                    <w:jc w:val="both"/>
                    <w:rPr>
                      <w:rFonts w:hint="eastAsia"/>
                    </w:rPr>
                  </w:pPr>
                  <w:r>
                    <w:rPr>
                      <w:rFonts w:hint="eastAsia"/>
                    </w:rPr>
                    <w:t>化制冷凝水排入地埋式暂存罐，自然冷却至30℃以下:车辆清洗废水和车间冲洗废水收集后汇入收集罐中，加入次氯酸钠消毒:生活污水经化粪池预处理，上述废水收集后汇同喷淋废水、软水制备产生的废水进入黑膜厌氧池，经不低于90天的厌氧发酵后，制成沼液进行厂内草坪、厂内树林</w:t>
                  </w:r>
                  <w:r>
                    <w:rPr>
                      <w:rFonts w:hint="eastAsia"/>
                      <w:lang w:eastAsia="zh-CN"/>
                    </w:rPr>
                    <w:t>及高车村柑橘林灌溉</w:t>
                  </w:r>
                  <w:r>
                    <w:rPr>
                      <w:rFonts w:hint="eastAsia"/>
                    </w:rPr>
                    <w:t>。</w:t>
                  </w:r>
                </w:p>
              </w:tc>
              <w:tc>
                <w:tcPr>
                  <w:tcW w:w="1686" w:type="dxa"/>
                  <w:vAlign w:val="center"/>
                </w:tcPr>
                <w:p w14:paraId="3106E69E">
                  <w:pPr>
                    <w:pStyle w:val="42"/>
                    <w:ind w:firstLine="0" w:firstLineChars="0"/>
                    <w:jc w:val="center"/>
                    <w:rPr>
                      <w:rFonts w:hint="eastAsia"/>
                      <w:lang w:eastAsia="zh-CN"/>
                    </w:rPr>
                  </w:pPr>
                  <w:r>
                    <w:rPr>
                      <w:rFonts w:hint="eastAsia"/>
                      <w:lang w:val="en-US" w:eastAsia="zh-CN"/>
                    </w:rPr>
                    <w:t>新建</w:t>
                  </w:r>
                </w:p>
              </w:tc>
            </w:tr>
            <w:tr w14:paraId="3E8D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3" w:type="pct"/>
                  <w:vMerge w:val="continue"/>
                  <w:vAlign w:val="center"/>
                </w:tcPr>
                <w:p w14:paraId="0A692D15">
                  <w:pPr>
                    <w:pStyle w:val="42"/>
                    <w:jc w:val="center"/>
                    <w:rPr>
                      <w:rFonts w:hint="eastAsia"/>
                    </w:rPr>
                  </w:pPr>
                </w:p>
              </w:tc>
              <w:tc>
                <w:tcPr>
                  <w:tcW w:w="604" w:type="pct"/>
                  <w:vAlign w:val="center"/>
                </w:tcPr>
                <w:p w14:paraId="0E988FE9">
                  <w:pPr>
                    <w:pStyle w:val="42"/>
                    <w:jc w:val="center"/>
                    <w:rPr>
                      <w:rFonts w:hint="eastAsia"/>
                    </w:rPr>
                  </w:pPr>
                  <w:r>
                    <w:rPr>
                      <w:rFonts w:hint="eastAsia"/>
                    </w:rPr>
                    <w:t>噪声治理</w:t>
                  </w:r>
                </w:p>
              </w:tc>
              <w:tc>
                <w:tcPr>
                  <w:tcW w:w="2941" w:type="pct"/>
                  <w:vAlign w:val="center"/>
                </w:tcPr>
                <w:p w14:paraId="258C8E82">
                  <w:pPr>
                    <w:pStyle w:val="42"/>
                    <w:jc w:val="both"/>
                    <w:rPr>
                      <w:rFonts w:hint="eastAsia"/>
                    </w:rPr>
                  </w:pPr>
                  <w:r>
                    <w:rPr>
                      <w:rFonts w:hint="eastAsia"/>
                    </w:rPr>
                    <w:t>合理布局，选用低噪声设备，设备基础减振等减振措施，设备封闭运行，定期对设备进行润滑保养维护。</w:t>
                  </w:r>
                </w:p>
              </w:tc>
              <w:tc>
                <w:tcPr>
                  <w:tcW w:w="1686" w:type="dxa"/>
                  <w:vAlign w:val="center"/>
                </w:tcPr>
                <w:p w14:paraId="32530FF4">
                  <w:pPr>
                    <w:pStyle w:val="42"/>
                    <w:ind w:firstLine="0" w:firstLineChars="0"/>
                    <w:jc w:val="center"/>
                    <w:rPr>
                      <w:rFonts w:hint="eastAsia"/>
                      <w:lang w:eastAsia="zh-CN"/>
                    </w:rPr>
                  </w:pPr>
                  <w:r>
                    <w:rPr>
                      <w:rFonts w:hint="eastAsia"/>
                      <w:lang w:val="en-US" w:eastAsia="zh-CN"/>
                    </w:rPr>
                    <w:t>新建</w:t>
                  </w:r>
                </w:p>
              </w:tc>
            </w:tr>
            <w:tr w14:paraId="3702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3" w:type="pct"/>
                  <w:vMerge w:val="continue"/>
                  <w:vAlign w:val="center"/>
                </w:tcPr>
                <w:p w14:paraId="3BD95BAA">
                  <w:pPr>
                    <w:pStyle w:val="42"/>
                    <w:jc w:val="center"/>
                    <w:rPr>
                      <w:rFonts w:hint="eastAsia"/>
                    </w:rPr>
                  </w:pPr>
                </w:p>
              </w:tc>
              <w:tc>
                <w:tcPr>
                  <w:tcW w:w="604" w:type="pct"/>
                  <w:vAlign w:val="center"/>
                </w:tcPr>
                <w:p w14:paraId="3E522A38">
                  <w:pPr>
                    <w:pStyle w:val="42"/>
                    <w:jc w:val="center"/>
                    <w:rPr>
                      <w:rFonts w:hint="eastAsia"/>
                    </w:rPr>
                  </w:pPr>
                  <w:r>
                    <w:rPr>
                      <w:rFonts w:hint="eastAsia"/>
                    </w:rPr>
                    <w:t>固废治理</w:t>
                  </w:r>
                </w:p>
              </w:tc>
              <w:tc>
                <w:tcPr>
                  <w:tcW w:w="2941" w:type="pct"/>
                  <w:vAlign w:val="center"/>
                </w:tcPr>
                <w:p w14:paraId="15E00D25">
                  <w:pPr>
                    <w:pStyle w:val="42"/>
                    <w:jc w:val="both"/>
                    <w:rPr>
                      <w:rFonts w:hint="eastAsia"/>
                      <w:lang w:eastAsia="zh-CN"/>
                    </w:rPr>
                  </w:pPr>
                  <w:r>
                    <w:rPr>
                      <w:rFonts w:hint="eastAsia"/>
                    </w:rPr>
                    <w:t>项目投入营运后，生活垃圾集中收集，由市政部门统一处理</w:t>
                  </w:r>
                  <w:r>
                    <w:rPr>
                      <w:rFonts w:hint="eastAsia"/>
                      <w:lang w:eastAsia="zh-CN"/>
                    </w:rPr>
                    <w:t>；</w:t>
                  </w:r>
                  <w:r>
                    <w:rPr>
                      <w:rFonts w:hint="eastAsia"/>
                    </w:rPr>
                    <w:t>废弃树脂由厂家回收利用:废包装桶由厂家回收</w:t>
                  </w:r>
                  <w:r>
                    <w:rPr>
                      <w:rFonts w:hint="eastAsia"/>
                      <w:lang w:eastAsia="zh-CN"/>
                    </w:rPr>
                    <w:t>；</w:t>
                  </w:r>
                  <w:r>
                    <w:rPr>
                      <w:rFonts w:hint="eastAsia"/>
                    </w:rPr>
                    <w:t>废弃防疫装备、废机油和废活性炭收集后分类贮存于危废库，委托资质单位定期处理。</w:t>
                  </w:r>
                </w:p>
              </w:tc>
              <w:tc>
                <w:tcPr>
                  <w:tcW w:w="1686" w:type="dxa"/>
                  <w:vAlign w:val="center"/>
                </w:tcPr>
                <w:p w14:paraId="16CF2F93">
                  <w:pPr>
                    <w:pStyle w:val="42"/>
                    <w:ind w:firstLine="0" w:firstLineChars="0"/>
                    <w:jc w:val="center"/>
                    <w:rPr>
                      <w:rFonts w:hint="eastAsia"/>
                      <w:lang w:eastAsia="zh-CN"/>
                    </w:rPr>
                  </w:pPr>
                  <w:r>
                    <w:rPr>
                      <w:rFonts w:hint="eastAsia"/>
                      <w:lang w:val="en-US" w:eastAsia="zh-CN"/>
                    </w:rPr>
                    <w:t>新建</w:t>
                  </w:r>
                </w:p>
              </w:tc>
            </w:tr>
          </w:tbl>
          <w:p w14:paraId="76E9A1D5">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2.</w:t>
            </w:r>
            <w:r>
              <w:rPr>
                <w:rFonts w:hint="eastAsia" w:cs="Times New Roman"/>
                <w:b/>
                <w:i w:val="0"/>
                <w:kern w:val="2"/>
                <w:sz w:val="24"/>
                <w:szCs w:val="24"/>
                <w:lang w:val="en-US" w:eastAsia="zh-CN" w:bidi="ar-SA"/>
              </w:rPr>
              <w:t>4</w:t>
            </w:r>
            <w:r>
              <w:rPr>
                <w:rFonts w:hint="default" w:ascii="Times New Roman" w:hAnsi="Times New Roman" w:eastAsia="宋体" w:cs="Times New Roman"/>
                <w:b/>
                <w:i w:val="0"/>
                <w:kern w:val="2"/>
                <w:sz w:val="24"/>
                <w:szCs w:val="24"/>
                <w:lang w:val="en-US" w:eastAsia="zh-CN" w:bidi="ar-SA"/>
              </w:rPr>
              <w:t>、</w:t>
            </w:r>
            <w:r>
              <w:rPr>
                <w:rFonts w:hint="eastAsia"/>
              </w:rPr>
              <w:t>项目主要设备清单以及原辅材料消耗</w:t>
            </w:r>
          </w:p>
          <w:p w14:paraId="7BF25027">
            <w:pPr>
              <w:ind w:firstLine="480"/>
            </w:pPr>
            <w:r>
              <w:rPr>
                <w:rFonts w:hint="eastAsia"/>
              </w:rPr>
              <w:t>设备清单详见</w:t>
            </w:r>
            <w:r>
              <w:fldChar w:fldCharType="begin"/>
            </w:r>
            <w:r>
              <w:instrText xml:space="preserve"> </w:instrText>
            </w:r>
            <w:r>
              <w:rPr>
                <w:rFonts w:hint="eastAsia"/>
              </w:rPr>
              <w:instrText xml:space="preserve">REF _Ref106123495 \r \h</w:instrText>
            </w:r>
            <w:r>
              <w:instrText xml:space="preserve">  \* MERGEFORMAT </w:instrText>
            </w:r>
            <w:r>
              <w:fldChar w:fldCharType="separate"/>
            </w:r>
            <w:r>
              <w:rPr>
                <w:rFonts w:hint="eastAsia"/>
              </w:rPr>
              <w:t>表2-2</w:t>
            </w:r>
            <w:r>
              <w:fldChar w:fldCharType="end"/>
            </w:r>
            <w:r>
              <w:rPr>
                <w:rFonts w:hint="eastAsia"/>
              </w:rPr>
              <w:t>，主要原辅材料见</w:t>
            </w:r>
            <w:r>
              <w:fldChar w:fldCharType="begin"/>
            </w:r>
            <w:r>
              <w:instrText xml:space="preserve"> </w:instrText>
            </w:r>
            <w:r>
              <w:rPr>
                <w:rFonts w:hint="eastAsia"/>
              </w:rPr>
              <w:instrText xml:space="preserve">REF _Ref106123499 \r \h</w:instrText>
            </w:r>
            <w:r>
              <w:instrText xml:space="preserve">  \* MERGEFORMAT </w:instrText>
            </w:r>
            <w:r>
              <w:fldChar w:fldCharType="separate"/>
            </w:r>
            <w:r>
              <w:rPr>
                <w:rFonts w:hint="eastAsia"/>
              </w:rPr>
              <w:t>表2-3</w:t>
            </w:r>
            <w:r>
              <w:fldChar w:fldCharType="end"/>
            </w:r>
            <w:r>
              <w:rPr>
                <w:rFonts w:hint="eastAsia"/>
              </w:rPr>
              <w:t>。</w:t>
            </w:r>
          </w:p>
          <w:p w14:paraId="19F9D80A">
            <w:pPr>
              <w:pStyle w:val="8"/>
              <w:numPr>
                <w:ilvl w:val="5"/>
                <w:numId w:val="0"/>
              </w:numPr>
              <w:ind w:left="0" w:leftChars="0" w:firstLine="480" w:firstLineChars="200"/>
            </w:pPr>
            <w:bookmarkStart w:id="4" w:name="_Ref106123495"/>
            <w:r>
              <w:rPr>
                <w:rFonts w:hint="default" w:ascii="Times New Roman" w:hAnsi="Times New Roman" w:eastAsia="宋体" w:cs="Times New Roman"/>
                <w:b/>
                <w:i w:val="0"/>
                <w:color w:val="auto"/>
                <w:kern w:val="2"/>
                <w:sz w:val="24"/>
                <w:szCs w:val="24"/>
                <w:shd w:val="clear" w:fill="FFFFFF"/>
                <w:lang w:val="en-US" w:eastAsia="zh-CN" w:bidi="ar-SA"/>
              </w:rPr>
              <w:t>表2-2</w:t>
            </w:r>
            <w:r>
              <w:rPr>
                <w:rFonts w:hint="eastAsia"/>
              </w:rPr>
              <w:t>主要生产设备清单一览表</w:t>
            </w:r>
            <w:bookmarkEnd w:id="4"/>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8"/>
              <w:gridCol w:w="2140"/>
              <w:gridCol w:w="2130"/>
            </w:tblGrid>
            <w:tr w14:paraId="408C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31ACA112">
                  <w:pPr>
                    <w:pStyle w:val="42"/>
                    <w:bidi w:val="0"/>
                    <w:jc w:val="center"/>
                  </w:pPr>
                  <w:bookmarkStart w:id="5" w:name="_Ref106123499"/>
                  <w:r>
                    <w:rPr>
                      <w:rFonts w:hint="eastAsia"/>
                      <w:lang w:val="en-US" w:eastAsia="zh-CN"/>
                    </w:rPr>
                    <w:t>序号</w:t>
                  </w:r>
                </w:p>
              </w:tc>
              <w:tc>
                <w:tcPr>
                  <w:tcW w:w="2128" w:type="dxa"/>
                  <w:vAlign w:val="center"/>
                </w:tcPr>
                <w:p w14:paraId="4AAECC62">
                  <w:pPr>
                    <w:pStyle w:val="42"/>
                    <w:bidi w:val="0"/>
                    <w:jc w:val="center"/>
                  </w:pPr>
                  <w:r>
                    <w:rPr>
                      <w:rFonts w:hint="eastAsia"/>
                      <w:lang w:val="en-US" w:eastAsia="zh-CN"/>
                    </w:rPr>
                    <w:t>生产设备</w:t>
                  </w:r>
                </w:p>
              </w:tc>
              <w:tc>
                <w:tcPr>
                  <w:tcW w:w="2140" w:type="dxa"/>
                  <w:vAlign w:val="center"/>
                </w:tcPr>
                <w:p w14:paraId="1F3096CC">
                  <w:pPr>
                    <w:pStyle w:val="42"/>
                    <w:bidi w:val="0"/>
                    <w:jc w:val="center"/>
                  </w:pPr>
                  <w:r>
                    <w:rPr>
                      <w:rFonts w:hint="eastAsia"/>
                      <w:lang w:val="en-US" w:eastAsia="zh-CN"/>
                    </w:rPr>
                    <w:t>规格型号</w:t>
                  </w:r>
                </w:p>
              </w:tc>
              <w:tc>
                <w:tcPr>
                  <w:tcW w:w="2130" w:type="dxa"/>
                  <w:vAlign w:val="center"/>
                </w:tcPr>
                <w:p w14:paraId="3FB99BE0">
                  <w:pPr>
                    <w:pStyle w:val="42"/>
                    <w:bidi w:val="0"/>
                    <w:jc w:val="center"/>
                  </w:pPr>
                  <w:r>
                    <w:rPr>
                      <w:rFonts w:hint="eastAsia"/>
                      <w:lang w:val="en-US" w:eastAsia="zh-CN"/>
                    </w:rPr>
                    <w:t>数量（台/套/条）</w:t>
                  </w:r>
                </w:p>
              </w:tc>
            </w:tr>
            <w:tr w14:paraId="4C2C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1CD41D4E">
                  <w:pPr>
                    <w:pStyle w:val="42"/>
                    <w:bidi w:val="0"/>
                    <w:jc w:val="center"/>
                    <w:rPr>
                      <w:rFonts w:hint="eastAsia" w:eastAsia="宋体"/>
                      <w:lang w:eastAsia="zh-CN"/>
                    </w:rPr>
                  </w:pPr>
                  <w:r>
                    <w:rPr>
                      <w:rFonts w:hint="eastAsia"/>
                      <w:lang w:eastAsia="zh-CN"/>
                    </w:rPr>
                    <w:t>一、破碎、输送系统</w:t>
                  </w:r>
                </w:p>
              </w:tc>
            </w:tr>
            <w:tr w14:paraId="179B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6A23514A">
                  <w:pPr>
                    <w:pStyle w:val="42"/>
                    <w:bidi w:val="0"/>
                    <w:jc w:val="center"/>
                    <w:rPr>
                      <w:rFonts w:hint="eastAsia"/>
                      <w:lang w:val="en-US" w:eastAsia="zh-CN"/>
                    </w:rPr>
                  </w:pPr>
                  <w:r>
                    <w:rPr>
                      <w:rFonts w:hint="eastAsia"/>
                      <w:lang w:val="en-US" w:eastAsia="zh-CN"/>
                    </w:rPr>
                    <w:t>1</w:t>
                  </w:r>
                </w:p>
              </w:tc>
              <w:tc>
                <w:tcPr>
                  <w:tcW w:w="2128" w:type="dxa"/>
                  <w:vAlign w:val="center"/>
                </w:tcPr>
                <w:p w14:paraId="693BA7BC">
                  <w:pPr>
                    <w:pStyle w:val="42"/>
                    <w:bidi w:val="0"/>
                    <w:jc w:val="center"/>
                  </w:pPr>
                  <w:r>
                    <w:rPr>
                      <w:rFonts w:hint="eastAsia"/>
                    </w:rPr>
                    <w:t>预碎料仓</w:t>
                  </w:r>
                </w:p>
              </w:tc>
              <w:tc>
                <w:tcPr>
                  <w:tcW w:w="2140" w:type="dxa"/>
                  <w:vAlign w:val="center"/>
                </w:tcPr>
                <w:p w14:paraId="46D292BD">
                  <w:pPr>
                    <w:pStyle w:val="42"/>
                    <w:bidi w:val="0"/>
                    <w:jc w:val="center"/>
                  </w:pPr>
                  <w:r>
                    <w:rPr>
                      <w:rFonts w:hint="eastAsia"/>
                    </w:rPr>
                    <w:t>SYYSLC-20</w:t>
                  </w:r>
                </w:p>
              </w:tc>
              <w:tc>
                <w:tcPr>
                  <w:tcW w:w="2130" w:type="dxa"/>
                  <w:vAlign w:val="center"/>
                </w:tcPr>
                <w:p w14:paraId="5B20DB73">
                  <w:pPr>
                    <w:pStyle w:val="42"/>
                    <w:bidi w:val="0"/>
                    <w:jc w:val="center"/>
                    <w:rPr>
                      <w:rFonts w:hint="eastAsia" w:eastAsia="宋体"/>
                      <w:lang w:val="en-US" w:eastAsia="zh-CN"/>
                    </w:rPr>
                  </w:pPr>
                  <w:r>
                    <w:rPr>
                      <w:rFonts w:hint="eastAsia"/>
                      <w:lang w:val="en-US" w:eastAsia="zh-CN"/>
                    </w:rPr>
                    <w:t>1</w:t>
                  </w:r>
                </w:p>
              </w:tc>
            </w:tr>
            <w:tr w14:paraId="68FE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712567BE">
                  <w:pPr>
                    <w:pStyle w:val="42"/>
                    <w:bidi w:val="0"/>
                    <w:jc w:val="center"/>
                    <w:rPr>
                      <w:rFonts w:hint="eastAsia"/>
                      <w:lang w:val="en-US" w:eastAsia="zh-CN"/>
                    </w:rPr>
                  </w:pPr>
                  <w:r>
                    <w:rPr>
                      <w:rFonts w:hint="eastAsia"/>
                      <w:lang w:val="en-US" w:eastAsia="zh-CN"/>
                    </w:rPr>
                    <w:t>2</w:t>
                  </w:r>
                </w:p>
              </w:tc>
              <w:tc>
                <w:tcPr>
                  <w:tcW w:w="2128" w:type="dxa"/>
                  <w:vAlign w:val="center"/>
                </w:tcPr>
                <w:p w14:paraId="00B0B24A">
                  <w:pPr>
                    <w:pStyle w:val="42"/>
                    <w:bidi w:val="0"/>
                    <w:jc w:val="center"/>
                  </w:pPr>
                  <w:r>
                    <w:rPr>
                      <w:rFonts w:hint="eastAsia"/>
                    </w:rPr>
                    <w:t>单轴破碎机</w:t>
                  </w:r>
                </w:p>
              </w:tc>
              <w:tc>
                <w:tcPr>
                  <w:tcW w:w="2140" w:type="dxa"/>
                  <w:vAlign w:val="center"/>
                </w:tcPr>
                <w:p w14:paraId="59F474BF">
                  <w:pPr>
                    <w:pStyle w:val="42"/>
                    <w:bidi w:val="0"/>
                    <w:jc w:val="center"/>
                  </w:pPr>
                  <w:r>
                    <w:rPr>
                      <w:rFonts w:hint="eastAsia"/>
                    </w:rPr>
                    <w:t>SYPS-1000</w:t>
                  </w:r>
                </w:p>
              </w:tc>
              <w:tc>
                <w:tcPr>
                  <w:tcW w:w="2130" w:type="dxa"/>
                  <w:vAlign w:val="center"/>
                </w:tcPr>
                <w:p w14:paraId="4D3579D2">
                  <w:pPr>
                    <w:pStyle w:val="42"/>
                    <w:bidi w:val="0"/>
                    <w:jc w:val="center"/>
                    <w:rPr>
                      <w:rFonts w:hint="eastAsia" w:eastAsia="宋体"/>
                      <w:lang w:val="en-US" w:eastAsia="zh-CN"/>
                    </w:rPr>
                  </w:pPr>
                  <w:r>
                    <w:rPr>
                      <w:rFonts w:hint="eastAsia"/>
                      <w:lang w:val="en-US" w:eastAsia="zh-CN"/>
                    </w:rPr>
                    <w:t>1</w:t>
                  </w:r>
                </w:p>
              </w:tc>
            </w:tr>
            <w:tr w14:paraId="3D7B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20108E8C">
                  <w:pPr>
                    <w:pStyle w:val="42"/>
                    <w:bidi w:val="0"/>
                    <w:jc w:val="center"/>
                    <w:rPr>
                      <w:rFonts w:hint="default"/>
                      <w:lang w:val="en-US" w:eastAsia="zh-CN"/>
                    </w:rPr>
                  </w:pPr>
                  <w:r>
                    <w:rPr>
                      <w:rFonts w:hint="eastAsia"/>
                      <w:lang w:val="en-US" w:eastAsia="zh-CN"/>
                    </w:rPr>
                    <w:t>3</w:t>
                  </w:r>
                </w:p>
              </w:tc>
              <w:tc>
                <w:tcPr>
                  <w:tcW w:w="2128" w:type="dxa"/>
                  <w:vAlign w:val="center"/>
                </w:tcPr>
                <w:p w14:paraId="5FF356C2">
                  <w:pPr>
                    <w:pStyle w:val="42"/>
                    <w:bidi w:val="0"/>
                    <w:jc w:val="center"/>
                    <w:rPr>
                      <w:rFonts w:hint="eastAsia"/>
                    </w:rPr>
                  </w:pPr>
                  <w:r>
                    <w:rPr>
                      <w:rFonts w:hint="eastAsia"/>
                    </w:rPr>
                    <w:t>无轴螺旋输送机</w:t>
                  </w:r>
                </w:p>
              </w:tc>
              <w:tc>
                <w:tcPr>
                  <w:tcW w:w="2140" w:type="dxa"/>
                  <w:vAlign w:val="center"/>
                </w:tcPr>
                <w:p w14:paraId="48CF90CD">
                  <w:pPr>
                    <w:pStyle w:val="42"/>
                    <w:bidi w:val="0"/>
                    <w:jc w:val="center"/>
                  </w:pPr>
                  <w:r>
                    <w:rPr>
                      <w:rFonts w:hint="eastAsia"/>
                    </w:rPr>
                    <w:t>SYLS-800</w:t>
                  </w:r>
                </w:p>
              </w:tc>
              <w:tc>
                <w:tcPr>
                  <w:tcW w:w="2130" w:type="dxa"/>
                  <w:vAlign w:val="center"/>
                </w:tcPr>
                <w:p w14:paraId="0668432F">
                  <w:pPr>
                    <w:pStyle w:val="42"/>
                    <w:bidi w:val="0"/>
                    <w:jc w:val="center"/>
                    <w:rPr>
                      <w:rFonts w:hint="eastAsia" w:eastAsia="宋体"/>
                      <w:lang w:val="en-US" w:eastAsia="zh-CN"/>
                    </w:rPr>
                  </w:pPr>
                  <w:r>
                    <w:rPr>
                      <w:rFonts w:hint="eastAsia"/>
                      <w:lang w:val="en-US" w:eastAsia="zh-CN"/>
                    </w:rPr>
                    <w:t>1</w:t>
                  </w:r>
                </w:p>
              </w:tc>
            </w:tr>
            <w:tr w14:paraId="73A2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39B3342D">
                  <w:pPr>
                    <w:pStyle w:val="42"/>
                    <w:bidi w:val="0"/>
                    <w:jc w:val="center"/>
                    <w:rPr>
                      <w:rFonts w:hint="default"/>
                      <w:lang w:val="en-US" w:eastAsia="zh-CN"/>
                    </w:rPr>
                  </w:pPr>
                  <w:r>
                    <w:rPr>
                      <w:rFonts w:hint="eastAsia"/>
                      <w:lang w:val="en-US" w:eastAsia="zh-CN"/>
                    </w:rPr>
                    <w:t>4</w:t>
                  </w:r>
                </w:p>
              </w:tc>
              <w:tc>
                <w:tcPr>
                  <w:tcW w:w="2128" w:type="dxa"/>
                  <w:vAlign w:val="center"/>
                </w:tcPr>
                <w:p w14:paraId="79430166">
                  <w:pPr>
                    <w:pStyle w:val="42"/>
                    <w:bidi w:val="0"/>
                    <w:jc w:val="center"/>
                    <w:rPr>
                      <w:rFonts w:hint="eastAsia"/>
                    </w:rPr>
                  </w:pPr>
                  <w:r>
                    <w:rPr>
                      <w:rFonts w:hint="eastAsia"/>
                    </w:rPr>
                    <w:t>气动装置</w:t>
                  </w:r>
                </w:p>
              </w:tc>
              <w:tc>
                <w:tcPr>
                  <w:tcW w:w="2140" w:type="dxa"/>
                  <w:vAlign w:val="center"/>
                </w:tcPr>
                <w:p w14:paraId="17F095D5">
                  <w:pPr>
                    <w:pStyle w:val="42"/>
                    <w:bidi w:val="0"/>
                    <w:jc w:val="center"/>
                    <w:rPr>
                      <w:rFonts w:hint="eastAsia" w:eastAsia="宋体"/>
                      <w:lang w:val="en-US" w:eastAsia="zh-CN"/>
                    </w:rPr>
                  </w:pPr>
                  <w:r>
                    <w:rPr>
                      <w:rFonts w:hint="eastAsia"/>
                      <w:lang w:val="en-US" w:eastAsia="zh-CN"/>
                    </w:rPr>
                    <w:t>/</w:t>
                  </w:r>
                </w:p>
              </w:tc>
              <w:tc>
                <w:tcPr>
                  <w:tcW w:w="2130" w:type="dxa"/>
                  <w:vAlign w:val="center"/>
                </w:tcPr>
                <w:p w14:paraId="192FD7A6">
                  <w:pPr>
                    <w:pStyle w:val="42"/>
                    <w:bidi w:val="0"/>
                    <w:jc w:val="center"/>
                    <w:rPr>
                      <w:rFonts w:hint="eastAsia" w:eastAsia="宋体"/>
                      <w:lang w:val="en-US" w:eastAsia="zh-CN"/>
                    </w:rPr>
                  </w:pPr>
                  <w:r>
                    <w:rPr>
                      <w:rFonts w:hint="eastAsia"/>
                      <w:lang w:val="en-US" w:eastAsia="zh-CN"/>
                    </w:rPr>
                    <w:t>1</w:t>
                  </w:r>
                </w:p>
              </w:tc>
            </w:tr>
            <w:tr w14:paraId="7921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59A54012">
                  <w:pPr>
                    <w:pStyle w:val="42"/>
                    <w:bidi w:val="0"/>
                    <w:jc w:val="center"/>
                    <w:rPr>
                      <w:rFonts w:hint="default"/>
                      <w:lang w:val="en-US" w:eastAsia="zh-CN"/>
                    </w:rPr>
                  </w:pPr>
                  <w:r>
                    <w:rPr>
                      <w:rFonts w:hint="eastAsia"/>
                      <w:lang w:val="en-US" w:eastAsia="zh-CN"/>
                    </w:rPr>
                    <w:t>5</w:t>
                  </w:r>
                </w:p>
              </w:tc>
              <w:tc>
                <w:tcPr>
                  <w:tcW w:w="2128" w:type="dxa"/>
                  <w:vAlign w:val="center"/>
                </w:tcPr>
                <w:p w14:paraId="02B93C3B">
                  <w:pPr>
                    <w:pStyle w:val="42"/>
                    <w:bidi w:val="0"/>
                    <w:jc w:val="center"/>
                    <w:rPr>
                      <w:rFonts w:hint="eastAsia"/>
                    </w:rPr>
                  </w:pPr>
                  <w:r>
                    <w:rPr>
                      <w:rFonts w:hint="eastAsia"/>
                    </w:rPr>
                    <w:t>空压机</w:t>
                  </w:r>
                </w:p>
              </w:tc>
              <w:tc>
                <w:tcPr>
                  <w:tcW w:w="2140" w:type="dxa"/>
                  <w:vAlign w:val="center"/>
                </w:tcPr>
                <w:p w14:paraId="628BD192">
                  <w:pPr>
                    <w:pStyle w:val="42"/>
                    <w:bidi w:val="0"/>
                    <w:ind w:firstLine="0" w:firstLineChars="0"/>
                    <w:jc w:val="center"/>
                  </w:pPr>
                  <w:r>
                    <w:rPr>
                      <w:rFonts w:hint="eastAsia"/>
                      <w:lang w:val="en-US" w:eastAsia="zh-CN"/>
                    </w:rPr>
                    <w:t>/</w:t>
                  </w:r>
                </w:p>
              </w:tc>
              <w:tc>
                <w:tcPr>
                  <w:tcW w:w="2130" w:type="dxa"/>
                  <w:vAlign w:val="center"/>
                </w:tcPr>
                <w:p w14:paraId="642D7E30">
                  <w:pPr>
                    <w:pStyle w:val="42"/>
                    <w:bidi w:val="0"/>
                    <w:jc w:val="center"/>
                    <w:rPr>
                      <w:rFonts w:hint="eastAsia" w:eastAsia="宋体"/>
                      <w:lang w:val="en-US" w:eastAsia="zh-CN"/>
                    </w:rPr>
                  </w:pPr>
                  <w:r>
                    <w:rPr>
                      <w:rFonts w:hint="eastAsia"/>
                      <w:lang w:val="en-US" w:eastAsia="zh-CN"/>
                    </w:rPr>
                    <w:t>1</w:t>
                  </w:r>
                </w:p>
              </w:tc>
            </w:tr>
            <w:tr w14:paraId="7461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61251A56">
                  <w:pPr>
                    <w:pStyle w:val="42"/>
                    <w:bidi w:val="0"/>
                    <w:jc w:val="center"/>
                    <w:rPr>
                      <w:rFonts w:hint="default"/>
                      <w:lang w:val="en-US" w:eastAsia="zh-CN"/>
                    </w:rPr>
                  </w:pPr>
                  <w:r>
                    <w:rPr>
                      <w:rFonts w:hint="eastAsia"/>
                      <w:lang w:val="en-US" w:eastAsia="zh-CN"/>
                    </w:rPr>
                    <w:t>6</w:t>
                  </w:r>
                </w:p>
              </w:tc>
              <w:tc>
                <w:tcPr>
                  <w:tcW w:w="2128" w:type="dxa"/>
                  <w:vAlign w:val="center"/>
                </w:tcPr>
                <w:p w14:paraId="7D667441">
                  <w:pPr>
                    <w:pStyle w:val="42"/>
                    <w:bidi w:val="0"/>
                    <w:jc w:val="center"/>
                    <w:rPr>
                      <w:rFonts w:hint="eastAsia"/>
                    </w:rPr>
                  </w:pPr>
                  <w:r>
                    <w:rPr>
                      <w:rFonts w:hint="eastAsia"/>
                    </w:rPr>
                    <w:t>电气系统</w:t>
                  </w:r>
                </w:p>
              </w:tc>
              <w:tc>
                <w:tcPr>
                  <w:tcW w:w="2140" w:type="dxa"/>
                  <w:vAlign w:val="center"/>
                </w:tcPr>
                <w:p w14:paraId="06C034AC">
                  <w:pPr>
                    <w:pStyle w:val="42"/>
                    <w:bidi w:val="0"/>
                    <w:ind w:firstLine="0" w:firstLineChars="0"/>
                    <w:jc w:val="center"/>
                  </w:pPr>
                  <w:r>
                    <w:rPr>
                      <w:rFonts w:hint="eastAsia"/>
                      <w:lang w:val="en-US" w:eastAsia="zh-CN"/>
                    </w:rPr>
                    <w:t>/</w:t>
                  </w:r>
                </w:p>
              </w:tc>
              <w:tc>
                <w:tcPr>
                  <w:tcW w:w="2130" w:type="dxa"/>
                  <w:vAlign w:val="center"/>
                </w:tcPr>
                <w:p w14:paraId="29725A24">
                  <w:pPr>
                    <w:pStyle w:val="42"/>
                    <w:bidi w:val="0"/>
                    <w:jc w:val="center"/>
                    <w:rPr>
                      <w:rFonts w:hint="eastAsia" w:eastAsia="宋体"/>
                      <w:lang w:val="en-US" w:eastAsia="zh-CN"/>
                    </w:rPr>
                  </w:pPr>
                  <w:r>
                    <w:rPr>
                      <w:rFonts w:hint="eastAsia"/>
                      <w:lang w:val="en-US" w:eastAsia="zh-CN"/>
                    </w:rPr>
                    <w:t>1</w:t>
                  </w:r>
                </w:p>
              </w:tc>
            </w:tr>
            <w:tr w14:paraId="1745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2AE8A90F">
                  <w:pPr>
                    <w:pStyle w:val="42"/>
                    <w:bidi w:val="0"/>
                    <w:jc w:val="center"/>
                    <w:rPr>
                      <w:rFonts w:hint="default"/>
                      <w:lang w:val="en-US" w:eastAsia="zh-CN"/>
                    </w:rPr>
                  </w:pPr>
                  <w:r>
                    <w:rPr>
                      <w:rFonts w:hint="eastAsia"/>
                      <w:lang w:val="en-US" w:eastAsia="zh-CN"/>
                    </w:rPr>
                    <w:t>7</w:t>
                  </w:r>
                </w:p>
              </w:tc>
              <w:tc>
                <w:tcPr>
                  <w:tcW w:w="2128" w:type="dxa"/>
                  <w:vAlign w:val="center"/>
                </w:tcPr>
                <w:p w14:paraId="2F93D2E2">
                  <w:pPr>
                    <w:pStyle w:val="42"/>
                    <w:bidi w:val="0"/>
                    <w:jc w:val="center"/>
                    <w:rPr>
                      <w:rFonts w:hint="eastAsia"/>
                    </w:rPr>
                  </w:pPr>
                  <w:r>
                    <w:rPr>
                      <w:rFonts w:hint="eastAsia"/>
                    </w:rPr>
                    <w:t>基础及平台爬梯</w:t>
                  </w:r>
                </w:p>
              </w:tc>
              <w:tc>
                <w:tcPr>
                  <w:tcW w:w="2140" w:type="dxa"/>
                  <w:vAlign w:val="center"/>
                </w:tcPr>
                <w:p w14:paraId="509ED917">
                  <w:pPr>
                    <w:pStyle w:val="42"/>
                    <w:bidi w:val="0"/>
                    <w:ind w:firstLine="0" w:firstLineChars="0"/>
                    <w:jc w:val="center"/>
                  </w:pPr>
                  <w:r>
                    <w:rPr>
                      <w:rFonts w:hint="eastAsia"/>
                      <w:lang w:val="en-US" w:eastAsia="zh-CN"/>
                    </w:rPr>
                    <w:t>/</w:t>
                  </w:r>
                </w:p>
              </w:tc>
              <w:tc>
                <w:tcPr>
                  <w:tcW w:w="2130" w:type="dxa"/>
                  <w:vAlign w:val="center"/>
                </w:tcPr>
                <w:p w14:paraId="3C5DEBF4">
                  <w:pPr>
                    <w:pStyle w:val="42"/>
                    <w:bidi w:val="0"/>
                    <w:jc w:val="center"/>
                    <w:rPr>
                      <w:rFonts w:hint="eastAsia" w:eastAsia="宋体"/>
                      <w:lang w:val="en-US" w:eastAsia="zh-CN"/>
                    </w:rPr>
                  </w:pPr>
                  <w:r>
                    <w:rPr>
                      <w:rFonts w:hint="eastAsia"/>
                      <w:lang w:val="en-US" w:eastAsia="zh-CN"/>
                    </w:rPr>
                    <w:t>1</w:t>
                  </w:r>
                </w:p>
              </w:tc>
            </w:tr>
            <w:tr w14:paraId="6055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2E102B16">
                  <w:pPr>
                    <w:pStyle w:val="42"/>
                    <w:bidi w:val="0"/>
                    <w:jc w:val="center"/>
                    <w:rPr>
                      <w:rFonts w:hint="eastAsia"/>
                      <w:lang w:val="en-US" w:eastAsia="zh-CN"/>
                    </w:rPr>
                  </w:pPr>
                  <w:r>
                    <w:rPr>
                      <w:rFonts w:hint="eastAsia"/>
                      <w:lang w:val="en-US" w:eastAsia="zh-CN"/>
                    </w:rPr>
                    <w:t>二、化制、烘干系统</w:t>
                  </w:r>
                </w:p>
              </w:tc>
            </w:tr>
            <w:tr w14:paraId="2BF3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46AE4862">
                  <w:pPr>
                    <w:pStyle w:val="42"/>
                    <w:bidi w:val="0"/>
                    <w:jc w:val="center"/>
                    <w:rPr>
                      <w:rFonts w:hint="default"/>
                      <w:lang w:val="en-US" w:eastAsia="zh-CN"/>
                    </w:rPr>
                  </w:pPr>
                  <w:r>
                    <w:rPr>
                      <w:rFonts w:hint="eastAsia"/>
                      <w:lang w:val="en-US" w:eastAsia="zh-CN"/>
                    </w:rPr>
                    <w:t>8</w:t>
                  </w:r>
                </w:p>
              </w:tc>
              <w:tc>
                <w:tcPr>
                  <w:tcW w:w="2128" w:type="dxa"/>
                  <w:vAlign w:val="center"/>
                </w:tcPr>
                <w:p w14:paraId="015DBF08">
                  <w:pPr>
                    <w:pStyle w:val="42"/>
                    <w:bidi w:val="0"/>
                    <w:jc w:val="center"/>
                    <w:rPr>
                      <w:rFonts w:hint="eastAsia"/>
                    </w:rPr>
                  </w:pPr>
                  <w:r>
                    <w:rPr>
                      <w:rFonts w:hint="eastAsia"/>
                    </w:rPr>
                    <w:t>无轴螺旋输送机</w:t>
                  </w:r>
                </w:p>
              </w:tc>
              <w:tc>
                <w:tcPr>
                  <w:tcW w:w="2140" w:type="dxa"/>
                  <w:vAlign w:val="center"/>
                </w:tcPr>
                <w:p w14:paraId="31795DE8">
                  <w:pPr>
                    <w:pStyle w:val="42"/>
                    <w:bidi w:val="0"/>
                    <w:ind w:firstLine="0" w:firstLineChars="0"/>
                    <w:jc w:val="center"/>
                    <w:rPr>
                      <w:rFonts w:hint="eastAsia"/>
                      <w:lang w:val="en-US" w:eastAsia="zh-CN"/>
                    </w:rPr>
                  </w:pPr>
                  <w:r>
                    <w:rPr>
                      <w:rFonts w:hint="eastAsia"/>
                      <w:lang w:val="en-US" w:eastAsia="zh-CN"/>
                    </w:rPr>
                    <w:t>SYLS-800</w:t>
                  </w:r>
                </w:p>
              </w:tc>
              <w:tc>
                <w:tcPr>
                  <w:tcW w:w="2130" w:type="dxa"/>
                  <w:vAlign w:val="center"/>
                </w:tcPr>
                <w:p w14:paraId="05FE954C">
                  <w:pPr>
                    <w:pStyle w:val="42"/>
                    <w:bidi w:val="0"/>
                    <w:jc w:val="center"/>
                    <w:rPr>
                      <w:rFonts w:hint="default"/>
                      <w:lang w:val="en-US" w:eastAsia="zh-CN"/>
                    </w:rPr>
                  </w:pPr>
                  <w:r>
                    <w:rPr>
                      <w:rFonts w:hint="eastAsia"/>
                      <w:lang w:val="en-US" w:eastAsia="zh-CN"/>
                    </w:rPr>
                    <w:t>1</w:t>
                  </w:r>
                </w:p>
              </w:tc>
            </w:tr>
            <w:tr w14:paraId="0BA6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15D7B44E">
                  <w:pPr>
                    <w:pStyle w:val="42"/>
                    <w:bidi w:val="0"/>
                    <w:jc w:val="center"/>
                    <w:rPr>
                      <w:rFonts w:hint="default"/>
                      <w:lang w:val="en-US" w:eastAsia="zh-CN"/>
                    </w:rPr>
                  </w:pPr>
                  <w:r>
                    <w:rPr>
                      <w:rFonts w:hint="eastAsia"/>
                      <w:lang w:val="en-US" w:eastAsia="zh-CN"/>
                    </w:rPr>
                    <w:t>9</w:t>
                  </w:r>
                </w:p>
              </w:tc>
              <w:tc>
                <w:tcPr>
                  <w:tcW w:w="2128" w:type="dxa"/>
                  <w:vAlign w:val="center"/>
                </w:tcPr>
                <w:p w14:paraId="52D6D4A8">
                  <w:pPr>
                    <w:pStyle w:val="42"/>
                    <w:bidi w:val="0"/>
                    <w:jc w:val="center"/>
                    <w:rPr>
                      <w:rFonts w:hint="eastAsia"/>
                    </w:rPr>
                  </w:pPr>
                  <w:r>
                    <w:rPr>
                      <w:rFonts w:hint="eastAsia"/>
                      <w:lang w:eastAsia="zh-CN"/>
                    </w:rPr>
                    <w:t>烘干</w:t>
                  </w:r>
                  <w:r>
                    <w:rPr>
                      <w:rFonts w:hint="eastAsia"/>
                    </w:rPr>
                    <w:t>化制</w:t>
                  </w:r>
                  <w:r>
                    <w:rPr>
                      <w:rFonts w:hint="eastAsia"/>
                      <w:lang w:eastAsia="zh-CN"/>
                    </w:rPr>
                    <w:t>一体</w:t>
                  </w:r>
                  <w:r>
                    <w:rPr>
                      <w:rFonts w:hint="eastAsia"/>
                    </w:rPr>
                    <w:t>机</w:t>
                  </w:r>
                </w:p>
              </w:tc>
              <w:tc>
                <w:tcPr>
                  <w:tcW w:w="2140" w:type="dxa"/>
                  <w:vAlign w:val="center"/>
                </w:tcPr>
                <w:p w14:paraId="0BAF7A86">
                  <w:pPr>
                    <w:pStyle w:val="42"/>
                    <w:bidi w:val="0"/>
                    <w:ind w:firstLine="0" w:firstLineChars="0"/>
                    <w:jc w:val="center"/>
                    <w:rPr>
                      <w:rFonts w:hint="default"/>
                      <w:lang w:val="en-US" w:eastAsia="zh-CN"/>
                    </w:rPr>
                  </w:pPr>
                  <w:r>
                    <w:rPr>
                      <w:rFonts w:hint="eastAsia"/>
                      <w:lang w:val="en-US" w:eastAsia="zh-CN"/>
                    </w:rPr>
                    <w:t>SYHZHG-800</w:t>
                  </w:r>
                </w:p>
              </w:tc>
              <w:tc>
                <w:tcPr>
                  <w:tcW w:w="2130" w:type="dxa"/>
                  <w:vAlign w:val="center"/>
                </w:tcPr>
                <w:p w14:paraId="5231A287">
                  <w:pPr>
                    <w:pStyle w:val="42"/>
                    <w:bidi w:val="0"/>
                    <w:jc w:val="center"/>
                    <w:rPr>
                      <w:rFonts w:hint="default"/>
                      <w:lang w:val="en-US" w:eastAsia="zh-CN"/>
                    </w:rPr>
                  </w:pPr>
                  <w:r>
                    <w:rPr>
                      <w:rFonts w:hint="eastAsia"/>
                      <w:lang w:val="en-US" w:eastAsia="zh-CN"/>
                    </w:rPr>
                    <w:t>1</w:t>
                  </w:r>
                </w:p>
              </w:tc>
            </w:tr>
            <w:tr w14:paraId="0DC6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27F41EE9">
                  <w:pPr>
                    <w:pStyle w:val="42"/>
                    <w:bidi w:val="0"/>
                    <w:jc w:val="center"/>
                    <w:rPr>
                      <w:rFonts w:hint="default"/>
                      <w:lang w:val="en-US" w:eastAsia="zh-CN"/>
                    </w:rPr>
                  </w:pPr>
                  <w:r>
                    <w:rPr>
                      <w:rFonts w:hint="eastAsia"/>
                      <w:lang w:val="en-US" w:eastAsia="zh-CN"/>
                    </w:rPr>
                    <w:t>11</w:t>
                  </w:r>
                </w:p>
              </w:tc>
              <w:tc>
                <w:tcPr>
                  <w:tcW w:w="2128" w:type="dxa"/>
                  <w:vAlign w:val="center"/>
                </w:tcPr>
                <w:p w14:paraId="41404DDD">
                  <w:pPr>
                    <w:pStyle w:val="42"/>
                    <w:bidi w:val="0"/>
                    <w:jc w:val="center"/>
                    <w:rPr>
                      <w:rFonts w:hint="eastAsia"/>
                    </w:rPr>
                  </w:pPr>
                  <w:r>
                    <w:rPr>
                      <w:rFonts w:hint="eastAsia"/>
                    </w:rPr>
                    <w:t>螺旋输送机</w:t>
                  </w:r>
                </w:p>
              </w:tc>
              <w:tc>
                <w:tcPr>
                  <w:tcW w:w="2140" w:type="dxa"/>
                  <w:vAlign w:val="center"/>
                </w:tcPr>
                <w:p w14:paraId="5386E452">
                  <w:pPr>
                    <w:pStyle w:val="42"/>
                    <w:bidi w:val="0"/>
                    <w:ind w:firstLine="0" w:firstLineChars="0"/>
                    <w:jc w:val="center"/>
                    <w:rPr>
                      <w:rFonts w:hint="eastAsia"/>
                      <w:lang w:val="en-US" w:eastAsia="zh-CN"/>
                    </w:rPr>
                  </w:pPr>
                  <w:r>
                    <w:rPr>
                      <w:rFonts w:hint="eastAsia"/>
                      <w:lang w:val="en-US" w:eastAsia="zh-CN"/>
                    </w:rPr>
                    <w:t>SYLS-05</w:t>
                  </w:r>
                </w:p>
              </w:tc>
              <w:tc>
                <w:tcPr>
                  <w:tcW w:w="2130" w:type="dxa"/>
                  <w:vAlign w:val="center"/>
                </w:tcPr>
                <w:p w14:paraId="43A984F4">
                  <w:pPr>
                    <w:pStyle w:val="42"/>
                    <w:bidi w:val="0"/>
                    <w:jc w:val="center"/>
                    <w:rPr>
                      <w:rFonts w:hint="default"/>
                      <w:lang w:val="en-US" w:eastAsia="zh-CN"/>
                    </w:rPr>
                  </w:pPr>
                  <w:r>
                    <w:rPr>
                      <w:rFonts w:hint="eastAsia"/>
                      <w:lang w:val="en-US" w:eastAsia="zh-CN"/>
                    </w:rPr>
                    <w:t>4</w:t>
                  </w:r>
                </w:p>
              </w:tc>
            </w:tr>
            <w:tr w14:paraId="7B05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71F3B8E1">
                  <w:pPr>
                    <w:pStyle w:val="42"/>
                    <w:bidi w:val="0"/>
                    <w:jc w:val="center"/>
                    <w:rPr>
                      <w:rFonts w:hint="default"/>
                      <w:lang w:val="en-US" w:eastAsia="zh-CN"/>
                    </w:rPr>
                  </w:pPr>
                  <w:r>
                    <w:rPr>
                      <w:rFonts w:hint="eastAsia"/>
                      <w:lang w:val="en-US" w:eastAsia="zh-CN"/>
                    </w:rPr>
                    <w:t>12</w:t>
                  </w:r>
                </w:p>
              </w:tc>
              <w:tc>
                <w:tcPr>
                  <w:tcW w:w="2128" w:type="dxa"/>
                  <w:vAlign w:val="center"/>
                </w:tcPr>
                <w:p w14:paraId="3A92CB33">
                  <w:pPr>
                    <w:pStyle w:val="42"/>
                    <w:bidi w:val="0"/>
                    <w:jc w:val="center"/>
                    <w:rPr>
                      <w:rFonts w:hint="eastAsia"/>
                    </w:rPr>
                  </w:pPr>
                  <w:r>
                    <w:rPr>
                      <w:rFonts w:hint="eastAsia"/>
                    </w:rPr>
                    <w:t>缓存料仓</w:t>
                  </w:r>
                </w:p>
              </w:tc>
              <w:tc>
                <w:tcPr>
                  <w:tcW w:w="2140" w:type="dxa"/>
                  <w:vAlign w:val="center"/>
                </w:tcPr>
                <w:p w14:paraId="1113BD2A">
                  <w:pPr>
                    <w:pStyle w:val="42"/>
                    <w:bidi w:val="0"/>
                    <w:ind w:firstLine="0" w:firstLineChars="0"/>
                    <w:jc w:val="center"/>
                    <w:rPr>
                      <w:rFonts w:hint="eastAsia"/>
                      <w:lang w:val="en-US" w:eastAsia="zh-CN"/>
                    </w:rPr>
                  </w:pPr>
                  <w:r>
                    <w:rPr>
                      <w:rFonts w:hint="eastAsia"/>
                      <w:lang w:val="en-US" w:eastAsia="zh-CN"/>
                    </w:rPr>
                    <w:t>SYHCLC-03</w:t>
                  </w:r>
                </w:p>
              </w:tc>
              <w:tc>
                <w:tcPr>
                  <w:tcW w:w="2130" w:type="dxa"/>
                  <w:vAlign w:val="center"/>
                </w:tcPr>
                <w:p w14:paraId="08EB0BCA">
                  <w:pPr>
                    <w:pStyle w:val="42"/>
                    <w:bidi w:val="0"/>
                    <w:jc w:val="center"/>
                    <w:rPr>
                      <w:rFonts w:hint="default"/>
                      <w:lang w:val="en-US" w:eastAsia="zh-CN"/>
                    </w:rPr>
                  </w:pPr>
                  <w:r>
                    <w:rPr>
                      <w:rFonts w:hint="eastAsia"/>
                      <w:lang w:val="en-US" w:eastAsia="zh-CN"/>
                    </w:rPr>
                    <w:t>1</w:t>
                  </w:r>
                </w:p>
              </w:tc>
            </w:tr>
            <w:tr w14:paraId="0DEC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770BF658">
                  <w:pPr>
                    <w:pStyle w:val="42"/>
                    <w:bidi w:val="0"/>
                    <w:jc w:val="center"/>
                    <w:rPr>
                      <w:rFonts w:hint="default"/>
                      <w:lang w:val="en-US" w:eastAsia="zh-CN"/>
                    </w:rPr>
                  </w:pPr>
                  <w:r>
                    <w:rPr>
                      <w:rFonts w:hint="eastAsia"/>
                      <w:lang w:val="en-US" w:eastAsia="zh-CN"/>
                    </w:rPr>
                    <w:t>13</w:t>
                  </w:r>
                </w:p>
              </w:tc>
              <w:tc>
                <w:tcPr>
                  <w:tcW w:w="2128" w:type="dxa"/>
                  <w:vAlign w:val="center"/>
                </w:tcPr>
                <w:p w14:paraId="4FEC5EC7">
                  <w:pPr>
                    <w:pStyle w:val="42"/>
                    <w:bidi w:val="0"/>
                    <w:jc w:val="center"/>
                    <w:rPr>
                      <w:rFonts w:hint="eastAsia"/>
                    </w:rPr>
                  </w:pPr>
                  <w:r>
                    <w:rPr>
                      <w:rFonts w:hint="eastAsia"/>
                    </w:rPr>
                    <w:t>机械密封</w:t>
                  </w:r>
                </w:p>
              </w:tc>
              <w:tc>
                <w:tcPr>
                  <w:tcW w:w="2140" w:type="dxa"/>
                  <w:vAlign w:val="center"/>
                </w:tcPr>
                <w:p w14:paraId="43F9D7DB">
                  <w:pPr>
                    <w:pStyle w:val="42"/>
                    <w:bidi w:val="0"/>
                    <w:ind w:firstLine="0" w:firstLineChars="0"/>
                    <w:jc w:val="center"/>
                    <w:rPr>
                      <w:rFonts w:hint="eastAsia"/>
                      <w:lang w:val="en-US" w:eastAsia="zh-CN"/>
                    </w:rPr>
                  </w:pPr>
                  <w:r>
                    <w:rPr>
                      <w:rFonts w:hint="eastAsia"/>
                      <w:lang w:val="en-US" w:eastAsia="zh-CN"/>
                    </w:rPr>
                    <w:t>/</w:t>
                  </w:r>
                </w:p>
              </w:tc>
              <w:tc>
                <w:tcPr>
                  <w:tcW w:w="2130" w:type="dxa"/>
                  <w:vAlign w:val="center"/>
                </w:tcPr>
                <w:p w14:paraId="5F2A9E5D">
                  <w:pPr>
                    <w:pStyle w:val="42"/>
                    <w:bidi w:val="0"/>
                    <w:jc w:val="center"/>
                    <w:rPr>
                      <w:rFonts w:hint="default"/>
                      <w:lang w:val="en-US" w:eastAsia="zh-CN"/>
                    </w:rPr>
                  </w:pPr>
                  <w:r>
                    <w:rPr>
                      <w:rFonts w:hint="eastAsia"/>
                      <w:lang w:val="en-US" w:eastAsia="zh-CN"/>
                    </w:rPr>
                    <w:t>2</w:t>
                  </w:r>
                </w:p>
              </w:tc>
            </w:tr>
            <w:tr w14:paraId="2A77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34FF9834">
                  <w:pPr>
                    <w:pStyle w:val="42"/>
                    <w:bidi w:val="0"/>
                    <w:jc w:val="center"/>
                    <w:rPr>
                      <w:rFonts w:hint="default"/>
                      <w:lang w:val="en-US" w:eastAsia="zh-CN"/>
                    </w:rPr>
                  </w:pPr>
                  <w:r>
                    <w:rPr>
                      <w:rFonts w:hint="eastAsia"/>
                      <w:lang w:val="en-US" w:eastAsia="zh-CN"/>
                    </w:rPr>
                    <w:t>14</w:t>
                  </w:r>
                </w:p>
              </w:tc>
              <w:tc>
                <w:tcPr>
                  <w:tcW w:w="2128" w:type="dxa"/>
                  <w:vAlign w:val="center"/>
                </w:tcPr>
                <w:p w14:paraId="512AA564">
                  <w:pPr>
                    <w:pStyle w:val="42"/>
                    <w:bidi w:val="0"/>
                    <w:jc w:val="center"/>
                    <w:rPr>
                      <w:rFonts w:hint="eastAsia"/>
                    </w:rPr>
                  </w:pPr>
                  <w:r>
                    <w:rPr>
                      <w:rFonts w:hint="eastAsia"/>
                    </w:rPr>
                    <w:t>电气系统</w:t>
                  </w:r>
                </w:p>
              </w:tc>
              <w:tc>
                <w:tcPr>
                  <w:tcW w:w="2140" w:type="dxa"/>
                  <w:vAlign w:val="center"/>
                </w:tcPr>
                <w:p w14:paraId="04E81F94">
                  <w:pPr>
                    <w:pStyle w:val="42"/>
                    <w:bidi w:val="0"/>
                    <w:ind w:firstLine="0" w:firstLineChars="0"/>
                    <w:jc w:val="center"/>
                    <w:rPr>
                      <w:rFonts w:hint="eastAsia"/>
                      <w:lang w:val="en-US" w:eastAsia="zh-CN"/>
                    </w:rPr>
                  </w:pPr>
                  <w:r>
                    <w:rPr>
                      <w:rFonts w:hint="eastAsia"/>
                      <w:lang w:val="en-US" w:eastAsia="zh-CN"/>
                    </w:rPr>
                    <w:t>/</w:t>
                  </w:r>
                </w:p>
              </w:tc>
              <w:tc>
                <w:tcPr>
                  <w:tcW w:w="2130" w:type="dxa"/>
                  <w:vAlign w:val="center"/>
                </w:tcPr>
                <w:p w14:paraId="2832655C">
                  <w:pPr>
                    <w:pStyle w:val="42"/>
                    <w:bidi w:val="0"/>
                    <w:jc w:val="center"/>
                    <w:rPr>
                      <w:rFonts w:hint="default"/>
                      <w:lang w:val="en-US" w:eastAsia="zh-CN"/>
                    </w:rPr>
                  </w:pPr>
                  <w:r>
                    <w:rPr>
                      <w:rFonts w:hint="eastAsia"/>
                      <w:lang w:val="en-US" w:eastAsia="zh-CN"/>
                    </w:rPr>
                    <w:t>1</w:t>
                  </w:r>
                </w:p>
              </w:tc>
            </w:tr>
            <w:tr w14:paraId="2235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19126D9B">
                  <w:pPr>
                    <w:pStyle w:val="42"/>
                    <w:bidi w:val="0"/>
                    <w:jc w:val="center"/>
                    <w:rPr>
                      <w:rFonts w:hint="default"/>
                      <w:lang w:val="en-US" w:eastAsia="zh-CN"/>
                    </w:rPr>
                  </w:pPr>
                  <w:r>
                    <w:rPr>
                      <w:rFonts w:hint="eastAsia"/>
                      <w:lang w:val="en-US" w:eastAsia="zh-CN"/>
                    </w:rPr>
                    <w:t>15</w:t>
                  </w:r>
                </w:p>
              </w:tc>
              <w:tc>
                <w:tcPr>
                  <w:tcW w:w="2128" w:type="dxa"/>
                  <w:vAlign w:val="center"/>
                </w:tcPr>
                <w:p w14:paraId="1233BC4B">
                  <w:pPr>
                    <w:pStyle w:val="42"/>
                    <w:bidi w:val="0"/>
                    <w:jc w:val="center"/>
                    <w:rPr>
                      <w:rFonts w:hint="eastAsia"/>
                    </w:rPr>
                  </w:pPr>
                  <w:r>
                    <w:rPr>
                      <w:rFonts w:hint="eastAsia"/>
                    </w:rPr>
                    <w:t>阀门、管道及保</w:t>
                  </w:r>
                </w:p>
                <w:p w14:paraId="487777DF">
                  <w:pPr>
                    <w:pStyle w:val="42"/>
                    <w:bidi w:val="0"/>
                    <w:jc w:val="center"/>
                    <w:rPr>
                      <w:rFonts w:hint="eastAsia"/>
                    </w:rPr>
                  </w:pPr>
                  <w:r>
                    <w:rPr>
                      <w:rFonts w:hint="eastAsia"/>
                    </w:rPr>
                    <w:t>温</w:t>
                  </w:r>
                </w:p>
              </w:tc>
              <w:tc>
                <w:tcPr>
                  <w:tcW w:w="2140" w:type="dxa"/>
                  <w:vAlign w:val="center"/>
                </w:tcPr>
                <w:p w14:paraId="51CF5556">
                  <w:pPr>
                    <w:pStyle w:val="42"/>
                    <w:bidi w:val="0"/>
                    <w:ind w:firstLine="0" w:firstLineChars="0"/>
                    <w:jc w:val="center"/>
                    <w:rPr>
                      <w:rFonts w:hint="eastAsia"/>
                      <w:lang w:val="en-US" w:eastAsia="zh-CN"/>
                    </w:rPr>
                  </w:pPr>
                  <w:r>
                    <w:rPr>
                      <w:rFonts w:hint="eastAsia"/>
                      <w:lang w:val="en-US" w:eastAsia="zh-CN"/>
                    </w:rPr>
                    <w:t>/</w:t>
                  </w:r>
                </w:p>
              </w:tc>
              <w:tc>
                <w:tcPr>
                  <w:tcW w:w="2130" w:type="dxa"/>
                  <w:vAlign w:val="center"/>
                </w:tcPr>
                <w:p w14:paraId="7A21F20C">
                  <w:pPr>
                    <w:pStyle w:val="42"/>
                    <w:bidi w:val="0"/>
                    <w:jc w:val="center"/>
                    <w:rPr>
                      <w:rFonts w:hint="default"/>
                      <w:lang w:val="en-US" w:eastAsia="zh-CN"/>
                    </w:rPr>
                  </w:pPr>
                  <w:r>
                    <w:rPr>
                      <w:rFonts w:hint="eastAsia"/>
                      <w:lang w:val="en-US" w:eastAsia="zh-CN"/>
                    </w:rPr>
                    <w:t>1</w:t>
                  </w:r>
                </w:p>
              </w:tc>
            </w:tr>
            <w:tr w14:paraId="02E0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55C6DEA4">
                  <w:pPr>
                    <w:pStyle w:val="42"/>
                    <w:bidi w:val="0"/>
                    <w:jc w:val="center"/>
                    <w:rPr>
                      <w:rFonts w:hint="default"/>
                      <w:lang w:val="en-US" w:eastAsia="zh-CN"/>
                    </w:rPr>
                  </w:pPr>
                  <w:r>
                    <w:rPr>
                      <w:rFonts w:hint="eastAsia"/>
                      <w:lang w:val="en-US" w:eastAsia="zh-CN"/>
                    </w:rPr>
                    <w:t>16</w:t>
                  </w:r>
                </w:p>
              </w:tc>
              <w:tc>
                <w:tcPr>
                  <w:tcW w:w="2128" w:type="dxa"/>
                  <w:vAlign w:val="center"/>
                </w:tcPr>
                <w:p w14:paraId="52CE8635">
                  <w:pPr>
                    <w:pStyle w:val="42"/>
                    <w:bidi w:val="0"/>
                    <w:jc w:val="center"/>
                    <w:rPr>
                      <w:rFonts w:hint="eastAsia"/>
                    </w:rPr>
                  </w:pPr>
                  <w:r>
                    <w:rPr>
                      <w:rFonts w:hint="eastAsia"/>
                    </w:rPr>
                    <w:t>基础及平台爬梯</w:t>
                  </w:r>
                </w:p>
              </w:tc>
              <w:tc>
                <w:tcPr>
                  <w:tcW w:w="2140" w:type="dxa"/>
                  <w:vAlign w:val="center"/>
                </w:tcPr>
                <w:p w14:paraId="14678AC5">
                  <w:pPr>
                    <w:pStyle w:val="42"/>
                    <w:bidi w:val="0"/>
                    <w:ind w:firstLine="0" w:firstLineChars="0"/>
                    <w:jc w:val="center"/>
                    <w:rPr>
                      <w:rFonts w:hint="eastAsia"/>
                      <w:lang w:val="en-US" w:eastAsia="zh-CN"/>
                    </w:rPr>
                  </w:pPr>
                  <w:r>
                    <w:rPr>
                      <w:rFonts w:hint="eastAsia"/>
                      <w:lang w:val="en-US" w:eastAsia="zh-CN"/>
                    </w:rPr>
                    <w:t>/</w:t>
                  </w:r>
                </w:p>
              </w:tc>
              <w:tc>
                <w:tcPr>
                  <w:tcW w:w="2130" w:type="dxa"/>
                  <w:vAlign w:val="center"/>
                </w:tcPr>
                <w:p w14:paraId="27FBB074">
                  <w:pPr>
                    <w:pStyle w:val="42"/>
                    <w:bidi w:val="0"/>
                    <w:jc w:val="center"/>
                    <w:rPr>
                      <w:rFonts w:hint="default"/>
                      <w:lang w:val="en-US" w:eastAsia="zh-CN"/>
                    </w:rPr>
                  </w:pPr>
                  <w:r>
                    <w:rPr>
                      <w:rFonts w:hint="eastAsia"/>
                      <w:lang w:val="en-US" w:eastAsia="zh-CN"/>
                    </w:rPr>
                    <w:t>2</w:t>
                  </w:r>
                </w:p>
              </w:tc>
            </w:tr>
            <w:tr w14:paraId="1A41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00889926">
                  <w:pPr>
                    <w:pStyle w:val="42"/>
                    <w:bidi w:val="0"/>
                    <w:jc w:val="center"/>
                    <w:rPr>
                      <w:rFonts w:hint="eastAsia"/>
                      <w:lang w:val="en-US" w:eastAsia="zh-CN"/>
                    </w:rPr>
                  </w:pPr>
                  <w:r>
                    <w:rPr>
                      <w:rFonts w:hint="eastAsia"/>
                      <w:lang w:val="en-US" w:eastAsia="zh-CN"/>
                    </w:rPr>
                    <w:t>四、锅炉</w:t>
                  </w:r>
                </w:p>
              </w:tc>
            </w:tr>
            <w:tr w14:paraId="36F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437E53CA">
                  <w:pPr>
                    <w:pStyle w:val="42"/>
                    <w:bidi w:val="0"/>
                    <w:jc w:val="center"/>
                    <w:rPr>
                      <w:rFonts w:hint="default"/>
                      <w:lang w:val="en-US" w:eastAsia="zh-CN"/>
                    </w:rPr>
                  </w:pPr>
                  <w:r>
                    <w:rPr>
                      <w:rFonts w:hint="eastAsia"/>
                      <w:lang w:val="en-US" w:eastAsia="zh-CN"/>
                    </w:rPr>
                    <w:t>26</w:t>
                  </w:r>
                </w:p>
              </w:tc>
              <w:tc>
                <w:tcPr>
                  <w:tcW w:w="2128" w:type="dxa"/>
                  <w:vAlign w:val="center"/>
                </w:tcPr>
                <w:p w14:paraId="702C3C7C">
                  <w:pPr>
                    <w:pStyle w:val="42"/>
                    <w:bidi w:val="0"/>
                    <w:jc w:val="center"/>
                    <w:rPr>
                      <w:rFonts w:hint="eastAsia" w:eastAsia="宋体"/>
                      <w:lang w:eastAsia="zh-CN"/>
                    </w:rPr>
                  </w:pPr>
                  <w:r>
                    <w:rPr>
                      <w:rFonts w:hint="eastAsia"/>
                      <w:lang w:eastAsia="zh-CN"/>
                    </w:rPr>
                    <w:t>生物质锅炉</w:t>
                  </w:r>
                </w:p>
              </w:tc>
              <w:tc>
                <w:tcPr>
                  <w:tcW w:w="2140" w:type="dxa"/>
                  <w:vAlign w:val="center"/>
                </w:tcPr>
                <w:p w14:paraId="123F96D3">
                  <w:pPr>
                    <w:pStyle w:val="42"/>
                    <w:bidi w:val="0"/>
                    <w:ind w:firstLine="0" w:firstLineChars="0"/>
                    <w:jc w:val="center"/>
                    <w:rPr>
                      <w:rFonts w:hint="default"/>
                      <w:lang w:val="en-US" w:eastAsia="zh-CN"/>
                    </w:rPr>
                  </w:pPr>
                  <w:r>
                    <w:rPr>
                      <w:rFonts w:hint="eastAsia"/>
                      <w:lang w:val="en-US" w:eastAsia="zh-CN"/>
                    </w:rPr>
                    <w:t>4t/h</w:t>
                  </w:r>
                </w:p>
              </w:tc>
              <w:tc>
                <w:tcPr>
                  <w:tcW w:w="2130" w:type="dxa"/>
                  <w:vAlign w:val="center"/>
                </w:tcPr>
                <w:p w14:paraId="0F61D8F0">
                  <w:pPr>
                    <w:pStyle w:val="42"/>
                    <w:bidi w:val="0"/>
                    <w:jc w:val="center"/>
                    <w:rPr>
                      <w:rFonts w:hint="default"/>
                      <w:lang w:val="en-US" w:eastAsia="zh-CN"/>
                    </w:rPr>
                  </w:pPr>
                  <w:r>
                    <w:rPr>
                      <w:rFonts w:hint="eastAsia"/>
                      <w:lang w:val="en-US" w:eastAsia="zh-CN"/>
                    </w:rPr>
                    <w:t>1</w:t>
                  </w:r>
                </w:p>
              </w:tc>
            </w:tr>
            <w:tr w14:paraId="04AC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7C93A136">
                  <w:pPr>
                    <w:pStyle w:val="42"/>
                    <w:bidi w:val="0"/>
                    <w:jc w:val="center"/>
                    <w:rPr>
                      <w:rFonts w:hint="eastAsia"/>
                      <w:lang w:val="en-US" w:eastAsia="zh-CN"/>
                    </w:rPr>
                  </w:pPr>
                  <w:r>
                    <w:rPr>
                      <w:rFonts w:hint="eastAsia"/>
                      <w:lang w:val="en-US" w:eastAsia="zh-CN"/>
                    </w:rPr>
                    <w:t>五、蒸汽冷却处理系统</w:t>
                  </w:r>
                </w:p>
              </w:tc>
            </w:tr>
            <w:tr w14:paraId="4CA6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6FBEFA67">
                  <w:pPr>
                    <w:pStyle w:val="42"/>
                    <w:bidi w:val="0"/>
                    <w:jc w:val="center"/>
                    <w:rPr>
                      <w:rFonts w:hint="default"/>
                      <w:b w:val="0"/>
                      <w:bCs w:val="0"/>
                      <w:lang w:val="en-US" w:eastAsia="zh-CN"/>
                    </w:rPr>
                  </w:pPr>
                  <w:r>
                    <w:rPr>
                      <w:rFonts w:hint="eastAsia"/>
                      <w:b w:val="0"/>
                      <w:bCs w:val="0"/>
                      <w:lang w:val="en-US" w:eastAsia="zh-CN"/>
                    </w:rPr>
                    <w:t>27</w:t>
                  </w:r>
                </w:p>
              </w:tc>
              <w:tc>
                <w:tcPr>
                  <w:tcW w:w="2128" w:type="dxa"/>
                  <w:vAlign w:val="center"/>
                </w:tcPr>
                <w:p w14:paraId="22D1D72C">
                  <w:pPr>
                    <w:pStyle w:val="42"/>
                    <w:bidi w:val="0"/>
                    <w:jc w:val="center"/>
                    <w:rPr>
                      <w:rFonts w:hint="eastAsia"/>
                      <w:b w:val="0"/>
                      <w:bCs w:val="0"/>
                    </w:rPr>
                  </w:pPr>
                  <w:r>
                    <w:rPr>
                      <w:rFonts w:hint="eastAsia"/>
                      <w:b w:val="0"/>
                      <w:bCs w:val="0"/>
                    </w:rPr>
                    <w:t>冷凝器</w:t>
                  </w:r>
                </w:p>
              </w:tc>
              <w:tc>
                <w:tcPr>
                  <w:tcW w:w="2140" w:type="dxa"/>
                  <w:vAlign w:val="center"/>
                </w:tcPr>
                <w:p w14:paraId="4AF4D6D3">
                  <w:pPr>
                    <w:pStyle w:val="42"/>
                    <w:bidi w:val="0"/>
                    <w:ind w:firstLine="0" w:firstLineChars="0"/>
                    <w:jc w:val="center"/>
                    <w:rPr>
                      <w:rFonts w:hint="default"/>
                      <w:b w:val="0"/>
                      <w:bCs w:val="0"/>
                      <w:lang w:val="en-US" w:eastAsia="zh-CN"/>
                    </w:rPr>
                  </w:pPr>
                  <w:r>
                    <w:rPr>
                      <w:rFonts w:hint="default"/>
                      <w:b w:val="0"/>
                      <w:bCs w:val="0"/>
                      <w:lang w:val="en-US" w:eastAsia="zh-CN"/>
                    </w:rPr>
                    <w:t>SYLN-1</w:t>
                  </w:r>
                  <w:r>
                    <w:rPr>
                      <w:rFonts w:hint="eastAsia"/>
                      <w:b w:val="0"/>
                      <w:bCs w:val="0"/>
                      <w:lang w:val="en-US" w:eastAsia="zh-CN"/>
                    </w:rPr>
                    <w:t>3</w:t>
                  </w:r>
                  <w:r>
                    <w:rPr>
                      <w:rFonts w:hint="default"/>
                      <w:b w:val="0"/>
                      <w:bCs w:val="0"/>
                      <w:lang w:val="en-US" w:eastAsia="zh-CN"/>
                    </w:rPr>
                    <w:t>0</w:t>
                  </w:r>
                </w:p>
              </w:tc>
              <w:tc>
                <w:tcPr>
                  <w:tcW w:w="2130" w:type="dxa"/>
                  <w:vAlign w:val="center"/>
                </w:tcPr>
                <w:p w14:paraId="0F24F915">
                  <w:pPr>
                    <w:pStyle w:val="42"/>
                    <w:bidi w:val="0"/>
                    <w:ind w:firstLine="0" w:firstLineChars="0"/>
                    <w:jc w:val="center"/>
                    <w:rPr>
                      <w:rFonts w:hint="default"/>
                      <w:b w:val="0"/>
                      <w:bCs w:val="0"/>
                      <w:lang w:val="en-US" w:eastAsia="zh-CN"/>
                    </w:rPr>
                  </w:pPr>
                  <w:r>
                    <w:rPr>
                      <w:rFonts w:hint="eastAsia"/>
                      <w:b w:val="0"/>
                      <w:bCs w:val="0"/>
                      <w:lang w:val="en-US" w:eastAsia="zh-CN"/>
                    </w:rPr>
                    <w:t>1</w:t>
                  </w:r>
                </w:p>
              </w:tc>
            </w:tr>
            <w:tr w14:paraId="3B0B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399B5BCD">
                  <w:pPr>
                    <w:pStyle w:val="42"/>
                    <w:bidi w:val="0"/>
                    <w:jc w:val="center"/>
                    <w:rPr>
                      <w:rFonts w:hint="default"/>
                      <w:b w:val="0"/>
                      <w:bCs w:val="0"/>
                      <w:lang w:val="en-US" w:eastAsia="zh-CN"/>
                    </w:rPr>
                  </w:pPr>
                  <w:r>
                    <w:rPr>
                      <w:rFonts w:hint="eastAsia"/>
                      <w:b w:val="0"/>
                      <w:bCs w:val="0"/>
                      <w:lang w:val="en-US" w:eastAsia="zh-CN"/>
                    </w:rPr>
                    <w:t>28</w:t>
                  </w:r>
                </w:p>
              </w:tc>
              <w:tc>
                <w:tcPr>
                  <w:tcW w:w="2128" w:type="dxa"/>
                  <w:vAlign w:val="center"/>
                </w:tcPr>
                <w:p w14:paraId="793B8657">
                  <w:pPr>
                    <w:pStyle w:val="42"/>
                    <w:bidi w:val="0"/>
                    <w:jc w:val="center"/>
                    <w:rPr>
                      <w:rFonts w:hint="eastAsia"/>
                      <w:b w:val="0"/>
                      <w:bCs w:val="0"/>
                    </w:rPr>
                  </w:pPr>
                  <w:r>
                    <w:rPr>
                      <w:rFonts w:hint="eastAsia"/>
                      <w:b w:val="0"/>
                      <w:bCs w:val="0"/>
                    </w:rPr>
                    <w:t>负压站</w:t>
                  </w:r>
                </w:p>
              </w:tc>
              <w:tc>
                <w:tcPr>
                  <w:tcW w:w="2140" w:type="dxa"/>
                  <w:vAlign w:val="center"/>
                </w:tcPr>
                <w:p w14:paraId="515944F4">
                  <w:pPr>
                    <w:pStyle w:val="42"/>
                    <w:bidi w:val="0"/>
                    <w:ind w:firstLine="0" w:firstLineChars="0"/>
                    <w:jc w:val="center"/>
                    <w:rPr>
                      <w:rFonts w:hint="default"/>
                      <w:b w:val="0"/>
                      <w:bCs w:val="0"/>
                      <w:lang w:val="en-US" w:eastAsia="zh-CN"/>
                    </w:rPr>
                  </w:pPr>
                  <w:r>
                    <w:rPr>
                      <w:rFonts w:hint="default"/>
                      <w:b w:val="0"/>
                      <w:bCs w:val="0"/>
                      <w:lang w:val="en-US" w:eastAsia="zh-CN"/>
                    </w:rPr>
                    <w:t>SYFYZ-50</w:t>
                  </w:r>
                </w:p>
              </w:tc>
              <w:tc>
                <w:tcPr>
                  <w:tcW w:w="2130" w:type="dxa"/>
                  <w:vAlign w:val="center"/>
                </w:tcPr>
                <w:p w14:paraId="4D5FC1EA">
                  <w:pPr>
                    <w:pStyle w:val="42"/>
                    <w:bidi w:val="0"/>
                    <w:ind w:firstLine="0" w:firstLineChars="0"/>
                    <w:jc w:val="center"/>
                    <w:rPr>
                      <w:rFonts w:hint="default"/>
                      <w:b w:val="0"/>
                      <w:bCs w:val="0"/>
                      <w:lang w:val="en-US" w:eastAsia="zh-CN"/>
                    </w:rPr>
                  </w:pPr>
                  <w:r>
                    <w:rPr>
                      <w:rFonts w:hint="eastAsia"/>
                      <w:b w:val="0"/>
                      <w:bCs w:val="0"/>
                      <w:lang w:val="en-US" w:eastAsia="zh-CN"/>
                    </w:rPr>
                    <w:t>1</w:t>
                  </w:r>
                </w:p>
              </w:tc>
            </w:tr>
            <w:tr w14:paraId="2B41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5A93B88A">
                  <w:pPr>
                    <w:pStyle w:val="42"/>
                    <w:bidi w:val="0"/>
                    <w:jc w:val="center"/>
                    <w:rPr>
                      <w:rFonts w:hint="default"/>
                      <w:lang w:val="en-US" w:eastAsia="zh-CN"/>
                    </w:rPr>
                  </w:pPr>
                  <w:r>
                    <w:rPr>
                      <w:rFonts w:hint="eastAsia"/>
                      <w:lang w:val="en-US" w:eastAsia="zh-CN"/>
                    </w:rPr>
                    <w:t>29</w:t>
                  </w:r>
                </w:p>
              </w:tc>
              <w:tc>
                <w:tcPr>
                  <w:tcW w:w="2128" w:type="dxa"/>
                  <w:vAlign w:val="center"/>
                </w:tcPr>
                <w:p w14:paraId="42A5681D">
                  <w:pPr>
                    <w:pStyle w:val="42"/>
                    <w:bidi w:val="0"/>
                    <w:jc w:val="center"/>
                    <w:rPr>
                      <w:rFonts w:hint="eastAsia"/>
                    </w:rPr>
                  </w:pPr>
                  <w:r>
                    <w:rPr>
                      <w:rFonts w:hint="eastAsia"/>
                    </w:rPr>
                    <w:t>降温塔</w:t>
                  </w:r>
                </w:p>
              </w:tc>
              <w:tc>
                <w:tcPr>
                  <w:tcW w:w="2140" w:type="dxa"/>
                  <w:vAlign w:val="center"/>
                </w:tcPr>
                <w:p w14:paraId="68A6983B">
                  <w:pPr>
                    <w:pStyle w:val="42"/>
                    <w:bidi w:val="0"/>
                    <w:ind w:firstLine="0" w:firstLineChars="0"/>
                    <w:jc w:val="center"/>
                    <w:rPr>
                      <w:rFonts w:hint="default"/>
                      <w:lang w:val="en-US" w:eastAsia="zh-CN"/>
                    </w:rPr>
                  </w:pPr>
                  <w:r>
                    <w:rPr>
                      <w:rFonts w:hint="default"/>
                      <w:lang w:val="en-US" w:eastAsia="zh-CN"/>
                    </w:rPr>
                    <w:t>SYJW-150</w:t>
                  </w:r>
                </w:p>
              </w:tc>
              <w:tc>
                <w:tcPr>
                  <w:tcW w:w="2130" w:type="dxa"/>
                  <w:vAlign w:val="center"/>
                </w:tcPr>
                <w:p w14:paraId="0F01516D">
                  <w:pPr>
                    <w:pStyle w:val="42"/>
                    <w:bidi w:val="0"/>
                    <w:ind w:firstLine="0" w:firstLineChars="0"/>
                    <w:jc w:val="center"/>
                    <w:rPr>
                      <w:rFonts w:hint="default"/>
                      <w:lang w:val="en-US" w:eastAsia="zh-CN"/>
                    </w:rPr>
                  </w:pPr>
                  <w:r>
                    <w:rPr>
                      <w:rFonts w:hint="eastAsia"/>
                      <w:lang w:val="en-US" w:eastAsia="zh-CN"/>
                    </w:rPr>
                    <w:t>1</w:t>
                  </w:r>
                </w:p>
              </w:tc>
            </w:tr>
            <w:tr w14:paraId="1542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35D33A73">
                  <w:pPr>
                    <w:pStyle w:val="42"/>
                    <w:bidi w:val="0"/>
                    <w:jc w:val="center"/>
                    <w:rPr>
                      <w:rFonts w:hint="default"/>
                      <w:lang w:val="en-US" w:eastAsia="zh-CN"/>
                    </w:rPr>
                  </w:pPr>
                  <w:r>
                    <w:rPr>
                      <w:rFonts w:hint="eastAsia"/>
                      <w:lang w:val="en-US" w:eastAsia="zh-CN"/>
                    </w:rPr>
                    <w:t>30</w:t>
                  </w:r>
                </w:p>
              </w:tc>
              <w:tc>
                <w:tcPr>
                  <w:tcW w:w="2128" w:type="dxa"/>
                  <w:vAlign w:val="center"/>
                </w:tcPr>
                <w:p w14:paraId="0AC4B6ED">
                  <w:pPr>
                    <w:pStyle w:val="42"/>
                    <w:bidi w:val="0"/>
                    <w:jc w:val="center"/>
                    <w:rPr>
                      <w:rFonts w:hint="eastAsia"/>
                    </w:rPr>
                  </w:pPr>
                  <w:r>
                    <w:rPr>
                      <w:rFonts w:hint="eastAsia"/>
                    </w:rPr>
                    <w:t>水循环泵</w:t>
                  </w:r>
                </w:p>
              </w:tc>
              <w:tc>
                <w:tcPr>
                  <w:tcW w:w="2140" w:type="dxa"/>
                  <w:vAlign w:val="center"/>
                </w:tcPr>
                <w:p w14:paraId="3C939B10">
                  <w:pPr>
                    <w:pStyle w:val="42"/>
                    <w:bidi w:val="0"/>
                    <w:ind w:firstLine="0" w:firstLineChars="0"/>
                    <w:jc w:val="center"/>
                    <w:rPr>
                      <w:rFonts w:hint="default"/>
                      <w:lang w:val="en-US" w:eastAsia="zh-CN"/>
                    </w:rPr>
                  </w:pPr>
                  <w:r>
                    <w:rPr>
                      <w:rFonts w:hint="default"/>
                      <w:lang w:val="en-US" w:eastAsia="zh-CN"/>
                    </w:rPr>
                    <w:t>SYXHB-07</w:t>
                  </w:r>
                </w:p>
              </w:tc>
              <w:tc>
                <w:tcPr>
                  <w:tcW w:w="2130" w:type="dxa"/>
                  <w:vAlign w:val="center"/>
                </w:tcPr>
                <w:p w14:paraId="40258862">
                  <w:pPr>
                    <w:pStyle w:val="42"/>
                    <w:bidi w:val="0"/>
                    <w:ind w:firstLine="0" w:firstLineChars="0"/>
                    <w:jc w:val="center"/>
                    <w:rPr>
                      <w:rFonts w:hint="default"/>
                      <w:lang w:val="en-US" w:eastAsia="zh-CN"/>
                    </w:rPr>
                  </w:pPr>
                  <w:r>
                    <w:rPr>
                      <w:rFonts w:hint="eastAsia"/>
                      <w:lang w:val="en-US" w:eastAsia="zh-CN"/>
                    </w:rPr>
                    <w:t>1</w:t>
                  </w:r>
                </w:p>
              </w:tc>
            </w:tr>
            <w:tr w14:paraId="42B9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5E41184B">
                  <w:pPr>
                    <w:pStyle w:val="42"/>
                    <w:bidi w:val="0"/>
                    <w:jc w:val="center"/>
                    <w:rPr>
                      <w:rFonts w:hint="default"/>
                      <w:lang w:val="en-US" w:eastAsia="zh-CN"/>
                    </w:rPr>
                  </w:pPr>
                  <w:r>
                    <w:rPr>
                      <w:rFonts w:hint="eastAsia"/>
                      <w:lang w:val="en-US" w:eastAsia="zh-CN"/>
                    </w:rPr>
                    <w:t>31</w:t>
                  </w:r>
                </w:p>
              </w:tc>
              <w:tc>
                <w:tcPr>
                  <w:tcW w:w="2128" w:type="dxa"/>
                  <w:vAlign w:val="center"/>
                </w:tcPr>
                <w:p w14:paraId="40C10792">
                  <w:pPr>
                    <w:pStyle w:val="42"/>
                    <w:bidi w:val="0"/>
                    <w:jc w:val="center"/>
                    <w:rPr>
                      <w:rFonts w:hint="eastAsia"/>
                    </w:rPr>
                  </w:pPr>
                  <w:r>
                    <w:rPr>
                      <w:rFonts w:hint="eastAsia"/>
                    </w:rPr>
                    <w:t>电气系统</w:t>
                  </w:r>
                </w:p>
              </w:tc>
              <w:tc>
                <w:tcPr>
                  <w:tcW w:w="2140" w:type="dxa"/>
                  <w:vAlign w:val="center"/>
                </w:tcPr>
                <w:p w14:paraId="388026B3">
                  <w:pPr>
                    <w:pStyle w:val="42"/>
                    <w:bidi w:val="0"/>
                    <w:ind w:firstLine="0" w:firstLineChars="0"/>
                    <w:jc w:val="center"/>
                    <w:rPr>
                      <w:rFonts w:hint="default"/>
                      <w:lang w:val="en-US" w:eastAsia="zh-CN"/>
                    </w:rPr>
                  </w:pPr>
                  <w:r>
                    <w:rPr>
                      <w:rFonts w:hint="eastAsia"/>
                      <w:lang w:val="en-US" w:eastAsia="zh-CN"/>
                    </w:rPr>
                    <w:t>/</w:t>
                  </w:r>
                </w:p>
              </w:tc>
              <w:tc>
                <w:tcPr>
                  <w:tcW w:w="2130" w:type="dxa"/>
                  <w:vAlign w:val="center"/>
                </w:tcPr>
                <w:p w14:paraId="2EAC9796">
                  <w:pPr>
                    <w:pStyle w:val="42"/>
                    <w:bidi w:val="0"/>
                    <w:ind w:firstLine="0" w:firstLineChars="0"/>
                    <w:jc w:val="center"/>
                    <w:rPr>
                      <w:rFonts w:hint="default"/>
                      <w:lang w:val="en-US" w:eastAsia="zh-CN"/>
                    </w:rPr>
                  </w:pPr>
                  <w:r>
                    <w:rPr>
                      <w:rFonts w:hint="eastAsia"/>
                      <w:lang w:val="en-US" w:eastAsia="zh-CN"/>
                    </w:rPr>
                    <w:t>1</w:t>
                  </w:r>
                </w:p>
              </w:tc>
            </w:tr>
            <w:tr w14:paraId="11B9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3E1E2358">
                  <w:pPr>
                    <w:pStyle w:val="42"/>
                    <w:bidi w:val="0"/>
                    <w:jc w:val="center"/>
                    <w:rPr>
                      <w:rFonts w:hint="eastAsia"/>
                      <w:lang w:val="en-US" w:eastAsia="zh-CN"/>
                    </w:rPr>
                  </w:pPr>
                  <w:r>
                    <w:rPr>
                      <w:rFonts w:hint="eastAsia"/>
                      <w:lang w:val="en-US" w:eastAsia="zh-CN"/>
                    </w:rPr>
                    <w:t>六、废气处理系统</w:t>
                  </w:r>
                </w:p>
              </w:tc>
            </w:tr>
            <w:tr w14:paraId="6D2F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6852259C">
                  <w:pPr>
                    <w:pStyle w:val="42"/>
                    <w:bidi w:val="0"/>
                    <w:jc w:val="center"/>
                    <w:rPr>
                      <w:rFonts w:hint="default"/>
                      <w:lang w:val="en-US" w:eastAsia="zh-CN"/>
                    </w:rPr>
                  </w:pPr>
                  <w:r>
                    <w:rPr>
                      <w:rFonts w:hint="eastAsia"/>
                      <w:lang w:val="en-US" w:eastAsia="zh-CN"/>
                    </w:rPr>
                    <w:t>32</w:t>
                  </w:r>
                </w:p>
              </w:tc>
              <w:tc>
                <w:tcPr>
                  <w:tcW w:w="2128" w:type="dxa"/>
                  <w:vAlign w:val="center"/>
                </w:tcPr>
                <w:p w14:paraId="144BE333">
                  <w:pPr>
                    <w:pStyle w:val="42"/>
                    <w:bidi w:val="0"/>
                    <w:jc w:val="center"/>
                    <w:rPr>
                      <w:rFonts w:hint="eastAsia"/>
                    </w:rPr>
                  </w:pPr>
                  <w:r>
                    <w:rPr>
                      <w:rFonts w:hint="eastAsia"/>
                    </w:rPr>
                    <w:t>除臭塔</w:t>
                  </w:r>
                </w:p>
              </w:tc>
              <w:tc>
                <w:tcPr>
                  <w:tcW w:w="2140" w:type="dxa"/>
                  <w:vAlign w:val="center"/>
                </w:tcPr>
                <w:p w14:paraId="1478CE79">
                  <w:pPr>
                    <w:pStyle w:val="42"/>
                    <w:bidi w:val="0"/>
                    <w:ind w:firstLine="0" w:firstLineChars="0"/>
                    <w:jc w:val="center"/>
                    <w:rPr>
                      <w:rFonts w:hint="eastAsia"/>
                      <w:lang w:val="en-US" w:eastAsia="zh-CN"/>
                    </w:rPr>
                  </w:pPr>
                  <w:r>
                    <w:rPr>
                      <w:rFonts w:hint="eastAsia"/>
                      <w:lang w:val="en-US" w:eastAsia="zh-CN"/>
                    </w:rPr>
                    <w:t>SYXDT-800</w:t>
                  </w:r>
                </w:p>
              </w:tc>
              <w:tc>
                <w:tcPr>
                  <w:tcW w:w="2130" w:type="dxa"/>
                  <w:vAlign w:val="center"/>
                </w:tcPr>
                <w:p w14:paraId="76CD7644">
                  <w:pPr>
                    <w:pStyle w:val="42"/>
                    <w:bidi w:val="0"/>
                    <w:jc w:val="center"/>
                    <w:rPr>
                      <w:rFonts w:hint="default"/>
                      <w:lang w:val="en-US" w:eastAsia="zh-CN"/>
                    </w:rPr>
                  </w:pPr>
                  <w:r>
                    <w:rPr>
                      <w:rFonts w:hint="eastAsia"/>
                      <w:lang w:val="en-US" w:eastAsia="zh-CN"/>
                    </w:rPr>
                    <w:t>1</w:t>
                  </w:r>
                </w:p>
              </w:tc>
            </w:tr>
            <w:tr w14:paraId="1EB1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3B59DD4E">
                  <w:pPr>
                    <w:pStyle w:val="42"/>
                    <w:bidi w:val="0"/>
                    <w:jc w:val="center"/>
                    <w:rPr>
                      <w:rFonts w:hint="default"/>
                      <w:lang w:val="en-US" w:eastAsia="zh-CN"/>
                    </w:rPr>
                  </w:pPr>
                  <w:r>
                    <w:rPr>
                      <w:rFonts w:hint="eastAsia"/>
                      <w:lang w:val="en-US" w:eastAsia="zh-CN"/>
                    </w:rPr>
                    <w:t>33</w:t>
                  </w:r>
                </w:p>
              </w:tc>
              <w:tc>
                <w:tcPr>
                  <w:tcW w:w="2128" w:type="dxa"/>
                  <w:vAlign w:val="center"/>
                </w:tcPr>
                <w:p w14:paraId="5835E34C">
                  <w:pPr>
                    <w:pStyle w:val="42"/>
                    <w:bidi w:val="0"/>
                    <w:jc w:val="center"/>
                    <w:rPr>
                      <w:rFonts w:hint="eastAsia"/>
                    </w:rPr>
                  </w:pPr>
                  <w:r>
                    <w:rPr>
                      <w:rFonts w:hint="eastAsia"/>
                      <w:lang w:eastAsia="zh-CN"/>
                    </w:rPr>
                    <w:t>喷淋</w:t>
                  </w:r>
                  <w:r>
                    <w:rPr>
                      <w:rFonts w:hint="eastAsia"/>
                    </w:rPr>
                    <w:t>塔</w:t>
                  </w:r>
                </w:p>
              </w:tc>
              <w:tc>
                <w:tcPr>
                  <w:tcW w:w="2140" w:type="dxa"/>
                  <w:vAlign w:val="center"/>
                </w:tcPr>
                <w:p w14:paraId="2A372BE9">
                  <w:pPr>
                    <w:pStyle w:val="42"/>
                    <w:bidi w:val="0"/>
                    <w:ind w:firstLine="0" w:firstLineChars="0"/>
                    <w:jc w:val="center"/>
                    <w:rPr>
                      <w:rFonts w:hint="eastAsia"/>
                      <w:lang w:val="en-US" w:eastAsia="zh-CN"/>
                    </w:rPr>
                  </w:pPr>
                  <w:r>
                    <w:rPr>
                      <w:rFonts w:hint="eastAsia"/>
                      <w:lang w:val="en-US" w:eastAsia="zh-CN"/>
                    </w:rPr>
                    <w:t>/</w:t>
                  </w:r>
                </w:p>
              </w:tc>
              <w:tc>
                <w:tcPr>
                  <w:tcW w:w="2130" w:type="dxa"/>
                  <w:vAlign w:val="center"/>
                </w:tcPr>
                <w:p w14:paraId="5128E304">
                  <w:pPr>
                    <w:pStyle w:val="42"/>
                    <w:bidi w:val="0"/>
                    <w:jc w:val="center"/>
                    <w:rPr>
                      <w:rFonts w:hint="default"/>
                      <w:lang w:val="en-US" w:eastAsia="zh-CN"/>
                    </w:rPr>
                  </w:pPr>
                  <w:r>
                    <w:rPr>
                      <w:rFonts w:hint="eastAsia"/>
                      <w:lang w:val="en-US" w:eastAsia="zh-CN"/>
                    </w:rPr>
                    <w:t>1</w:t>
                  </w:r>
                </w:p>
              </w:tc>
            </w:tr>
            <w:tr w14:paraId="74FB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2360CE4C">
                  <w:pPr>
                    <w:pStyle w:val="42"/>
                    <w:bidi w:val="0"/>
                    <w:jc w:val="center"/>
                    <w:rPr>
                      <w:rFonts w:hint="default"/>
                      <w:lang w:val="en-US" w:eastAsia="zh-CN"/>
                    </w:rPr>
                  </w:pPr>
                  <w:r>
                    <w:rPr>
                      <w:rFonts w:hint="eastAsia"/>
                      <w:lang w:val="en-US" w:eastAsia="zh-CN"/>
                    </w:rPr>
                    <w:t>34</w:t>
                  </w:r>
                </w:p>
              </w:tc>
              <w:tc>
                <w:tcPr>
                  <w:tcW w:w="2128" w:type="dxa"/>
                  <w:vAlign w:val="center"/>
                </w:tcPr>
                <w:p w14:paraId="2F8D7C26">
                  <w:pPr>
                    <w:pStyle w:val="42"/>
                    <w:bidi w:val="0"/>
                    <w:jc w:val="center"/>
                    <w:rPr>
                      <w:rFonts w:hint="eastAsia"/>
                    </w:rPr>
                  </w:pPr>
                  <w:r>
                    <w:rPr>
                      <w:rFonts w:hint="eastAsia"/>
                    </w:rPr>
                    <w:t>PP耐腐蚀风机</w:t>
                  </w:r>
                </w:p>
              </w:tc>
              <w:tc>
                <w:tcPr>
                  <w:tcW w:w="2140" w:type="dxa"/>
                  <w:vAlign w:val="center"/>
                </w:tcPr>
                <w:p w14:paraId="5130F0F1">
                  <w:pPr>
                    <w:pStyle w:val="42"/>
                    <w:bidi w:val="0"/>
                    <w:ind w:firstLine="0" w:firstLineChars="0"/>
                    <w:jc w:val="center"/>
                    <w:rPr>
                      <w:rFonts w:hint="eastAsia"/>
                      <w:lang w:val="en-US" w:eastAsia="zh-CN"/>
                    </w:rPr>
                  </w:pPr>
                  <w:r>
                    <w:rPr>
                      <w:rFonts w:hint="eastAsia"/>
                      <w:lang w:val="en-US" w:eastAsia="zh-CN"/>
                    </w:rPr>
                    <w:t>SYFJ-22</w:t>
                  </w:r>
                </w:p>
              </w:tc>
              <w:tc>
                <w:tcPr>
                  <w:tcW w:w="2130" w:type="dxa"/>
                  <w:vAlign w:val="center"/>
                </w:tcPr>
                <w:p w14:paraId="54AC5FFC">
                  <w:pPr>
                    <w:pStyle w:val="42"/>
                    <w:bidi w:val="0"/>
                    <w:jc w:val="center"/>
                    <w:rPr>
                      <w:rFonts w:hint="default"/>
                      <w:lang w:val="en-US" w:eastAsia="zh-CN"/>
                    </w:rPr>
                  </w:pPr>
                  <w:r>
                    <w:rPr>
                      <w:rFonts w:hint="eastAsia"/>
                      <w:lang w:val="en-US" w:eastAsia="zh-CN"/>
                    </w:rPr>
                    <w:t>1</w:t>
                  </w:r>
                </w:p>
              </w:tc>
            </w:tr>
            <w:tr w14:paraId="38FA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79530735">
                  <w:pPr>
                    <w:pStyle w:val="42"/>
                    <w:bidi w:val="0"/>
                    <w:jc w:val="center"/>
                    <w:rPr>
                      <w:rFonts w:hint="default"/>
                      <w:lang w:val="en-US" w:eastAsia="zh-CN"/>
                    </w:rPr>
                  </w:pPr>
                  <w:r>
                    <w:rPr>
                      <w:rFonts w:hint="eastAsia"/>
                      <w:lang w:val="en-US" w:eastAsia="zh-CN"/>
                    </w:rPr>
                    <w:t>35</w:t>
                  </w:r>
                </w:p>
              </w:tc>
              <w:tc>
                <w:tcPr>
                  <w:tcW w:w="2128" w:type="dxa"/>
                  <w:vAlign w:val="center"/>
                </w:tcPr>
                <w:p w14:paraId="472E8D1E">
                  <w:pPr>
                    <w:pStyle w:val="42"/>
                    <w:bidi w:val="0"/>
                    <w:jc w:val="center"/>
                    <w:rPr>
                      <w:rFonts w:hint="eastAsia"/>
                    </w:rPr>
                  </w:pPr>
                  <w:r>
                    <w:rPr>
                      <w:rFonts w:hint="eastAsia"/>
                    </w:rPr>
                    <w:t>车间及设备连接</w:t>
                  </w:r>
                </w:p>
              </w:tc>
              <w:tc>
                <w:tcPr>
                  <w:tcW w:w="2140" w:type="dxa"/>
                  <w:vAlign w:val="center"/>
                </w:tcPr>
                <w:p w14:paraId="45FF4CCE">
                  <w:pPr>
                    <w:pStyle w:val="42"/>
                    <w:bidi w:val="0"/>
                    <w:ind w:firstLine="0" w:firstLineChars="0"/>
                    <w:jc w:val="center"/>
                    <w:rPr>
                      <w:rFonts w:hint="eastAsia"/>
                      <w:lang w:val="en-US" w:eastAsia="zh-CN"/>
                    </w:rPr>
                  </w:pPr>
                  <w:r>
                    <w:rPr>
                      <w:rFonts w:hint="eastAsia"/>
                      <w:lang w:val="en-US" w:eastAsia="zh-CN"/>
                    </w:rPr>
                    <w:t>SYGD-800</w:t>
                  </w:r>
                </w:p>
              </w:tc>
              <w:tc>
                <w:tcPr>
                  <w:tcW w:w="2130" w:type="dxa"/>
                  <w:vAlign w:val="center"/>
                </w:tcPr>
                <w:p w14:paraId="6234DDDD">
                  <w:pPr>
                    <w:pStyle w:val="42"/>
                    <w:bidi w:val="0"/>
                    <w:jc w:val="center"/>
                    <w:rPr>
                      <w:rFonts w:hint="default"/>
                      <w:lang w:val="en-US" w:eastAsia="zh-CN"/>
                    </w:rPr>
                  </w:pPr>
                  <w:r>
                    <w:rPr>
                      <w:rFonts w:hint="eastAsia"/>
                      <w:lang w:val="en-US" w:eastAsia="zh-CN"/>
                    </w:rPr>
                    <w:t>1</w:t>
                  </w:r>
                </w:p>
              </w:tc>
            </w:tr>
            <w:tr w14:paraId="3256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050EE938">
                  <w:pPr>
                    <w:pStyle w:val="42"/>
                    <w:bidi w:val="0"/>
                    <w:jc w:val="center"/>
                    <w:rPr>
                      <w:rFonts w:hint="default"/>
                      <w:lang w:val="en-US" w:eastAsia="zh-CN"/>
                    </w:rPr>
                  </w:pPr>
                  <w:r>
                    <w:rPr>
                      <w:rFonts w:hint="eastAsia"/>
                      <w:lang w:val="en-US" w:eastAsia="zh-CN"/>
                    </w:rPr>
                    <w:t>36</w:t>
                  </w:r>
                </w:p>
              </w:tc>
              <w:tc>
                <w:tcPr>
                  <w:tcW w:w="2128" w:type="dxa"/>
                  <w:vAlign w:val="center"/>
                </w:tcPr>
                <w:p w14:paraId="2FB3ED8F">
                  <w:pPr>
                    <w:pStyle w:val="42"/>
                    <w:bidi w:val="0"/>
                    <w:jc w:val="center"/>
                    <w:rPr>
                      <w:rFonts w:hint="eastAsia"/>
                    </w:rPr>
                  </w:pPr>
                  <w:r>
                    <w:rPr>
                      <w:rFonts w:hint="eastAsia"/>
                    </w:rPr>
                    <w:t>管道</w:t>
                  </w:r>
                </w:p>
              </w:tc>
              <w:tc>
                <w:tcPr>
                  <w:tcW w:w="2140" w:type="dxa"/>
                  <w:vAlign w:val="center"/>
                </w:tcPr>
                <w:p w14:paraId="5CE42EEE">
                  <w:pPr>
                    <w:pStyle w:val="42"/>
                    <w:bidi w:val="0"/>
                    <w:ind w:firstLine="0" w:firstLineChars="0"/>
                    <w:jc w:val="center"/>
                    <w:rPr>
                      <w:rFonts w:hint="eastAsia"/>
                      <w:lang w:val="en-US" w:eastAsia="zh-CN"/>
                    </w:rPr>
                  </w:pPr>
                  <w:r>
                    <w:rPr>
                      <w:rFonts w:hint="eastAsia"/>
                      <w:lang w:val="en-US" w:eastAsia="zh-CN"/>
                    </w:rPr>
                    <w:t>SYYT-800</w:t>
                  </w:r>
                </w:p>
              </w:tc>
              <w:tc>
                <w:tcPr>
                  <w:tcW w:w="2130" w:type="dxa"/>
                  <w:vAlign w:val="center"/>
                </w:tcPr>
                <w:p w14:paraId="1A16FB99">
                  <w:pPr>
                    <w:pStyle w:val="42"/>
                    <w:bidi w:val="0"/>
                    <w:jc w:val="center"/>
                    <w:rPr>
                      <w:rFonts w:hint="default"/>
                      <w:lang w:val="en-US" w:eastAsia="zh-CN"/>
                    </w:rPr>
                  </w:pPr>
                  <w:r>
                    <w:rPr>
                      <w:rFonts w:hint="eastAsia"/>
                      <w:lang w:val="en-US" w:eastAsia="zh-CN"/>
                    </w:rPr>
                    <w:t>1</w:t>
                  </w:r>
                </w:p>
              </w:tc>
            </w:tr>
            <w:tr w14:paraId="6D45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1483CAEE">
                  <w:pPr>
                    <w:pStyle w:val="42"/>
                    <w:bidi w:val="0"/>
                    <w:jc w:val="center"/>
                    <w:rPr>
                      <w:rFonts w:hint="default"/>
                      <w:lang w:val="en-US" w:eastAsia="zh-CN"/>
                    </w:rPr>
                  </w:pPr>
                  <w:r>
                    <w:rPr>
                      <w:rFonts w:hint="eastAsia"/>
                      <w:lang w:val="en-US" w:eastAsia="zh-CN"/>
                    </w:rPr>
                    <w:t>37</w:t>
                  </w:r>
                </w:p>
              </w:tc>
              <w:tc>
                <w:tcPr>
                  <w:tcW w:w="2128" w:type="dxa"/>
                  <w:vAlign w:val="center"/>
                </w:tcPr>
                <w:p w14:paraId="7540AD27">
                  <w:pPr>
                    <w:pStyle w:val="42"/>
                    <w:bidi w:val="0"/>
                    <w:jc w:val="center"/>
                    <w:rPr>
                      <w:rFonts w:hint="eastAsia"/>
                    </w:rPr>
                  </w:pPr>
                  <w:r>
                    <w:rPr>
                      <w:rFonts w:hint="eastAsia"/>
                    </w:rPr>
                    <w:t>排气筒</w:t>
                  </w:r>
                </w:p>
              </w:tc>
              <w:tc>
                <w:tcPr>
                  <w:tcW w:w="2140" w:type="dxa"/>
                  <w:vAlign w:val="center"/>
                </w:tcPr>
                <w:p w14:paraId="6229A470">
                  <w:pPr>
                    <w:pStyle w:val="42"/>
                    <w:bidi w:val="0"/>
                    <w:ind w:firstLine="0" w:firstLineChars="0"/>
                    <w:jc w:val="center"/>
                    <w:rPr>
                      <w:rFonts w:hint="eastAsia"/>
                      <w:lang w:val="en-US" w:eastAsia="zh-CN"/>
                    </w:rPr>
                  </w:pPr>
                  <w:r>
                    <w:rPr>
                      <w:rFonts w:hint="eastAsia"/>
                      <w:lang w:val="en-US" w:eastAsia="zh-CN"/>
                    </w:rPr>
                    <w:t>/</w:t>
                  </w:r>
                </w:p>
              </w:tc>
              <w:tc>
                <w:tcPr>
                  <w:tcW w:w="2130" w:type="dxa"/>
                  <w:vAlign w:val="center"/>
                </w:tcPr>
                <w:p w14:paraId="3234E0CA">
                  <w:pPr>
                    <w:pStyle w:val="42"/>
                    <w:bidi w:val="0"/>
                    <w:jc w:val="center"/>
                    <w:rPr>
                      <w:rFonts w:hint="default"/>
                      <w:lang w:val="en-US" w:eastAsia="zh-CN"/>
                    </w:rPr>
                  </w:pPr>
                  <w:r>
                    <w:rPr>
                      <w:rFonts w:hint="eastAsia"/>
                      <w:lang w:val="en-US" w:eastAsia="zh-CN"/>
                    </w:rPr>
                    <w:t>1</w:t>
                  </w:r>
                </w:p>
              </w:tc>
            </w:tr>
            <w:tr w14:paraId="01EE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64AE7AB7">
                  <w:pPr>
                    <w:pStyle w:val="42"/>
                    <w:bidi w:val="0"/>
                    <w:jc w:val="center"/>
                    <w:rPr>
                      <w:rFonts w:hint="default"/>
                      <w:lang w:val="en-US" w:eastAsia="zh-CN"/>
                    </w:rPr>
                  </w:pPr>
                  <w:r>
                    <w:rPr>
                      <w:rFonts w:hint="eastAsia"/>
                      <w:lang w:val="en-US" w:eastAsia="zh-CN"/>
                    </w:rPr>
                    <w:t>38</w:t>
                  </w:r>
                </w:p>
              </w:tc>
              <w:tc>
                <w:tcPr>
                  <w:tcW w:w="2128" w:type="dxa"/>
                  <w:vAlign w:val="center"/>
                </w:tcPr>
                <w:p w14:paraId="217A2921">
                  <w:pPr>
                    <w:pStyle w:val="42"/>
                    <w:bidi w:val="0"/>
                    <w:jc w:val="center"/>
                    <w:rPr>
                      <w:rFonts w:hint="eastAsia"/>
                    </w:rPr>
                  </w:pPr>
                  <w:r>
                    <w:rPr>
                      <w:rFonts w:hint="eastAsia"/>
                    </w:rPr>
                    <w:t>排气筒</w:t>
                  </w:r>
                </w:p>
              </w:tc>
              <w:tc>
                <w:tcPr>
                  <w:tcW w:w="2140" w:type="dxa"/>
                  <w:vAlign w:val="center"/>
                </w:tcPr>
                <w:p w14:paraId="2A86620C">
                  <w:pPr>
                    <w:pStyle w:val="42"/>
                    <w:bidi w:val="0"/>
                    <w:ind w:firstLine="0" w:firstLineChars="0"/>
                    <w:jc w:val="center"/>
                    <w:rPr>
                      <w:rFonts w:hint="eastAsia"/>
                      <w:lang w:val="en-US" w:eastAsia="zh-CN"/>
                    </w:rPr>
                  </w:pPr>
                  <w:r>
                    <w:rPr>
                      <w:rFonts w:hint="eastAsia"/>
                      <w:lang w:val="en-US" w:eastAsia="zh-CN"/>
                    </w:rPr>
                    <w:t>/</w:t>
                  </w:r>
                </w:p>
              </w:tc>
              <w:tc>
                <w:tcPr>
                  <w:tcW w:w="2130" w:type="dxa"/>
                  <w:vAlign w:val="center"/>
                </w:tcPr>
                <w:p w14:paraId="56B53CD7">
                  <w:pPr>
                    <w:pStyle w:val="42"/>
                    <w:bidi w:val="0"/>
                    <w:jc w:val="center"/>
                    <w:rPr>
                      <w:rFonts w:hint="default"/>
                      <w:lang w:val="en-US" w:eastAsia="zh-CN"/>
                    </w:rPr>
                  </w:pPr>
                  <w:r>
                    <w:rPr>
                      <w:rFonts w:hint="eastAsia"/>
                      <w:lang w:val="en-US" w:eastAsia="zh-CN"/>
                    </w:rPr>
                    <w:t>1</w:t>
                  </w:r>
                </w:p>
              </w:tc>
            </w:tr>
            <w:tr w14:paraId="3699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05217F84">
                  <w:pPr>
                    <w:pStyle w:val="42"/>
                    <w:bidi w:val="0"/>
                    <w:jc w:val="center"/>
                    <w:rPr>
                      <w:rFonts w:hint="default"/>
                      <w:lang w:val="en-US" w:eastAsia="zh-CN"/>
                    </w:rPr>
                  </w:pPr>
                  <w:r>
                    <w:rPr>
                      <w:rFonts w:hint="eastAsia"/>
                      <w:lang w:val="en-US" w:eastAsia="zh-CN"/>
                    </w:rPr>
                    <w:t>39</w:t>
                  </w:r>
                </w:p>
              </w:tc>
              <w:tc>
                <w:tcPr>
                  <w:tcW w:w="2128" w:type="dxa"/>
                  <w:vAlign w:val="center"/>
                </w:tcPr>
                <w:p w14:paraId="2473A370">
                  <w:pPr>
                    <w:pStyle w:val="42"/>
                    <w:bidi w:val="0"/>
                    <w:jc w:val="center"/>
                    <w:rPr>
                      <w:rFonts w:hint="eastAsia"/>
                    </w:rPr>
                  </w:pPr>
                  <w:r>
                    <w:rPr>
                      <w:rFonts w:hint="eastAsia"/>
                    </w:rPr>
                    <w:t>电气系统</w:t>
                  </w:r>
                </w:p>
              </w:tc>
              <w:tc>
                <w:tcPr>
                  <w:tcW w:w="2140" w:type="dxa"/>
                  <w:vAlign w:val="center"/>
                </w:tcPr>
                <w:p w14:paraId="2D6CF39B">
                  <w:pPr>
                    <w:pStyle w:val="42"/>
                    <w:bidi w:val="0"/>
                    <w:ind w:firstLine="0" w:firstLineChars="0"/>
                    <w:jc w:val="center"/>
                    <w:rPr>
                      <w:rFonts w:hint="eastAsia"/>
                      <w:lang w:val="en-US" w:eastAsia="zh-CN"/>
                    </w:rPr>
                  </w:pPr>
                  <w:r>
                    <w:rPr>
                      <w:rFonts w:hint="eastAsia"/>
                      <w:lang w:val="en-US" w:eastAsia="zh-CN"/>
                    </w:rPr>
                    <w:t>/</w:t>
                  </w:r>
                </w:p>
              </w:tc>
              <w:tc>
                <w:tcPr>
                  <w:tcW w:w="2130" w:type="dxa"/>
                  <w:vAlign w:val="center"/>
                </w:tcPr>
                <w:p w14:paraId="2F808A53">
                  <w:pPr>
                    <w:pStyle w:val="42"/>
                    <w:bidi w:val="0"/>
                    <w:jc w:val="center"/>
                    <w:rPr>
                      <w:rFonts w:hint="default"/>
                      <w:lang w:val="en-US" w:eastAsia="zh-CN"/>
                    </w:rPr>
                  </w:pPr>
                  <w:r>
                    <w:rPr>
                      <w:rFonts w:hint="eastAsia"/>
                      <w:lang w:val="en-US" w:eastAsia="zh-CN"/>
                    </w:rPr>
                    <w:t>4</w:t>
                  </w:r>
                </w:p>
              </w:tc>
            </w:tr>
            <w:tr w14:paraId="08E5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0E6EA1C3">
                  <w:pPr>
                    <w:pStyle w:val="42"/>
                    <w:bidi w:val="0"/>
                    <w:jc w:val="center"/>
                    <w:rPr>
                      <w:rFonts w:hint="eastAsia"/>
                      <w:lang w:val="en-US" w:eastAsia="zh-CN"/>
                    </w:rPr>
                  </w:pPr>
                  <w:r>
                    <w:rPr>
                      <w:rFonts w:hint="eastAsia"/>
                      <w:lang w:val="en-US" w:eastAsia="zh-CN"/>
                    </w:rPr>
                    <w:t>七、废水处理系统</w:t>
                  </w:r>
                </w:p>
              </w:tc>
            </w:tr>
            <w:tr w14:paraId="260D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0B1E63C9">
                  <w:pPr>
                    <w:pStyle w:val="42"/>
                    <w:bidi w:val="0"/>
                    <w:jc w:val="center"/>
                    <w:rPr>
                      <w:rFonts w:hint="default"/>
                      <w:lang w:val="en-US" w:eastAsia="zh-CN"/>
                    </w:rPr>
                  </w:pPr>
                  <w:r>
                    <w:rPr>
                      <w:rFonts w:hint="eastAsia"/>
                      <w:lang w:val="en-US" w:eastAsia="zh-CN"/>
                    </w:rPr>
                    <w:t>40</w:t>
                  </w:r>
                </w:p>
              </w:tc>
              <w:tc>
                <w:tcPr>
                  <w:tcW w:w="2128" w:type="dxa"/>
                  <w:vAlign w:val="center"/>
                </w:tcPr>
                <w:p w14:paraId="5E52E034">
                  <w:pPr>
                    <w:pStyle w:val="42"/>
                    <w:bidi w:val="0"/>
                    <w:jc w:val="center"/>
                    <w:rPr>
                      <w:rFonts w:hint="eastAsia"/>
                    </w:rPr>
                  </w:pPr>
                  <w:r>
                    <w:rPr>
                      <w:rFonts w:hint="eastAsia"/>
                    </w:rPr>
                    <w:t>黑膜厌氧发酵池</w:t>
                  </w:r>
                </w:p>
              </w:tc>
              <w:tc>
                <w:tcPr>
                  <w:tcW w:w="2140" w:type="dxa"/>
                  <w:vAlign w:val="center"/>
                </w:tcPr>
                <w:p w14:paraId="7059E746">
                  <w:pPr>
                    <w:pStyle w:val="42"/>
                    <w:bidi w:val="0"/>
                    <w:ind w:firstLine="0" w:firstLineChars="0"/>
                    <w:jc w:val="center"/>
                    <w:rPr>
                      <w:rFonts w:hint="eastAsia"/>
                      <w:lang w:val="en-US" w:eastAsia="zh-CN"/>
                    </w:rPr>
                  </w:pPr>
                  <w:r>
                    <w:rPr>
                      <w:rFonts w:hint="eastAsia"/>
                      <w:lang w:val="en-US" w:eastAsia="zh-CN"/>
                    </w:rPr>
                    <w:t>TQFJ-88</w:t>
                  </w:r>
                </w:p>
              </w:tc>
              <w:tc>
                <w:tcPr>
                  <w:tcW w:w="2130" w:type="dxa"/>
                  <w:vAlign w:val="center"/>
                </w:tcPr>
                <w:p w14:paraId="08F499A0">
                  <w:pPr>
                    <w:pStyle w:val="42"/>
                    <w:bidi w:val="0"/>
                    <w:jc w:val="center"/>
                    <w:rPr>
                      <w:rFonts w:hint="default"/>
                      <w:lang w:val="en-US" w:eastAsia="zh-CN"/>
                    </w:rPr>
                  </w:pPr>
                  <w:r>
                    <w:rPr>
                      <w:rFonts w:hint="eastAsia"/>
                      <w:lang w:val="en-US" w:eastAsia="zh-CN"/>
                    </w:rPr>
                    <w:t>1</w:t>
                  </w:r>
                </w:p>
              </w:tc>
            </w:tr>
            <w:tr w14:paraId="5999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6CA2EF17">
                  <w:pPr>
                    <w:pStyle w:val="42"/>
                    <w:bidi w:val="0"/>
                    <w:jc w:val="center"/>
                    <w:rPr>
                      <w:rFonts w:hint="default"/>
                      <w:lang w:val="en-US" w:eastAsia="zh-CN"/>
                    </w:rPr>
                  </w:pPr>
                  <w:r>
                    <w:rPr>
                      <w:rFonts w:hint="eastAsia"/>
                      <w:lang w:val="en-US" w:eastAsia="zh-CN"/>
                    </w:rPr>
                    <w:t>41</w:t>
                  </w:r>
                </w:p>
              </w:tc>
              <w:tc>
                <w:tcPr>
                  <w:tcW w:w="2128" w:type="dxa"/>
                  <w:vAlign w:val="center"/>
                </w:tcPr>
                <w:p w14:paraId="6FC115D4">
                  <w:pPr>
                    <w:pStyle w:val="42"/>
                    <w:bidi w:val="0"/>
                    <w:jc w:val="center"/>
                    <w:rPr>
                      <w:rFonts w:hint="eastAsia"/>
                    </w:rPr>
                  </w:pPr>
                  <w:r>
                    <w:rPr>
                      <w:rFonts w:hint="eastAsia"/>
                    </w:rPr>
                    <w:t>地埋暂存池</w:t>
                  </w:r>
                </w:p>
              </w:tc>
              <w:tc>
                <w:tcPr>
                  <w:tcW w:w="2140" w:type="dxa"/>
                  <w:vAlign w:val="center"/>
                </w:tcPr>
                <w:p w14:paraId="0FB5C93D">
                  <w:pPr>
                    <w:pStyle w:val="42"/>
                    <w:bidi w:val="0"/>
                    <w:ind w:firstLine="0" w:firstLineChars="0"/>
                    <w:jc w:val="center"/>
                    <w:rPr>
                      <w:rFonts w:hint="eastAsia"/>
                      <w:lang w:val="en-US" w:eastAsia="zh-CN"/>
                    </w:rPr>
                  </w:pPr>
                  <w:r>
                    <w:rPr>
                      <w:rFonts w:hint="eastAsia"/>
                      <w:lang w:val="en-US" w:eastAsia="zh-CN"/>
                    </w:rPr>
                    <w:t>/</w:t>
                  </w:r>
                </w:p>
              </w:tc>
              <w:tc>
                <w:tcPr>
                  <w:tcW w:w="2130" w:type="dxa"/>
                  <w:vAlign w:val="center"/>
                </w:tcPr>
                <w:p w14:paraId="1297EA3C">
                  <w:pPr>
                    <w:pStyle w:val="42"/>
                    <w:bidi w:val="0"/>
                    <w:jc w:val="center"/>
                    <w:rPr>
                      <w:rFonts w:hint="default"/>
                      <w:lang w:val="en-US" w:eastAsia="zh-CN"/>
                    </w:rPr>
                  </w:pPr>
                  <w:r>
                    <w:rPr>
                      <w:rFonts w:hint="eastAsia"/>
                      <w:lang w:val="en-US" w:eastAsia="zh-CN"/>
                    </w:rPr>
                    <w:t>1</w:t>
                  </w:r>
                </w:p>
              </w:tc>
            </w:tr>
            <w:tr w14:paraId="1235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4B66A549">
                  <w:pPr>
                    <w:pStyle w:val="42"/>
                    <w:bidi w:val="0"/>
                    <w:jc w:val="center"/>
                    <w:rPr>
                      <w:rFonts w:hint="default"/>
                      <w:lang w:val="en-US" w:eastAsia="zh-CN"/>
                    </w:rPr>
                  </w:pPr>
                  <w:r>
                    <w:rPr>
                      <w:rFonts w:hint="eastAsia"/>
                      <w:lang w:val="en-US" w:eastAsia="zh-CN"/>
                    </w:rPr>
                    <w:t>42</w:t>
                  </w:r>
                </w:p>
              </w:tc>
              <w:tc>
                <w:tcPr>
                  <w:tcW w:w="2128" w:type="dxa"/>
                  <w:vAlign w:val="center"/>
                </w:tcPr>
                <w:p w14:paraId="2830776B">
                  <w:pPr>
                    <w:pStyle w:val="42"/>
                    <w:bidi w:val="0"/>
                    <w:jc w:val="center"/>
                    <w:rPr>
                      <w:rFonts w:hint="eastAsia"/>
                    </w:rPr>
                  </w:pPr>
                  <w:r>
                    <w:rPr>
                      <w:rFonts w:hint="eastAsia"/>
                    </w:rPr>
                    <w:t>水泵</w:t>
                  </w:r>
                </w:p>
              </w:tc>
              <w:tc>
                <w:tcPr>
                  <w:tcW w:w="2140" w:type="dxa"/>
                  <w:vAlign w:val="center"/>
                </w:tcPr>
                <w:p w14:paraId="6BEDDB5B">
                  <w:pPr>
                    <w:pStyle w:val="42"/>
                    <w:bidi w:val="0"/>
                    <w:ind w:firstLine="0" w:firstLineChars="0"/>
                    <w:jc w:val="center"/>
                    <w:rPr>
                      <w:rFonts w:hint="eastAsia"/>
                      <w:lang w:val="en-US" w:eastAsia="zh-CN"/>
                    </w:rPr>
                  </w:pPr>
                  <w:r>
                    <w:rPr>
                      <w:rFonts w:hint="eastAsia"/>
                      <w:lang w:val="en-US" w:eastAsia="zh-CN"/>
                    </w:rPr>
                    <w:t>/</w:t>
                  </w:r>
                </w:p>
              </w:tc>
              <w:tc>
                <w:tcPr>
                  <w:tcW w:w="2130" w:type="dxa"/>
                  <w:vAlign w:val="center"/>
                </w:tcPr>
                <w:p w14:paraId="48872939">
                  <w:pPr>
                    <w:pStyle w:val="42"/>
                    <w:bidi w:val="0"/>
                    <w:jc w:val="center"/>
                    <w:rPr>
                      <w:rFonts w:hint="default"/>
                      <w:lang w:val="en-US" w:eastAsia="zh-CN"/>
                    </w:rPr>
                  </w:pPr>
                  <w:r>
                    <w:rPr>
                      <w:rFonts w:hint="eastAsia"/>
                      <w:lang w:val="en-US" w:eastAsia="zh-CN"/>
                    </w:rPr>
                    <w:t>3</w:t>
                  </w:r>
                </w:p>
              </w:tc>
            </w:tr>
            <w:tr w14:paraId="7898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3F130E4D">
                  <w:pPr>
                    <w:pStyle w:val="42"/>
                    <w:bidi w:val="0"/>
                    <w:jc w:val="center"/>
                    <w:rPr>
                      <w:rFonts w:hint="default"/>
                      <w:lang w:val="en-US" w:eastAsia="zh-CN"/>
                    </w:rPr>
                  </w:pPr>
                  <w:r>
                    <w:rPr>
                      <w:rFonts w:hint="eastAsia"/>
                      <w:lang w:val="en-US" w:eastAsia="zh-CN"/>
                    </w:rPr>
                    <w:t>43</w:t>
                  </w:r>
                </w:p>
              </w:tc>
              <w:tc>
                <w:tcPr>
                  <w:tcW w:w="2128" w:type="dxa"/>
                  <w:vAlign w:val="center"/>
                </w:tcPr>
                <w:p w14:paraId="206D2ED1">
                  <w:pPr>
                    <w:pStyle w:val="42"/>
                    <w:bidi w:val="0"/>
                    <w:jc w:val="center"/>
                    <w:rPr>
                      <w:rFonts w:hint="eastAsia"/>
                    </w:rPr>
                  </w:pPr>
                  <w:r>
                    <w:rPr>
                      <w:rFonts w:hint="eastAsia"/>
                    </w:rPr>
                    <w:t>收集罐</w:t>
                  </w:r>
                </w:p>
              </w:tc>
              <w:tc>
                <w:tcPr>
                  <w:tcW w:w="2140" w:type="dxa"/>
                  <w:vAlign w:val="center"/>
                </w:tcPr>
                <w:p w14:paraId="546C40EF">
                  <w:pPr>
                    <w:pStyle w:val="42"/>
                    <w:bidi w:val="0"/>
                    <w:ind w:firstLine="0" w:firstLineChars="0"/>
                    <w:jc w:val="center"/>
                    <w:rPr>
                      <w:rFonts w:hint="eastAsia"/>
                      <w:lang w:val="en-US" w:eastAsia="zh-CN"/>
                    </w:rPr>
                  </w:pPr>
                  <w:r>
                    <w:rPr>
                      <w:rFonts w:hint="eastAsia"/>
                      <w:lang w:val="en-US" w:eastAsia="zh-CN"/>
                    </w:rPr>
                    <w:t>/</w:t>
                  </w:r>
                </w:p>
              </w:tc>
              <w:tc>
                <w:tcPr>
                  <w:tcW w:w="2130" w:type="dxa"/>
                  <w:vAlign w:val="center"/>
                </w:tcPr>
                <w:p w14:paraId="5CEB721E">
                  <w:pPr>
                    <w:pStyle w:val="42"/>
                    <w:bidi w:val="0"/>
                    <w:jc w:val="center"/>
                    <w:rPr>
                      <w:rFonts w:hint="default"/>
                      <w:lang w:val="en-US" w:eastAsia="zh-CN"/>
                    </w:rPr>
                  </w:pPr>
                  <w:r>
                    <w:rPr>
                      <w:rFonts w:hint="eastAsia"/>
                      <w:lang w:val="en-US" w:eastAsia="zh-CN"/>
                    </w:rPr>
                    <w:t>1</w:t>
                  </w:r>
                </w:p>
              </w:tc>
            </w:tr>
            <w:tr w14:paraId="3F49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3F60AE00">
                  <w:pPr>
                    <w:pStyle w:val="42"/>
                    <w:bidi w:val="0"/>
                    <w:jc w:val="center"/>
                    <w:rPr>
                      <w:rFonts w:hint="eastAsia"/>
                      <w:lang w:val="en-US" w:eastAsia="zh-CN"/>
                    </w:rPr>
                  </w:pPr>
                  <w:r>
                    <w:rPr>
                      <w:rFonts w:hint="eastAsia"/>
                      <w:lang w:val="en-US" w:eastAsia="zh-CN"/>
                    </w:rPr>
                    <w:t>八、冷库</w:t>
                  </w:r>
                </w:p>
              </w:tc>
            </w:tr>
            <w:tr w14:paraId="3E68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4971D3F7">
                  <w:pPr>
                    <w:pStyle w:val="42"/>
                    <w:bidi w:val="0"/>
                    <w:jc w:val="center"/>
                    <w:rPr>
                      <w:rFonts w:hint="default"/>
                      <w:lang w:val="en-US" w:eastAsia="zh-CN"/>
                    </w:rPr>
                  </w:pPr>
                  <w:r>
                    <w:rPr>
                      <w:rFonts w:hint="eastAsia"/>
                      <w:lang w:val="en-US" w:eastAsia="zh-CN"/>
                    </w:rPr>
                    <w:t>44</w:t>
                  </w:r>
                </w:p>
              </w:tc>
              <w:tc>
                <w:tcPr>
                  <w:tcW w:w="2128" w:type="dxa"/>
                  <w:vAlign w:val="center"/>
                </w:tcPr>
                <w:p w14:paraId="2571F696">
                  <w:pPr>
                    <w:pStyle w:val="42"/>
                    <w:bidi w:val="0"/>
                    <w:jc w:val="center"/>
                    <w:rPr>
                      <w:rFonts w:hint="eastAsia"/>
                    </w:rPr>
                  </w:pPr>
                  <w:r>
                    <w:rPr>
                      <w:rFonts w:hint="eastAsia"/>
                    </w:rPr>
                    <w:t>288立方冷库</w:t>
                  </w:r>
                </w:p>
              </w:tc>
              <w:tc>
                <w:tcPr>
                  <w:tcW w:w="2140" w:type="dxa"/>
                  <w:vAlign w:val="center"/>
                </w:tcPr>
                <w:p w14:paraId="44302876">
                  <w:pPr>
                    <w:pStyle w:val="42"/>
                    <w:bidi w:val="0"/>
                    <w:ind w:firstLine="0" w:firstLineChars="0"/>
                    <w:jc w:val="center"/>
                    <w:rPr>
                      <w:rFonts w:hint="eastAsia"/>
                      <w:lang w:val="en-US" w:eastAsia="zh-CN"/>
                    </w:rPr>
                  </w:pPr>
                  <w:r>
                    <w:rPr>
                      <w:rFonts w:hint="eastAsia"/>
                      <w:lang w:val="en-US" w:eastAsia="zh-CN"/>
                    </w:rPr>
                    <w:t>TQLQ-88</w:t>
                  </w:r>
                </w:p>
              </w:tc>
              <w:tc>
                <w:tcPr>
                  <w:tcW w:w="2130" w:type="dxa"/>
                  <w:vAlign w:val="center"/>
                </w:tcPr>
                <w:p w14:paraId="12541D9E">
                  <w:pPr>
                    <w:pStyle w:val="42"/>
                    <w:bidi w:val="0"/>
                    <w:jc w:val="center"/>
                    <w:rPr>
                      <w:rFonts w:hint="default"/>
                      <w:lang w:val="en-US" w:eastAsia="zh-CN"/>
                    </w:rPr>
                  </w:pPr>
                  <w:r>
                    <w:rPr>
                      <w:rFonts w:hint="eastAsia"/>
                      <w:lang w:val="en-US" w:eastAsia="zh-CN"/>
                    </w:rPr>
                    <w:t>1</w:t>
                  </w:r>
                </w:p>
              </w:tc>
            </w:tr>
            <w:tr w14:paraId="2759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356A709A">
                  <w:pPr>
                    <w:pStyle w:val="42"/>
                    <w:bidi w:val="0"/>
                    <w:jc w:val="center"/>
                    <w:rPr>
                      <w:rFonts w:hint="eastAsia"/>
                      <w:lang w:val="en-US" w:eastAsia="zh-CN"/>
                    </w:rPr>
                  </w:pPr>
                  <w:r>
                    <w:rPr>
                      <w:rFonts w:hint="eastAsia"/>
                      <w:lang w:val="en-US" w:eastAsia="zh-CN"/>
                    </w:rPr>
                    <w:t>九、车辆</w:t>
                  </w:r>
                </w:p>
              </w:tc>
            </w:tr>
            <w:tr w14:paraId="3C68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14:paraId="6F95606B">
                  <w:pPr>
                    <w:pStyle w:val="42"/>
                    <w:bidi w:val="0"/>
                    <w:jc w:val="center"/>
                    <w:rPr>
                      <w:rFonts w:hint="default"/>
                      <w:lang w:val="en-US" w:eastAsia="zh-CN"/>
                    </w:rPr>
                  </w:pPr>
                  <w:r>
                    <w:rPr>
                      <w:rFonts w:hint="eastAsia"/>
                      <w:lang w:val="en-US" w:eastAsia="zh-CN"/>
                    </w:rPr>
                    <w:t>45</w:t>
                  </w:r>
                </w:p>
              </w:tc>
              <w:tc>
                <w:tcPr>
                  <w:tcW w:w="2128" w:type="dxa"/>
                  <w:vAlign w:val="center"/>
                </w:tcPr>
                <w:p w14:paraId="7003C244">
                  <w:pPr>
                    <w:pStyle w:val="42"/>
                    <w:bidi w:val="0"/>
                    <w:jc w:val="center"/>
                    <w:rPr>
                      <w:rFonts w:hint="eastAsia" w:eastAsia="宋体"/>
                      <w:lang w:eastAsia="zh-CN"/>
                    </w:rPr>
                  </w:pPr>
                  <w:r>
                    <w:rPr>
                      <w:rFonts w:hint="eastAsia"/>
                      <w:lang w:eastAsia="zh-CN"/>
                    </w:rPr>
                    <w:t>无害化处理车辆</w:t>
                  </w:r>
                </w:p>
              </w:tc>
              <w:tc>
                <w:tcPr>
                  <w:tcW w:w="2140" w:type="dxa"/>
                  <w:vAlign w:val="center"/>
                </w:tcPr>
                <w:p w14:paraId="65219505">
                  <w:pPr>
                    <w:pStyle w:val="42"/>
                    <w:bidi w:val="0"/>
                    <w:ind w:firstLine="0" w:firstLineChars="0"/>
                    <w:jc w:val="center"/>
                    <w:rPr>
                      <w:rFonts w:hint="eastAsia"/>
                      <w:lang w:val="en-US" w:eastAsia="zh-CN"/>
                    </w:rPr>
                  </w:pPr>
                  <w:r>
                    <w:rPr>
                      <w:rFonts w:hint="eastAsia"/>
                      <w:lang w:val="en-US" w:eastAsia="zh-CN"/>
                    </w:rPr>
                    <w:t>TQCL-86</w:t>
                  </w:r>
                </w:p>
              </w:tc>
              <w:tc>
                <w:tcPr>
                  <w:tcW w:w="2130" w:type="dxa"/>
                  <w:vAlign w:val="center"/>
                </w:tcPr>
                <w:p w14:paraId="590BDFFE">
                  <w:pPr>
                    <w:pStyle w:val="42"/>
                    <w:bidi w:val="0"/>
                    <w:jc w:val="center"/>
                    <w:rPr>
                      <w:rFonts w:hint="default"/>
                      <w:lang w:val="en-US" w:eastAsia="zh-CN"/>
                    </w:rPr>
                  </w:pPr>
                  <w:r>
                    <w:rPr>
                      <w:rFonts w:hint="eastAsia"/>
                      <w:lang w:val="en-US" w:eastAsia="zh-CN"/>
                    </w:rPr>
                    <w:t>8</w:t>
                  </w:r>
                </w:p>
              </w:tc>
            </w:tr>
          </w:tbl>
          <w:p w14:paraId="7CA051F1">
            <w:pPr>
              <w:pStyle w:val="8"/>
              <w:numPr>
                <w:ilvl w:val="5"/>
                <w:numId w:val="0"/>
              </w:numPr>
              <w:ind w:leftChars="0"/>
              <w:jc w:val="both"/>
            </w:pPr>
          </w:p>
          <w:p w14:paraId="2F419C84">
            <w:pPr>
              <w:pStyle w:val="8"/>
              <w:numPr>
                <w:ilvl w:val="5"/>
                <w:numId w:val="0"/>
              </w:numPr>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表2-3</w:t>
            </w:r>
            <w:r>
              <w:rPr>
                <w:rFonts w:hint="eastAsia"/>
              </w:rPr>
              <w:t>主要原辅材料用量一览表</w:t>
            </w:r>
            <w:bookmarkEnd w:id="5"/>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736"/>
              <w:gridCol w:w="1217"/>
              <w:gridCol w:w="1293"/>
              <w:gridCol w:w="2674"/>
              <w:gridCol w:w="1141"/>
            </w:tblGrid>
            <w:tr w14:paraId="6DF5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16" w:type="pct"/>
                  <w:vAlign w:val="center"/>
                </w:tcPr>
                <w:p w14:paraId="684309D7">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rPr>
                  </w:pPr>
                  <w:r>
                    <w:rPr>
                      <w:rFonts w:hint="default" w:ascii="Times New Roman" w:hAnsi="Times New Roman" w:eastAsia="宋体" w:cs="Times New Roman"/>
                      <w:color w:val="000000"/>
                      <w:kern w:val="0"/>
                      <w:sz w:val="21"/>
                      <w:szCs w:val="21"/>
                      <w:highlight w:val="none"/>
                      <w:lang w:val="en-US" w:eastAsia="zh-CN" w:bidi="ar"/>
                    </w:rPr>
                    <w:t>类别</w:t>
                  </w:r>
                </w:p>
              </w:tc>
              <w:tc>
                <w:tcPr>
                  <w:tcW w:w="1008" w:type="pct"/>
                  <w:vAlign w:val="center"/>
                </w:tcPr>
                <w:p w14:paraId="5EDAE3E2">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rPr>
                  </w:pPr>
                  <w:r>
                    <w:rPr>
                      <w:rFonts w:hint="default" w:ascii="Times New Roman" w:hAnsi="Times New Roman" w:eastAsia="宋体" w:cs="Times New Roman"/>
                      <w:color w:val="000000"/>
                      <w:kern w:val="0"/>
                      <w:sz w:val="21"/>
                      <w:szCs w:val="21"/>
                      <w:highlight w:val="none"/>
                      <w:lang w:val="en-US" w:eastAsia="zh-CN" w:bidi="ar"/>
                    </w:rPr>
                    <w:t>名称</w:t>
                  </w:r>
                </w:p>
              </w:tc>
              <w:tc>
                <w:tcPr>
                  <w:tcW w:w="707" w:type="pct"/>
                  <w:vAlign w:val="center"/>
                </w:tcPr>
                <w:p w14:paraId="1C9E332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年消耗量</w:t>
                  </w:r>
                  <w:r>
                    <w:rPr>
                      <w:rFonts w:hint="default" w:ascii="Times New Roman" w:hAnsi="Times New Roman" w:eastAsia="宋体" w:cs="Times New Roman"/>
                      <w:color w:val="000000"/>
                      <w:kern w:val="0"/>
                      <w:sz w:val="21"/>
                      <w:szCs w:val="21"/>
                      <w:highlight w:val="none"/>
                      <w:lang w:val="en-US" w:eastAsia="zh-CN" w:bidi="ar"/>
                    </w:rPr>
                    <w:t>（t）</w:t>
                  </w:r>
                </w:p>
              </w:tc>
              <w:tc>
                <w:tcPr>
                  <w:tcW w:w="751" w:type="pct"/>
                  <w:vAlign w:val="center"/>
                </w:tcPr>
                <w:p w14:paraId="0EFB1F76">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最大储存量（t）</w:t>
                  </w:r>
                </w:p>
              </w:tc>
              <w:tc>
                <w:tcPr>
                  <w:tcW w:w="1553" w:type="pct"/>
                  <w:vAlign w:val="center"/>
                </w:tcPr>
                <w:p w14:paraId="6B9EBEE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bCs/>
                      <w:sz w:val="21"/>
                      <w:szCs w:val="21"/>
                      <w:highlight w:val="none"/>
                      <w:vertAlign w:val="baseline"/>
                      <w:lang w:eastAsia="zh-CN"/>
                    </w:rPr>
                  </w:pPr>
                  <w:r>
                    <w:rPr>
                      <w:rFonts w:hint="eastAsia" w:cs="Times New Roman"/>
                      <w:bCs/>
                      <w:sz w:val="21"/>
                      <w:szCs w:val="21"/>
                      <w:highlight w:val="none"/>
                      <w:vertAlign w:val="baseline"/>
                      <w:lang w:eastAsia="zh-CN"/>
                    </w:rPr>
                    <w:t>储存方式</w:t>
                  </w:r>
                </w:p>
              </w:tc>
              <w:tc>
                <w:tcPr>
                  <w:tcW w:w="662" w:type="pct"/>
                  <w:vAlign w:val="center"/>
                </w:tcPr>
                <w:p w14:paraId="0790EDB7">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rPr>
                  </w:pPr>
                  <w:r>
                    <w:rPr>
                      <w:rFonts w:hint="eastAsia" w:cs="Times New Roman"/>
                      <w:color w:val="000000"/>
                      <w:kern w:val="0"/>
                      <w:sz w:val="21"/>
                      <w:szCs w:val="21"/>
                      <w:highlight w:val="none"/>
                      <w:lang w:val="en-US" w:eastAsia="zh-CN" w:bidi="ar"/>
                    </w:rPr>
                    <w:t>备注</w:t>
                  </w:r>
                </w:p>
              </w:tc>
            </w:tr>
            <w:tr w14:paraId="5320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vAlign w:val="center"/>
                </w:tcPr>
                <w:p w14:paraId="0A881E8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eastAsia="zh-CN"/>
                    </w:rPr>
                  </w:pPr>
                  <w:r>
                    <w:rPr>
                      <w:rFonts w:hint="default" w:ascii="Times New Roman" w:hAnsi="Times New Roman" w:eastAsia="宋体" w:cs="Times New Roman"/>
                      <w:bCs/>
                      <w:sz w:val="21"/>
                      <w:szCs w:val="21"/>
                      <w:highlight w:val="none"/>
                      <w:vertAlign w:val="baseline"/>
                      <w:lang w:eastAsia="zh-CN"/>
                    </w:rPr>
                    <w:t>原料</w:t>
                  </w:r>
                </w:p>
              </w:tc>
              <w:tc>
                <w:tcPr>
                  <w:tcW w:w="1008" w:type="pct"/>
                  <w:vAlign w:val="center"/>
                </w:tcPr>
                <w:p w14:paraId="5057FD9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rPr>
                  </w:pPr>
                  <w:r>
                    <w:rPr>
                      <w:rFonts w:hint="default" w:ascii="Times New Roman" w:hAnsi="Times New Roman" w:eastAsia="宋体" w:cs="Times New Roman"/>
                      <w:bCs/>
                      <w:sz w:val="21"/>
                      <w:szCs w:val="21"/>
                      <w:highlight w:val="none"/>
                      <w:vertAlign w:val="baseline"/>
                    </w:rPr>
                    <w:t>病死畜禽</w:t>
                  </w:r>
                </w:p>
              </w:tc>
              <w:tc>
                <w:tcPr>
                  <w:tcW w:w="707" w:type="pct"/>
                  <w:vAlign w:val="center"/>
                </w:tcPr>
                <w:p w14:paraId="63DFB27C">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7300</w:t>
                  </w:r>
                </w:p>
              </w:tc>
              <w:tc>
                <w:tcPr>
                  <w:tcW w:w="751" w:type="pct"/>
                  <w:vAlign w:val="center"/>
                </w:tcPr>
                <w:p w14:paraId="7456F0A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eastAsia" w:cs="Times New Roman"/>
                      <w:color w:val="000000"/>
                      <w:sz w:val="21"/>
                      <w:szCs w:val="21"/>
                      <w:highlight w:val="none"/>
                      <w:vertAlign w:val="baseline"/>
                      <w:lang w:val="en-US" w:eastAsia="zh-CN"/>
                    </w:rPr>
                    <w:t>300</w:t>
                  </w:r>
                </w:p>
              </w:tc>
              <w:tc>
                <w:tcPr>
                  <w:tcW w:w="1553" w:type="pct"/>
                  <w:vAlign w:val="center"/>
                </w:tcPr>
                <w:p w14:paraId="056114F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冷库存储</w:t>
                  </w:r>
                </w:p>
              </w:tc>
              <w:tc>
                <w:tcPr>
                  <w:tcW w:w="662" w:type="pct"/>
                  <w:vAlign w:val="center"/>
                </w:tcPr>
                <w:p w14:paraId="69753E43">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从</w:t>
                  </w:r>
                  <w:r>
                    <w:rPr>
                      <w:rFonts w:hint="eastAsia" w:cs="Times New Roman"/>
                      <w:bCs/>
                      <w:sz w:val="21"/>
                      <w:szCs w:val="21"/>
                      <w:highlight w:val="none"/>
                      <w:vertAlign w:val="baseline"/>
                      <w:lang w:val="en-US" w:eastAsia="zh-CN"/>
                    </w:rPr>
                    <w:t>全州</w:t>
                  </w:r>
                  <w:r>
                    <w:rPr>
                      <w:rFonts w:hint="default" w:ascii="Times New Roman" w:hAnsi="Times New Roman" w:eastAsia="宋体" w:cs="Times New Roman"/>
                      <w:bCs/>
                      <w:sz w:val="21"/>
                      <w:szCs w:val="21"/>
                      <w:highlight w:val="none"/>
                      <w:vertAlign w:val="baseline"/>
                      <w:lang w:val="en-US" w:eastAsia="zh-CN"/>
                    </w:rPr>
                    <w:t>县</w:t>
                  </w:r>
                </w:p>
                <w:p w14:paraId="2ADAB25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及周边购</w:t>
                  </w:r>
                </w:p>
                <w:p w14:paraId="0D02372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进</w:t>
                  </w:r>
                </w:p>
              </w:tc>
            </w:tr>
            <w:tr w14:paraId="067A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vMerge w:val="restart"/>
                  <w:vAlign w:val="center"/>
                </w:tcPr>
                <w:p w14:paraId="23F140C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eastAsia="zh-CN"/>
                    </w:rPr>
                  </w:pPr>
                  <w:r>
                    <w:rPr>
                      <w:rFonts w:hint="default" w:ascii="Times New Roman" w:hAnsi="Times New Roman" w:eastAsia="宋体" w:cs="Times New Roman"/>
                      <w:bCs/>
                      <w:sz w:val="21"/>
                      <w:szCs w:val="21"/>
                      <w:highlight w:val="none"/>
                      <w:vertAlign w:val="baseline"/>
                      <w:lang w:eastAsia="zh-CN"/>
                    </w:rPr>
                    <w:t>辅料</w:t>
                  </w:r>
                </w:p>
              </w:tc>
              <w:tc>
                <w:tcPr>
                  <w:tcW w:w="1008" w:type="pct"/>
                  <w:vAlign w:val="center"/>
                </w:tcPr>
                <w:p w14:paraId="01B8CF07">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rPr>
                  </w:pPr>
                  <w:r>
                    <w:rPr>
                      <w:rFonts w:hint="default" w:ascii="Times New Roman" w:hAnsi="Times New Roman" w:eastAsia="宋体" w:cs="Times New Roman"/>
                      <w:bCs/>
                      <w:sz w:val="21"/>
                      <w:szCs w:val="21"/>
                      <w:highlight w:val="none"/>
                      <w:vertAlign w:val="baseline"/>
                    </w:rPr>
                    <w:t>除臭剂</w:t>
                  </w:r>
                </w:p>
              </w:tc>
              <w:tc>
                <w:tcPr>
                  <w:tcW w:w="707" w:type="pct"/>
                  <w:vAlign w:val="center"/>
                </w:tcPr>
                <w:p w14:paraId="3B916392">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16.2</w:t>
                  </w:r>
                </w:p>
              </w:tc>
              <w:tc>
                <w:tcPr>
                  <w:tcW w:w="1293" w:type="dxa"/>
                  <w:vAlign w:val="center"/>
                </w:tcPr>
                <w:p w14:paraId="1442DE6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sz w:val="21"/>
                      <w:szCs w:val="21"/>
                      <w:highlight w:val="yellow"/>
                      <w:vertAlign w:val="baseline"/>
                      <w:lang w:val="en-US" w:eastAsia="zh-CN"/>
                    </w:rPr>
                  </w:pPr>
                  <w:r>
                    <w:rPr>
                      <w:rFonts w:hint="default" w:ascii="Times New Roman" w:hAnsi="Times New Roman" w:eastAsia="宋体" w:cs="Times New Roman"/>
                      <w:color w:val="000000"/>
                      <w:sz w:val="21"/>
                      <w:szCs w:val="21"/>
                      <w:vertAlign w:val="baseline"/>
                      <w:lang w:val="en-US" w:eastAsia="zh-CN"/>
                    </w:rPr>
                    <w:t>5.4</w:t>
                  </w:r>
                </w:p>
              </w:tc>
              <w:tc>
                <w:tcPr>
                  <w:tcW w:w="1553" w:type="pct"/>
                  <w:vAlign w:val="center"/>
                </w:tcPr>
                <w:p w14:paraId="2819EFE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有效成分为植物萃取液，占比2%</w:t>
                  </w:r>
                </w:p>
              </w:tc>
              <w:tc>
                <w:tcPr>
                  <w:tcW w:w="662" w:type="pct"/>
                  <w:vAlign w:val="center"/>
                </w:tcPr>
                <w:p w14:paraId="267AA78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rPr>
                  </w:pPr>
                  <w:r>
                    <w:rPr>
                      <w:rFonts w:hint="default" w:ascii="Times New Roman" w:hAnsi="Times New Roman" w:eastAsia="宋体" w:cs="Times New Roman"/>
                      <w:bCs/>
                      <w:sz w:val="21"/>
                      <w:szCs w:val="21"/>
                      <w:highlight w:val="none"/>
                      <w:vertAlign w:val="baseline"/>
                      <w:lang w:val="en-US"/>
                    </w:rPr>
                    <w:t>外购，</w:t>
                  </w:r>
                </w:p>
                <w:p w14:paraId="0979FF12">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rPr>
                  </w:pPr>
                  <w:r>
                    <w:rPr>
                      <w:rFonts w:hint="default" w:ascii="Times New Roman" w:hAnsi="Times New Roman" w:eastAsia="宋体" w:cs="Times New Roman"/>
                      <w:bCs/>
                      <w:sz w:val="21"/>
                      <w:szCs w:val="21"/>
                      <w:highlight w:val="none"/>
                      <w:vertAlign w:val="baseline"/>
                      <w:lang w:val="en-US"/>
                    </w:rPr>
                    <w:t>50kg/桶</w:t>
                  </w:r>
                </w:p>
              </w:tc>
            </w:tr>
            <w:tr w14:paraId="5BB0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vMerge w:val="continue"/>
                  <w:vAlign w:val="center"/>
                </w:tcPr>
                <w:p w14:paraId="5C7CE01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eastAsia="zh-CN"/>
                    </w:rPr>
                  </w:pPr>
                </w:p>
              </w:tc>
              <w:tc>
                <w:tcPr>
                  <w:tcW w:w="1008" w:type="pct"/>
                  <w:vAlign w:val="center"/>
                </w:tcPr>
                <w:p w14:paraId="1F502E0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Cs/>
                      <w:sz w:val="21"/>
                      <w:szCs w:val="21"/>
                      <w:highlight w:val="none"/>
                      <w:vertAlign w:val="baseline"/>
                      <w:lang w:eastAsia="zh-CN"/>
                    </w:rPr>
                  </w:pPr>
                  <w:r>
                    <w:rPr>
                      <w:rFonts w:hint="default" w:ascii="Times New Roman" w:hAnsi="Times New Roman" w:eastAsia="宋体" w:cs="Times New Roman"/>
                      <w:bCs/>
                      <w:sz w:val="21"/>
                      <w:szCs w:val="21"/>
                      <w:highlight w:val="none"/>
                      <w:vertAlign w:val="baseline"/>
                    </w:rPr>
                    <w:t>次氯酸钠消毒液</w:t>
                  </w:r>
                </w:p>
              </w:tc>
              <w:tc>
                <w:tcPr>
                  <w:tcW w:w="707" w:type="pct"/>
                  <w:vAlign w:val="center"/>
                </w:tcPr>
                <w:p w14:paraId="572B3E6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8.1</w:t>
                  </w:r>
                </w:p>
              </w:tc>
              <w:tc>
                <w:tcPr>
                  <w:tcW w:w="1293" w:type="dxa"/>
                  <w:vAlign w:val="center"/>
                </w:tcPr>
                <w:p w14:paraId="0EDCB9A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highlight w:val="yellow"/>
                      <w:vertAlign w:val="baseline"/>
                      <w:lang w:val="en-US" w:eastAsia="zh-CN"/>
                    </w:rPr>
                  </w:pPr>
                  <w:r>
                    <w:rPr>
                      <w:rFonts w:hint="eastAsia" w:cs="Times New Roman"/>
                      <w:color w:val="000000"/>
                      <w:sz w:val="21"/>
                      <w:szCs w:val="21"/>
                      <w:vertAlign w:val="baseline"/>
                      <w:lang w:val="en-US" w:eastAsia="zh-CN"/>
                    </w:rPr>
                    <w:t>0.45</w:t>
                  </w:r>
                </w:p>
              </w:tc>
              <w:tc>
                <w:tcPr>
                  <w:tcW w:w="1553" w:type="pct"/>
                  <w:vMerge w:val="restart"/>
                  <w:vAlign w:val="center"/>
                </w:tcPr>
                <w:p w14:paraId="2E3BD8A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车间内设置一个材料库，分区储存</w:t>
                  </w:r>
                </w:p>
              </w:tc>
              <w:tc>
                <w:tcPr>
                  <w:tcW w:w="662" w:type="pct"/>
                  <w:vAlign w:val="center"/>
                </w:tcPr>
                <w:p w14:paraId="25EC229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外购，</w:t>
                  </w:r>
                </w:p>
                <w:p w14:paraId="21DD041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50kg/桶</w:t>
                  </w:r>
                </w:p>
              </w:tc>
            </w:tr>
            <w:tr w14:paraId="0737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vMerge w:val="continue"/>
                  <w:vAlign w:val="center"/>
                </w:tcPr>
                <w:p w14:paraId="2BDB62F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eastAsia="zh-CN"/>
                    </w:rPr>
                  </w:pPr>
                </w:p>
              </w:tc>
              <w:tc>
                <w:tcPr>
                  <w:tcW w:w="1008" w:type="pct"/>
                  <w:vAlign w:val="center"/>
                </w:tcPr>
                <w:p w14:paraId="33E8167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制冷剂(R410A)</w:t>
                  </w:r>
                </w:p>
              </w:tc>
              <w:tc>
                <w:tcPr>
                  <w:tcW w:w="707" w:type="pct"/>
                  <w:vAlign w:val="center"/>
                </w:tcPr>
                <w:p w14:paraId="66D7112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2.7</w:t>
                  </w:r>
                </w:p>
              </w:tc>
              <w:tc>
                <w:tcPr>
                  <w:tcW w:w="1293" w:type="dxa"/>
                  <w:vAlign w:val="center"/>
                </w:tcPr>
                <w:p w14:paraId="2F13E8D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highlight w:val="yellow"/>
                      <w:vertAlign w:val="baseline"/>
                      <w:lang w:val="en-US" w:eastAsia="zh-CN"/>
                    </w:rPr>
                  </w:pPr>
                  <w:r>
                    <w:rPr>
                      <w:rFonts w:hint="default" w:ascii="Times New Roman" w:hAnsi="Times New Roman" w:eastAsia="宋体" w:cs="Times New Roman"/>
                      <w:color w:val="000000"/>
                      <w:sz w:val="21"/>
                      <w:szCs w:val="21"/>
                      <w:vertAlign w:val="baseline"/>
                      <w:lang w:val="en-US" w:eastAsia="zh-CN"/>
                    </w:rPr>
                    <w:t>0.9</w:t>
                  </w:r>
                </w:p>
              </w:tc>
              <w:tc>
                <w:tcPr>
                  <w:tcW w:w="1553" w:type="pct"/>
                  <w:vMerge w:val="continue"/>
                  <w:vAlign w:val="center"/>
                </w:tcPr>
                <w:p w14:paraId="2D5C1BD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p>
              </w:tc>
              <w:tc>
                <w:tcPr>
                  <w:tcW w:w="662" w:type="pct"/>
                  <w:vAlign w:val="center"/>
                </w:tcPr>
                <w:p w14:paraId="12D23AF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外购</w:t>
                  </w:r>
                </w:p>
              </w:tc>
            </w:tr>
            <w:tr w14:paraId="3A5F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vMerge w:val="continue"/>
                  <w:vAlign w:val="center"/>
                </w:tcPr>
                <w:p w14:paraId="17E8A98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eastAsia="zh-CN"/>
                    </w:rPr>
                  </w:pPr>
                </w:p>
              </w:tc>
              <w:tc>
                <w:tcPr>
                  <w:tcW w:w="1008" w:type="pct"/>
                  <w:vAlign w:val="center"/>
                </w:tcPr>
                <w:p w14:paraId="6205861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菌种</w:t>
                  </w:r>
                </w:p>
              </w:tc>
              <w:tc>
                <w:tcPr>
                  <w:tcW w:w="707" w:type="pct"/>
                  <w:vAlign w:val="center"/>
                </w:tcPr>
                <w:p w14:paraId="1CE0192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27</w:t>
                  </w:r>
                </w:p>
              </w:tc>
              <w:tc>
                <w:tcPr>
                  <w:tcW w:w="1293" w:type="dxa"/>
                  <w:vAlign w:val="center"/>
                </w:tcPr>
                <w:p w14:paraId="17149FB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highlight w:val="yellow"/>
                      <w:vertAlign w:val="baseline"/>
                      <w:lang w:val="en-US" w:eastAsia="zh-CN"/>
                    </w:rPr>
                  </w:pPr>
                  <w:r>
                    <w:rPr>
                      <w:rFonts w:hint="eastAsia" w:cs="Times New Roman"/>
                      <w:color w:val="000000"/>
                      <w:sz w:val="21"/>
                      <w:szCs w:val="21"/>
                      <w:vertAlign w:val="baseline"/>
                      <w:lang w:val="en-US" w:eastAsia="zh-CN"/>
                    </w:rPr>
                    <w:t>9</w:t>
                  </w:r>
                </w:p>
              </w:tc>
              <w:tc>
                <w:tcPr>
                  <w:tcW w:w="1553" w:type="pct"/>
                  <w:vMerge w:val="restart"/>
                  <w:vAlign w:val="center"/>
                </w:tcPr>
                <w:p w14:paraId="7CE1E05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用于污冷凝水发酵</w:t>
                  </w:r>
                </w:p>
              </w:tc>
              <w:tc>
                <w:tcPr>
                  <w:tcW w:w="662" w:type="pct"/>
                  <w:vAlign w:val="center"/>
                </w:tcPr>
                <w:p w14:paraId="5414DA1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外购，</w:t>
                  </w:r>
                </w:p>
                <w:p w14:paraId="37BD140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40kg/袋</w:t>
                  </w:r>
                </w:p>
              </w:tc>
            </w:tr>
            <w:tr w14:paraId="7719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vMerge w:val="continue"/>
                  <w:vAlign w:val="center"/>
                </w:tcPr>
                <w:p w14:paraId="554F635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eastAsia="zh-CN"/>
                    </w:rPr>
                  </w:pPr>
                </w:p>
              </w:tc>
              <w:tc>
                <w:tcPr>
                  <w:tcW w:w="1008" w:type="pct"/>
                  <w:vAlign w:val="center"/>
                </w:tcPr>
                <w:p w14:paraId="0B1E8DF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秸秆粉末</w:t>
                  </w:r>
                </w:p>
              </w:tc>
              <w:tc>
                <w:tcPr>
                  <w:tcW w:w="707" w:type="pct"/>
                  <w:vAlign w:val="center"/>
                </w:tcPr>
                <w:p w14:paraId="6E3851B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54</w:t>
                  </w:r>
                </w:p>
              </w:tc>
              <w:tc>
                <w:tcPr>
                  <w:tcW w:w="1293" w:type="dxa"/>
                  <w:vAlign w:val="center"/>
                </w:tcPr>
                <w:p w14:paraId="57D1961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highlight w:val="yellow"/>
                      <w:vertAlign w:val="baseline"/>
                      <w:lang w:val="en-US" w:eastAsia="zh-CN"/>
                    </w:rPr>
                  </w:pPr>
                  <w:r>
                    <w:rPr>
                      <w:rFonts w:hint="default" w:ascii="Times New Roman" w:hAnsi="Times New Roman" w:eastAsia="宋体" w:cs="Times New Roman"/>
                      <w:color w:val="000000"/>
                      <w:sz w:val="21"/>
                      <w:szCs w:val="21"/>
                      <w:vertAlign w:val="baseline"/>
                      <w:lang w:val="en-US" w:eastAsia="zh-CN"/>
                    </w:rPr>
                    <w:t>18</w:t>
                  </w:r>
                </w:p>
              </w:tc>
              <w:tc>
                <w:tcPr>
                  <w:tcW w:w="1553" w:type="pct"/>
                  <w:vMerge w:val="continue"/>
                  <w:vAlign w:val="center"/>
                </w:tcPr>
                <w:p w14:paraId="11045B9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p>
              </w:tc>
              <w:tc>
                <w:tcPr>
                  <w:tcW w:w="662" w:type="pct"/>
                  <w:vAlign w:val="center"/>
                </w:tcPr>
                <w:p w14:paraId="6263094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外购，</w:t>
                  </w:r>
                </w:p>
                <w:p w14:paraId="24B61C0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40kg/袋</w:t>
                  </w:r>
                </w:p>
              </w:tc>
            </w:tr>
            <w:tr w14:paraId="0BF2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vMerge w:val="continue"/>
                  <w:vAlign w:val="center"/>
                </w:tcPr>
                <w:p w14:paraId="6CA7147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eastAsia="zh-CN"/>
                    </w:rPr>
                  </w:pPr>
                </w:p>
              </w:tc>
              <w:tc>
                <w:tcPr>
                  <w:tcW w:w="1008" w:type="pct"/>
                  <w:vAlign w:val="center"/>
                </w:tcPr>
                <w:p w14:paraId="59D7E4D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机油</w:t>
                  </w:r>
                </w:p>
              </w:tc>
              <w:tc>
                <w:tcPr>
                  <w:tcW w:w="707" w:type="pct"/>
                  <w:vAlign w:val="center"/>
                </w:tcPr>
                <w:p w14:paraId="102B93C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0.18</w:t>
                  </w:r>
                </w:p>
              </w:tc>
              <w:tc>
                <w:tcPr>
                  <w:tcW w:w="1293" w:type="dxa"/>
                  <w:vAlign w:val="center"/>
                </w:tcPr>
                <w:p w14:paraId="5C535ED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highlight w:val="yellow"/>
                      <w:vertAlign w:val="baseline"/>
                      <w:lang w:val="en-US" w:eastAsia="zh-CN"/>
                    </w:rPr>
                  </w:pPr>
                  <w:r>
                    <w:rPr>
                      <w:rFonts w:hint="eastAsia" w:cs="Times New Roman"/>
                      <w:color w:val="000000"/>
                      <w:sz w:val="21"/>
                      <w:szCs w:val="21"/>
                      <w:vertAlign w:val="baseline"/>
                      <w:lang w:val="en-US" w:eastAsia="zh-CN"/>
                    </w:rPr>
                    <w:t>0.18</w:t>
                  </w:r>
                </w:p>
              </w:tc>
              <w:tc>
                <w:tcPr>
                  <w:tcW w:w="1553" w:type="pct"/>
                  <w:vAlign w:val="center"/>
                </w:tcPr>
                <w:p w14:paraId="59B26C8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机器维修</w:t>
                  </w:r>
                </w:p>
              </w:tc>
              <w:tc>
                <w:tcPr>
                  <w:tcW w:w="662" w:type="pct"/>
                  <w:vAlign w:val="center"/>
                </w:tcPr>
                <w:p w14:paraId="60CC7C9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外购</w:t>
                  </w:r>
                </w:p>
              </w:tc>
            </w:tr>
            <w:tr w14:paraId="0AC3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vMerge w:val="continue"/>
                  <w:vAlign w:val="center"/>
                </w:tcPr>
                <w:p w14:paraId="41C5995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eastAsia="zh-CN"/>
                    </w:rPr>
                  </w:pPr>
                </w:p>
              </w:tc>
              <w:tc>
                <w:tcPr>
                  <w:tcW w:w="1008" w:type="pct"/>
                  <w:vAlign w:val="center"/>
                </w:tcPr>
                <w:p w14:paraId="3B34729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木屑</w:t>
                  </w:r>
                </w:p>
              </w:tc>
              <w:tc>
                <w:tcPr>
                  <w:tcW w:w="707" w:type="pct"/>
                  <w:vAlign w:val="center"/>
                </w:tcPr>
                <w:p w14:paraId="20B2ECA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27</w:t>
                  </w:r>
                </w:p>
              </w:tc>
              <w:tc>
                <w:tcPr>
                  <w:tcW w:w="1293" w:type="dxa"/>
                  <w:vAlign w:val="center"/>
                </w:tcPr>
                <w:p w14:paraId="0563C66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highlight w:val="yellow"/>
                      <w:vertAlign w:val="baseline"/>
                      <w:lang w:val="en-US" w:eastAsia="zh-CN"/>
                    </w:rPr>
                  </w:pPr>
                  <w:r>
                    <w:rPr>
                      <w:rFonts w:hint="eastAsia" w:cs="Times New Roman"/>
                      <w:color w:val="000000"/>
                      <w:sz w:val="21"/>
                      <w:szCs w:val="21"/>
                      <w:vertAlign w:val="baseline"/>
                      <w:lang w:val="en-US" w:eastAsia="zh-CN"/>
                    </w:rPr>
                    <w:t>9</w:t>
                  </w:r>
                </w:p>
              </w:tc>
              <w:tc>
                <w:tcPr>
                  <w:tcW w:w="1553" w:type="pct"/>
                  <w:vAlign w:val="center"/>
                </w:tcPr>
                <w:p w14:paraId="6BADF65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用于破碎机、化制机、烘干机的擦洗，最后用作有机肥原料使用</w:t>
                  </w:r>
                </w:p>
              </w:tc>
              <w:tc>
                <w:tcPr>
                  <w:tcW w:w="662" w:type="pct"/>
                  <w:vAlign w:val="center"/>
                </w:tcPr>
                <w:p w14:paraId="45ED864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外购，</w:t>
                  </w:r>
                </w:p>
                <w:p w14:paraId="5C9474B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20kg/袋</w:t>
                  </w:r>
                </w:p>
              </w:tc>
            </w:tr>
            <w:tr w14:paraId="0A8C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 w:type="pct"/>
                  <w:vMerge w:val="continue"/>
                  <w:vAlign w:val="center"/>
                </w:tcPr>
                <w:p w14:paraId="4D6DDD9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eastAsia="zh-CN"/>
                    </w:rPr>
                  </w:pPr>
                </w:p>
              </w:tc>
              <w:tc>
                <w:tcPr>
                  <w:tcW w:w="1008" w:type="pct"/>
                  <w:vAlign w:val="center"/>
                </w:tcPr>
                <w:p w14:paraId="0ED103E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防疫装备</w:t>
                  </w:r>
                </w:p>
              </w:tc>
              <w:tc>
                <w:tcPr>
                  <w:tcW w:w="707" w:type="pct"/>
                  <w:vAlign w:val="center"/>
                </w:tcPr>
                <w:p w14:paraId="0C09104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2.7</w:t>
                  </w:r>
                </w:p>
              </w:tc>
              <w:tc>
                <w:tcPr>
                  <w:tcW w:w="1293" w:type="dxa"/>
                  <w:vAlign w:val="center"/>
                </w:tcPr>
                <w:p w14:paraId="0CA47FD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highlight w:val="yellow"/>
                      <w:vertAlign w:val="baseline"/>
                      <w:lang w:val="en-US" w:eastAsia="zh-CN"/>
                    </w:rPr>
                  </w:pPr>
                  <w:r>
                    <w:rPr>
                      <w:rFonts w:hint="eastAsia" w:cs="Times New Roman"/>
                      <w:color w:val="000000"/>
                      <w:sz w:val="21"/>
                      <w:szCs w:val="21"/>
                      <w:vertAlign w:val="baseline"/>
                      <w:lang w:val="en-US" w:eastAsia="zh-CN"/>
                    </w:rPr>
                    <w:t>2.7</w:t>
                  </w:r>
                </w:p>
              </w:tc>
              <w:tc>
                <w:tcPr>
                  <w:tcW w:w="1553" w:type="pct"/>
                  <w:vAlign w:val="center"/>
                </w:tcPr>
                <w:p w14:paraId="4FE0957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工作人员穿戴</w:t>
                  </w:r>
                </w:p>
              </w:tc>
              <w:tc>
                <w:tcPr>
                  <w:tcW w:w="662" w:type="pct"/>
                  <w:vAlign w:val="center"/>
                </w:tcPr>
                <w:p w14:paraId="5B6728D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外购</w:t>
                  </w:r>
                </w:p>
              </w:tc>
            </w:tr>
            <w:tr w14:paraId="71E8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 w:type="pct"/>
                  <w:vMerge w:val="restart"/>
                  <w:vAlign w:val="center"/>
                </w:tcPr>
                <w:p w14:paraId="3BEF33B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eastAsia="zh-CN"/>
                    </w:rPr>
                  </w:pPr>
                  <w:r>
                    <w:rPr>
                      <w:rFonts w:hint="eastAsia" w:cs="Times New Roman"/>
                      <w:bCs/>
                      <w:sz w:val="21"/>
                      <w:szCs w:val="21"/>
                      <w:highlight w:val="none"/>
                      <w:vertAlign w:val="baseline"/>
                      <w:lang w:eastAsia="zh-CN"/>
                    </w:rPr>
                    <w:t>能源</w:t>
                  </w:r>
                </w:p>
              </w:tc>
              <w:tc>
                <w:tcPr>
                  <w:tcW w:w="1008" w:type="pct"/>
                  <w:vAlign w:val="center"/>
                </w:tcPr>
                <w:p w14:paraId="5147DBF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水</w:t>
                  </w:r>
                </w:p>
              </w:tc>
              <w:tc>
                <w:tcPr>
                  <w:tcW w:w="707" w:type="pct"/>
                  <w:vAlign w:val="center"/>
                </w:tcPr>
                <w:p w14:paraId="0BE57A6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2751.3</w:t>
                  </w:r>
                </w:p>
              </w:tc>
              <w:tc>
                <w:tcPr>
                  <w:tcW w:w="1293" w:type="dxa"/>
                  <w:vAlign w:val="center"/>
                </w:tcPr>
                <w:p w14:paraId="7F24F7B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highlight w:val="yellow"/>
                      <w:vertAlign w:val="baseline"/>
                      <w:lang w:val="en-US" w:eastAsia="zh-CN"/>
                    </w:rPr>
                  </w:pPr>
                  <w:r>
                    <w:rPr>
                      <w:rFonts w:hint="eastAsia" w:cs="Times New Roman"/>
                      <w:color w:val="000000"/>
                      <w:sz w:val="21"/>
                      <w:szCs w:val="21"/>
                      <w:vertAlign w:val="baseline"/>
                      <w:lang w:val="en-US" w:eastAsia="zh-CN"/>
                    </w:rPr>
                    <w:t>/</w:t>
                  </w:r>
                </w:p>
              </w:tc>
              <w:tc>
                <w:tcPr>
                  <w:tcW w:w="1553" w:type="pct"/>
                  <w:vAlign w:val="center"/>
                </w:tcPr>
                <w:p w14:paraId="5B349E9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eastAsia" w:cs="Times New Roman"/>
                      <w:color w:val="000000"/>
                      <w:sz w:val="21"/>
                      <w:szCs w:val="21"/>
                      <w:vertAlign w:val="baseline"/>
                      <w:lang w:val="en-US" w:eastAsia="zh-CN"/>
                    </w:rPr>
                    <w:t>/</w:t>
                  </w:r>
                </w:p>
              </w:tc>
              <w:tc>
                <w:tcPr>
                  <w:tcW w:w="662" w:type="pct"/>
                  <w:vAlign w:val="center"/>
                </w:tcPr>
                <w:p w14:paraId="1A94059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园区管网供水</w:t>
                  </w:r>
                </w:p>
              </w:tc>
            </w:tr>
            <w:tr w14:paraId="33F0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 w:type="pct"/>
                  <w:vMerge w:val="continue"/>
                  <w:vAlign w:val="center"/>
                </w:tcPr>
                <w:p w14:paraId="7CDEAF9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eastAsia="zh-CN"/>
                    </w:rPr>
                  </w:pPr>
                </w:p>
              </w:tc>
              <w:tc>
                <w:tcPr>
                  <w:tcW w:w="1008" w:type="pct"/>
                  <w:vAlign w:val="center"/>
                </w:tcPr>
                <w:p w14:paraId="24EEC42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电</w:t>
                  </w:r>
                </w:p>
              </w:tc>
              <w:tc>
                <w:tcPr>
                  <w:tcW w:w="707" w:type="pct"/>
                  <w:vAlign w:val="center"/>
                </w:tcPr>
                <w:p w14:paraId="3607381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30.24</w:t>
                  </w:r>
                </w:p>
              </w:tc>
              <w:tc>
                <w:tcPr>
                  <w:tcW w:w="1293" w:type="dxa"/>
                  <w:vAlign w:val="center"/>
                </w:tcPr>
                <w:p w14:paraId="0F8BEDA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highlight w:val="yellow"/>
                      <w:vertAlign w:val="baseline"/>
                      <w:lang w:val="en-US" w:eastAsia="zh-CN"/>
                    </w:rPr>
                  </w:pPr>
                  <w:r>
                    <w:rPr>
                      <w:rFonts w:hint="eastAsia" w:cs="Times New Roman"/>
                      <w:color w:val="000000"/>
                      <w:sz w:val="21"/>
                      <w:szCs w:val="21"/>
                      <w:vertAlign w:val="baseline"/>
                      <w:lang w:val="en-US" w:eastAsia="zh-CN"/>
                    </w:rPr>
                    <w:t>/</w:t>
                  </w:r>
                </w:p>
              </w:tc>
              <w:tc>
                <w:tcPr>
                  <w:tcW w:w="1553" w:type="pct"/>
                  <w:vAlign w:val="center"/>
                </w:tcPr>
                <w:p w14:paraId="0715D1F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eastAsia" w:cs="Times New Roman"/>
                      <w:color w:val="000000"/>
                      <w:sz w:val="21"/>
                      <w:szCs w:val="21"/>
                      <w:vertAlign w:val="baseline"/>
                      <w:lang w:val="en-US" w:eastAsia="zh-CN"/>
                    </w:rPr>
                    <w:t>/</w:t>
                  </w:r>
                </w:p>
              </w:tc>
              <w:tc>
                <w:tcPr>
                  <w:tcW w:w="662" w:type="pct"/>
                  <w:vAlign w:val="center"/>
                </w:tcPr>
                <w:p w14:paraId="4DAF0B9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园区管网供电</w:t>
                  </w:r>
                </w:p>
              </w:tc>
            </w:tr>
            <w:tr w14:paraId="5F8E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 w:type="pct"/>
                  <w:vMerge w:val="continue"/>
                  <w:vAlign w:val="center"/>
                </w:tcPr>
                <w:p w14:paraId="7824EA9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eastAsia="zh-CN"/>
                    </w:rPr>
                  </w:pPr>
                </w:p>
              </w:tc>
              <w:tc>
                <w:tcPr>
                  <w:tcW w:w="1008" w:type="pct"/>
                  <w:vAlign w:val="center"/>
                </w:tcPr>
                <w:p w14:paraId="023145B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生物质颗粒</w:t>
                  </w:r>
                </w:p>
              </w:tc>
              <w:tc>
                <w:tcPr>
                  <w:tcW w:w="707" w:type="pct"/>
                  <w:vAlign w:val="center"/>
                </w:tcPr>
                <w:p w14:paraId="2106790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eastAsia" w:cs="Times New Roman"/>
                      <w:color w:val="000000"/>
                      <w:sz w:val="21"/>
                      <w:szCs w:val="21"/>
                      <w:highlight w:val="none"/>
                      <w:vertAlign w:val="baseline"/>
                      <w:lang w:val="en-US" w:eastAsia="zh-CN"/>
                    </w:rPr>
                    <w:t>1800</w:t>
                  </w:r>
                </w:p>
              </w:tc>
              <w:tc>
                <w:tcPr>
                  <w:tcW w:w="751" w:type="pct"/>
                  <w:vAlign w:val="center"/>
                </w:tcPr>
                <w:p w14:paraId="3A87117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highlight w:val="yellow"/>
                      <w:vertAlign w:val="baseline"/>
                      <w:lang w:val="en-US" w:eastAsia="zh-CN"/>
                    </w:rPr>
                  </w:pPr>
                  <w:r>
                    <w:rPr>
                      <w:rFonts w:hint="eastAsia" w:cs="Times New Roman"/>
                      <w:color w:val="000000"/>
                      <w:sz w:val="21"/>
                      <w:szCs w:val="21"/>
                      <w:highlight w:val="none"/>
                      <w:vertAlign w:val="baseline"/>
                      <w:lang w:val="en-US" w:eastAsia="zh-CN"/>
                    </w:rPr>
                    <w:t>300</w:t>
                  </w:r>
                </w:p>
              </w:tc>
              <w:tc>
                <w:tcPr>
                  <w:tcW w:w="1553" w:type="pct"/>
                  <w:vAlign w:val="center"/>
                </w:tcPr>
                <w:p w14:paraId="12A7064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sz w:val="21"/>
                      <w:szCs w:val="21"/>
                      <w:highlight w:val="none"/>
                      <w:vertAlign w:val="baseline"/>
                      <w:lang w:val="en-US" w:eastAsia="zh-CN"/>
                    </w:rPr>
                  </w:pPr>
                  <w:r>
                    <w:rPr>
                      <w:rFonts w:hint="eastAsia" w:cs="Times New Roman"/>
                      <w:color w:val="000000"/>
                      <w:sz w:val="21"/>
                      <w:szCs w:val="21"/>
                      <w:vertAlign w:val="baseline"/>
                      <w:lang w:val="en-US" w:eastAsia="zh-CN"/>
                    </w:rPr>
                    <w:t>/</w:t>
                  </w:r>
                </w:p>
              </w:tc>
              <w:tc>
                <w:tcPr>
                  <w:tcW w:w="662" w:type="pct"/>
                  <w:vAlign w:val="center"/>
                </w:tcPr>
                <w:p w14:paraId="35C6F4D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bCs/>
                      <w:sz w:val="21"/>
                      <w:szCs w:val="21"/>
                      <w:highlight w:val="none"/>
                      <w:vertAlign w:val="baseline"/>
                      <w:lang w:val="en-US" w:eastAsia="zh-CN"/>
                    </w:rPr>
                    <w:t>外购</w:t>
                  </w:r>
                </w:p>
              </w:tc>
            </w:tr>
          </w:tbl>
          <w:p w14:paraId="4C8C3552">
            <w:pPr>
              <w:bidi w:val="0"/>
              <w:rPr>
                <w:rFonts w:hint="eastAsia"/>
                <w:b/>
                <w:bCs/>
                <w:lang w:eastAsia="zh-CN"/>
              </w:rPr>
            </w:pPr>
            <w:r>
              <w:rPr>
                <w:rFonts w:hint="eastAsia"/>
                <w:b/>
                <w:bCs/>
                <w:lang w:eastAsia="zh-CN"/>
              </w:rPr>
              <w:t>理化性质：</w:t>
            </w:r>
          </w:p>
          <w:p w14:paraId="25F08718">
            <w:pPr>
              <w:ind w:firstLine="480"/>
              <w:rPr>
                <w:rFonts w:hint="eastAsia" w:eastAsia="宋体"/>
                <w:lang w:val="en-US" w:eastAsia="zh-CN"/>
              </w:rPr>
            </w:pPr>
            <w:r>
              <w:rPr>
                <w:rFonts w:hint="eastAsia"/>
                <w:b/>
                <w:bCs/>
                <w:lang w:val="en-US" w:eastAsia="zh-CN"/>
              </w:rPr>
              <w:t>病死禽畜</w:t>
            </w:r>
            <w:r>
              <w:rPr>
                <w:rFonts w:hint="eastAsia" w:eastAsia="宋体"/>
                <w:b/>
                <w:bCs/>
                <w:lang w:val="en-US" w:eastAsia="zh-CN"/>
              </w:rPr>
              <w:t>：</w:t>
            </w:r>
            <w:r>
              <w:rPr>
                <w:rFonts w:hint="eastAsia" w:eastAsia="宋体"/>
                <w:lang w:val="en-US" w:eastAsia="zh-CN"/>
              </w:rPr>
              <w:t>色泽异常，比如肌肉颜色暗淡，呈暗红色、紫色甚至黑色，脂肪失去光泽、发黄或有异味。</w:t>
            </w:r>
          </w:p>
          <w:p w14:paraId="7F7FB984">
            <w:pPr>
              <w:ind w:firstLine="480"/>
              <w:rPr>
                <w:rFonts w:hint="eastAsia" w:eastAsia="宋体"/>
                <w:lang w:val="en-US" w:eastAsia="zh-CN"/>
              </w:rPr>
            </w:pPr>
            <w:r>
              <w:rPr>
                <w:rFonts w:hint="eastAsia"/>
                <w:b/>
                <w:bCs/>
                <w:lang w:val="en-US" w:eastAsia="zh-CN"/>
              </w:rPr>
              <w:t>除臭剂</w:t>
            </w:r>
            <w:r>
              <w:rPr>
                <w:rFonts w:hint="eastAsia" w:eastAsia="宋体"/>
                <w:b/>
                <w:bCs/>
                <w:lang w:val="en-US" w:eastAsia="zh-CN"/>
              </w:rPr>
              <w:t>：</w:t>
            </w:r>
            <w:r>
              <w:rPr>
                <w:rFonts w:hint="eastAsia"/>
                <w:b w:val="0"/>
                <w:bCs w:val="0"/>
                <w:lang w:val="en-US" w:eastAsia="zh-CN"/>
              </w:rPr>
              <w:t>液体，澄清半透明状有淡香，易溶于水，不易分解、挥发，在不同温度、光照和储存条件下稳定</w:t>
            </w:r>
            <w:r>
              <w:rPr>
                <w:rFonts w:hint="eastAsia" w:eastAsia="宋体"/>
                <w:lang w:val="en-US" w:eastAsia="zh-CN"/>
              </w:rPr>
              <w:t>。</w:t>
            </w:r>
          </w:p>
          <w:p w14:paraId="1C2E2309">
            <w:pPr>
              <w:ind w:firstLine="480"/>
              <w:rPr>
                <w:rFonts w:hint="eastAsia" w:eastAsia="宋体"/>
                <w:lang w:val="en-US" w:eastAsia="zh-CN"/>
              </w:rPr>
            </w:pPr>
            <w:r>
              <w:rPr>
                <w:rFonts w:hint="default"/>
                <w:b/>
                <w:bCs/>
                <w:lang w:val="en-US" w:eastAsia="zh-CN"/>
              </w:rPr>
              <w:t>次氯酸钠消毒液</w:t>
            </w:r>
            <w:r>
              <w:rPr>
                <w:rFonts w:hint="eastAsia" w:eastAsia="宋体"/>
                <w:b/>
                <w:bCs/>
                <w:lang w:val="en-US" w:eastAsia="zh-CN"/>
              </w:rPr>
              <w:t>：</w:t>
            </w:r>
            <w:r>
              <w:rPr>
                <w:rFonts w:hint="eastAsia" w:eastAsia="宋体"/>
                <w:b w:val="0"/>
                <w:bCs w:val="0"/>
                <w:lang w:val="en-US" w:eastAsia="zh-CN"/>
              </w:rPr>
              <w:t>以次氯酸钠（NaClO）为主要有效成分的消毒剂</w:t>
            </w:r>
            <w:r>
              <w:rPr>
                <w:rFonts w:hint="eastAsia"/>
                <w:b w:val="0"/>
                <w:bCs w:val="0"/>
                <w:lang w:val="en-US" w:eastAsia="zh-CN"/>
              </w:rPr>
              <w:t>，呈强碱性，一般为无色或淡黄色液体，有刺激性气味，溶于水，能与水以任意比例混溶，不稳定，见光或受热易分解，具有强氧化性，对金属有一定的腐蚀性，对皮肤、黏膜等也有刺激性</w:t>
            </w:r>
            <w:r>
              <w:rPr>
                <w:rFonts w:hint="eastAsia" w:eastAsia="宋体"/>
                <w:lang w:val="en-US" w:eastAsia="zh-CN"/>
              </w:rPr>
              <w:t>。</w:t>
            </w:r>
          </w:p>
          <w:p w14:paraId="5B8EE8E6">
            <w:pPr>
              <w:ind w:firstLine="480"/>
              <w:rPr>
                <w:rFonts w:hint="eastAsia" w:eastAsia="宋体"/>
                <w:lang w:val="en-US" w:eastAsia="zh-CN"/>
              </w:rPr>
            </w:pPr>
            <w:r>
              <w:rPr>
                <w:rFonts w:hint="default"/>
                <w:b/>
                <w:bCs/>
                <w:lang w:val="en-US" w:eastAsia="zh-CN"/>
              </w:rPr>
              <w:t>制冷剂(R410A</w:t>
            </w:r>
            <w:r>
              <w:rPr>
                <w:rFonts w:hint="default" w:ascii="Times New Roman" w:hAnsi="Times New Roman" w:eastAsia="宋体" w:cs="Times New Roman"/>
                <w:kern w:val="0"/>
                <w:sz w:val="21"/>
                <w:szCs w:val="21"/>
                <w:highlight w:val="none"/>
                <w:lang w:val="en-US" w:eastAsia="zh-CN"/>
              </w:rPr>
              <w:t>)</w:t>
            </w:r>
            <w:r>
              <w:rPr>
                <w:rFonts w:hint="eastAsia" w:eastAsia="宋体"/>
                <w:b/>
                <w:bCs/>
                <w:lang w:val="en-US" w:eastAsia="zh-CN"/>
              </w:rPr>
              <w:t>：</w:t>
            </w:r>
            <w:r>
              <w:rPr>
                <w:rFonts w:hint="eastAsia" w:eastAsia="宋体"/>
                <w:b w:val="0"/>
                <w:bCs w:val="0"/>
                <w:lang w:val="en-US" w:eastAsia="zh-CN"/>
              </w:rPr>
              <w:t>由质量分数各50%的二氟甲烷（CH</w:t>
            </w:r>
            <w:r>
              <w:rPr>
                <w:rFonts w:hint="eastAsia"/>
                <w:b w:val="0"/>
                <w:bCs w:val="0"/>
                <w:vertAlign w:val="subscript"/>
                <w:lang w:val="en-US" w:eastAsia="zh-CN"/>
              </w:rPr>
              <w:t>2</w:t>
            </w:r>
            <w:r>
              <w:rPr>
                <w:rFonts w:hint="eastAsia" w:eastAsia="宋体"/>
                <w:b w:val="0"/>
                <w:bCs w:val="0"/>
                <w:lang w:val="en-US" w:eastAsia="zh-CN"/>
              </w:rPr>
              <w:t>F</w:t>
            </w:r>
            <w:r>
              <w:rPr>
                <w:rFonts w:hint="eastAsia"/>
                <w:b w:val="0"/>
                <w:bCs w:val="0"/>
                <w:vertAlign w:val="subscript"/>
                <w:lang w:val="en-US" w:eastAsia="zh-CN"/>
              </w:rPr>
              <w:t>2</w:t>
            </w:r>
            <w:r>
              <w:rPr>
                <w:rFonts w:hint="eastAsia" w:eastAsia="宋体"/>
                <w:b w:val="0"/>
                <w:bCs w:val="0"/>
                <w:lang w:val="en-US" w:eastAsia="zh-CN"/>
              </w:rPr>
              <w:t>）和五氟乙烷（C</w:t>
            </w:r>
            <w:r>
              <w:rPr>
                <w:rFonts w:hint="eastAsia"/>
                <w:b w:val="0"/>
                <w:bCs w:val="0"/>
                <w:vertAlign w:val="subscript"/>
                <w:lang w:val="en-US" w:eastAsia="zh-CN"/>
              </w:rPr>
              <w:t>2</w:t>
            </w:r>
            <w:r>
              <w:rPr>
                <w:rFonts w:hint="eastAsia" w:eastAsia="宋体"/>
                <w:b w:val="0"/>
                <w:bCs w:val="0"/>
                <w:lang w:val="en-US" w:eastAsia="zh-CN"/>
              </w:rPr>
              <w:t>HF</w:t>
            </w:r>
            <w:r>
              <w:rPr>
                <w:rFonts w:hint="eastAsia"/>
                <w:b w:val="0"/>
                <w:bCs w:val="0"/>
                <w:vertAlign w:val="subscript"/>
                <w:lang w:val="en-US" w:eastAsia="zh-CN"/>
              </w:rPr>
              <w:t>5</w:t>
            </w:r>
            <w:r>
              <w:rPr>
                <w:rFonts w:hint="eastAsia" w:eastAsia="宋体"/>
                <w:b w:val="0"/>
                <w:bCs w:val="0"/>
                <w:lang w:val="en-US" w:eastAsia="zh-CN"/>
              </w:rPr>
              <w:t>）组成</w:t>
            </w:r>
            <w:r>
              <w:rPr>
                <w:rFonts w:hint="eastAsia"/>
                <w:b w:val="0"/>
                <w:bCs w:val="0"/>
                <w:lang w:val="en-US" w:eastAsia="zh-CN"/>
              </w:rPr>
              <w:t>，常温常压下为无色气体，不含氯元素，不具氯味，在通常储存和使用条件下无刺激性气味，沸点约为-51.6℃，凝固点约为-155℃，气态密度比空气大，液态密度约为1.045g/cm³（25℃），在水中溶解度低，与酯类润滑油（如POE油）有良好互溶性</w:t>
            </w:r>
            <w:r>
              <w:rPr>
                <w:rFonts w:hint="eastAsia" w:eastAsia="宋体"/>
                <w:lang w:val="en-US" w:eastAsia="zh-CN"/>
              </w:rPr>
              <w:t>。</w:t>
            </w:r>
          </w:p>
          <w:p w14:paraId="2F237BF7">
            <w:pPr>
              <w:ind w:firstLine="480"/>
              <w:rPr>
                <w:rFonts w:hint="eastAsia" w:eastAsia="宋体"/>
                <w:lang w:val="en-US" w:eastAsia="zh-CN"/>
              </w:rPr>
            </w:pPr>
            <w:r>
              <w:rPr>
                <w:rFonts w:hint="default"/>
                <w:b/>
                <w:bCs/>
                <w:lang w:val="en-US" w:eastAsia="zh-CN"/>
              </w:rPr>
              <w:t>菌种</w:t>
            </w:r>
            <w:r>
              <w:rPr>
                <w:rFonts w:hint="eastAsia" w:eastAsia="宋体"/>
                <w:b/>
                <w:bCs/>
                <w:lang w:val="en-US" w:eastAsia="zh-CN"/>
              </w:rPr>
              <w:t>：</w:t>
            </w:r>
            <w:r>
              <w:rPr>
                <w:rFonts w:hint="eastAsia" w:eastAsia="宋体"/>
                <w:b w:val="0"/>
                <w:bCs w:val="0"/>
                <w:lang w:val="en-US" w:eastAsia="zh-CN"/>
              </w:rPr>
              <w:t>主要是厌氧微生物</w:t>
            </w:r>
            <w:r>
              <w:rPr>
                <w:rFonts w:hint="eastAsia"/>
                <w:b w:val="0"/>
                <w:bCs w:val="0"/>
                <w:lang w:val="en-US" w:eastAsia="zh-CN"/>
              </w:rPr>
              <w:t>，严格厌氧，对氧气非常敏感，暴露在有氧环境中会受到抑制甚至死亡，适宜的氧化还原电位一般在-300mV至-400mV以下；适宜的温度范围一般在中温（30-40℃）或高温（50-60℃）；pH值通常适应范围在6.5-7.5之间</w:t>
            </w:r>
            <w:r>
              <w:rPr>
                <w:rFonts w:hint="eastAsia" w:eastAsia="宋体"/>
                <w:lang w:val="en-US" w:eastAsia="zh-CN"/>
              </w:rPr>
              <w:t>。</w:t>
            </w:r>
          </w:p>
          <w:p w14:paraId="6BD79E9F">
            <w:pPr>
              <w:ind w:firstLine="480"/>
              <w:rPr>
                <w:rFonts w:hint="eastAsia" w:eastAsia="宋体"/>
                <w:lang w:val="en-US" w:eastAsia="zh-CN"/>
              </w:rPr>
            </w:pPr>
            <w:r>
              <w:rPr>
                <w:rFonts w:hint="default"/>
                <w:b/>
                <w:bCs/>
                <w:lang w:val="en-US" w:eastAsia="zh-CN"/>
              </w:rPr>
              <w:t>秸秆粉末</w:t>
            </w:r>
            <w:r>
              <w:rPr>
                <w:rFonts w:hint="eastAsia" w:eastAsia="宋体"/>
                <w:b/>
                <w:bCs/>
                <w:lang w:val="en-US" w:eastAsia="zh-CN"/>
              </w:rPr>
              <w:t>：</w:t>
            </w:r>
            <w:r>
              <w:rPr>
                <w:rFonts w:hint="eastAsia" w:eastAsia="宋体"/>
                <w:b w:val="0"/>
                <w:bCs w:val="0"/>
                <w:lang w:val="en-US" w:eastAsia="zh-CN"/>
              </w:rPr>
              <w:t>各类农作物秸秆粉碎后得到的产物</w:t>
            </w:r>
            <w:r>
              <w:rPr>
                <w:rFonts w:hint="eastAsia"/>
                <w:b w:val="0"/>
                <w:bCs w:val="0"/>
                <w:lang w:val="en-US" w:eastAsia="zh-CN"/>
              </w:rPr>
              <w:t>，外观通常为细碎的纤维状或颗粒状，颜色因秸秆种类不同而有差异，一般为淡黄色至黄褐色，主要成分是纤维素，具有较强的吸水性，具有可燃性，pH值一般呈中性至弱碱性</w:t>
            </w:r>
            <w:r>
              <w:rPr>
                <w:rFonts w:hint="eastAsia" w:eastAsia="宋体"/>
                <w:lang w:val="en-US" w:eastAsia="zh-CN"/>
              </w:rPr>
              <w:t>。</w:t>
            </w:r>
          </w:p>
          <w:p w14:paraId="5F6B5A30">
            <w:pPr>
              <w:ind w:firstLine="480"/>
              <w:rPr>
                <w:rFonts w:hint="eastAsia" w:eastAsia="宋体"/>
                <w:lang w:val="en-US" w:eastAsia="zh-CN"/>
              </w:rPr>
            </w:pPr>
            <w:r>
              <w:rPr>
                <w:rFonts w:hint="default"/>
                <w:b/>
                <w:bCs/>
                <w:lang w:val="en-US" w:eastAsia="zh-CN"/>
              </w:rPr>
              <w:t>机油</w:t>
            </w:r>
            <w:r>
              <w:rPr>
                <w:rFonts w:hint="eastAsia" w:eastAsia="宋体"/>
                <w:b/>
                <w:bCs/>
                <w:lang w:val="en-US" w:eastAsia="zh-CN"/>
              </w:rPr>
              <w:t>：</w:t>
            </w:r>
            <w:r>
              <w:rPr>
                <w:rFonts w:hint="eastAsia" w:eastAsia="宋体"/>
                <w:b w:val="0"/>
                <w:bCs w:val="0"/>
                <w:lang w:val="en-US" w:eastAsia="zh-CN"/>
              </w:rPr>
              <w:t>新机油通常为清澈透明或淡黄色至深黄色的液体，无明显杂质和悬浮物。随着使用时间增加，机油会因污染和氧化而逐渐变黑、变浑浊</w:t>
            </w:r>
            <w:r>
              <w:rPr>
                <w:rFonts w:hint="eastAsia"/>
                <w:b w:val="0"/>
                <w:bCs w:val="0"/>
                <w:lang w:val="en-US" w:eastAsia="zh-CN"/>
              </w:rPr>
              <w:t>，密度一般在0.85-0.95g/cm³之间，闪点一般在160℃-240℃之间，在高温和氧气作用下会氧化变质，生成有机酸、胶质和沉积物等，能与发动机内的其他油类和添加剂互溶，形成均匀稳定的体系，不产生沉淀或分层现象</w:t>
            </w:r>
            <w:r>
              <w:rPr>
                <w:rFonts w:hint="eastAsia" w:eastAsia="宋体"/>
                <w:lang w:val="en-US" w:eastAsia="zh-CN"/>
              </w:rPr>
              <w:t>。</w:t>
            </w:r>
          </w:p>
          <w:p w14:paraId="3152D645">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2.</w:t>
            </w:r>
            <w:r>
              <w:rPr>
                <w:rFonts w:hint="eastAsia" w:cs="Times New Roman"/>
                <w:b/>
                <w:i w:val="0"/>
                <w:kern w:val="2"/>
                <w:sz w:val="24"/>
                <w:szCs w:val="24"/>
                <w:lang w:val="en-US" w:eastAsia="zh-CN" w:bidi="ar-SA"/>
              </w:rPr>
              <w:t>5</w:t>
            </w:r>
            <w:r>
              <w:rPr>
                <w:rFonts w:hint="default" w:ascii="Times New Roman" w:hAnsi="Times New Roman" w:eastAsia="宋体" w:cs="Times New Roman"/>
                <w:b/>
                <w:i w:val="0"/>
                <w:kern w:val="2"/>
                <w:sz w:val="24"/>
                <w:szCs w:val="24"/>
                <w:lang w:val="en-US" w:eastAsia="zh-CN" w:bidi="ar-SA"/>
              </w:rPr>
              <w:t>、</w:t>
            </w:r>
            <w:r>
              <w:rPr>
                <w:rFonts w:hint="eastAsia"/>
              </w:rPr>
              <w:t>项目产品方案</w:t>
            </w:r>
          </w:p>
          <w:p w14:paraId="4642887D">
            <w:pPr>
              <w:ind w:firstLine="480"/>
              <w:rPr>
                <w:rFonts w:hint="eastAsia"/>
              </w:rPr>
            </w:pPr>
            <w:r>
              <w:rPr>
                <w:rFonts w:hint="eastAsia"/>
              </w:rPr>
              <w:t>项目产品方案见下表。</w:t>
            </w:r>
          </w:p>
          <w:p w14:paraId="6B8B3C94">
            <w:pPr>
              <w:pStyle w:val="8"/>
              <w:numPr>
                <w:ilvl w:val="5"/>
                <w:numId w:val="0"/>
              </w:numPr>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表2-4</w:t>
            </w:r>
            <w:r>
              <w:rPr>
                <w:rFonts w:hint="eastAsia"/>
              </w:rPr>
              <w:t>项目产品方案一览表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923"/>
              <w:gridCol w:w="790"/>
              <w:gridCol w:w="6367"/>
            </w:tblGrid>
            <w:tr w14:paraId="17BD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05" w:type="pct"/>
                  <w:vAlign w:val="center"/>
                </w:tcPr>
                <w:p w14:paraId="604865A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序号</w:t>
                  </w:r>
                </w:p>
              </w:tc>
              <w:tc>
                <w:tcPr>
                  <w:tcW w:w="536" w:type="pct"/>
                  <w:vAlign w:val="center"/>
                </w:tcPr>
                <w:p w14:paraId="15CDB23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产品名称</w:t>
                  </w:r>
                </w:p>
              </w:tc>
              <w:tc>
                <w:tcPr>
                  <w:tcW w:w="459" w:type="pct"/>
                  <w:vAlign w:val="center"/>
                </w:tcPr>
                <w:p w14:paraId="4D36857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年产量/</w:t>
                  </w:r>
                  <w:r>
                    <w:rPr>
                      <w:rFonts w:hint="eastAsia" w:cs="Times New Roman"/>
                      <w:color w:val="000000"/>
                      <w:kern w:val="0"/>
                      <w:sz w:val="21"/>
                      <w:szCs w:val="21"/>
                      <w:highlight w:val="none"/>
                      <w:lang w:val="en-US" w:eastAsia="zh-CN" w:bidi="ar"/>
                    </w:rPr>
                    <w:t>t</w:t>
                  </w:r>
                </w:p>
              </w:tc>
              <w:tc>
                <w:tcPr>
                  <w:tcW w:w="3699" w:type="pct"/>
                  <w:vAlign w:val="center"/>
                </w:tcPr>
                <w:p w14:paraId="252F32C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备注</w:t>
                  </w:r>
                </w:p>
              </w:tc>
            </w:tr>
            <w:tr w14:paraId="12DF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05" w:type="pct"/>
                  <w:vAlign w:val="center"/>
                </w:tcPr>
                <w:p w14:paraId="63D0EE96">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w:t>
                  </w:r>
                </w:p>
              </w:tc>
              <w:tc>
                <w:tcPr>
                  <w:tcW w:w="536" w:type="pct"/>
                  <w:vAlign w:val="center"/>
                </w:tcPr>
                <w:p w14:paraId="15D4F1A2">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有机肥基料</w:t>
                  </w:r>
                </w:p>
              </w:tc>
              <w:tc>
                <w:tcPr>
                  <w:tcW w:w="459" w:type="pct"/>
                  <w:vAlign w:val="center"/>
                </w:tcPr>
                <w:p w14:paraId="2516CDC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1460</w:t>
                  </w:r>
                </w:p>
              </w:tc>
              <w:tc>
                <w:tcPr>
                  <w:tcW w:w="3699" w:type="pct"/>
                  <w:vMerge w:val="restart"/>
                  <w:vAlign w:val="center"/>
                </w:tcPr>
                <w:p w14:paraId="7FC8387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color w:val="000000"/>
                      <w:kern w:val="0"/>
                      <w:sz w:val="21"/>
                      <w:szCs w:val="21"/>
                      <w:highlight w:val="none"/>
                      <w:lang w:val="en-US" w:eastAsia="zh-CN" w:bidi="ar"/>
                    </w:rPr>
                  </w:pPr>
                  <w:r>
                    <w:rPr>
                      <w:rFonts w:hint="eastAsia"/>
                      <w:sz w:val="21"/>
                      <w:szCs w:val="21"/>
                      <w:u w:val="single"/>
                    </w:rPr>
                    <w:t>本项目</w:t>
                  </w:r>
                  <w:r>
                    <w:rPr>
                      <w:rFonts w:hint="eastAsia"/>
                      <w:sz w:val="21"/>
                      <w:szCs w:val="21"/>
                      <w:u w:val="single"/>
                      <w:lang w:eastAsia="zh-CN"/>
                    </w:rPr>
                    <w:t>生物柴油原料作为油脂产品</w:t>
                  </w:r>
                  <w:r>
                    <w:rPr>
                      <w:rFonts w:hint="eastAsia"/>
                      <w:sz w:val="21"/>
                      <w:szCs w:val="21"/>
                      <w:u w:val="single"/>
                    </w:rPr>
                    <w:t>主要用于制造润滑剂及制革工业，不作为食品生产原料，肉骨粉作为有机肥基料生产农用有机肥。</w:t>
                  </w:r>
                </w:p>
              </w:tc>
            </w:tr>
            <w:tr w14:paraId="5FBA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05" w:type="pct"/>
                  <w:vAlign w:val="center"/>
                </w:tcPr>
                <w:p w14:paraId="661192D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2</w:t>
                  </w:r>
                </w:p>
              </w:tc>
              <w:tc>
                <w:tcPr>
                  <w:tcW w:w="536" w:type="pct"/>
                  <w:vAlign w:val="center"/>
                </w:tcPr>
                <w:p w14:paraId="4C419B9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eastAsia"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生物柴油原料</w:t>
                  </w:r>
                </w:p>
              </w:tc>
              <w:tc>
                <w:tcPr>
                  <w:tcW w:w="459" w:type="pct"/>
                  <w:vAlign w:val="center"/>
                </w:tcPr>
                <w:p w14:paraId="0E11FBC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730</w:t>
                  </w:r>
                </w:p>
              </w:tc>
              <w:tc>
                <w:tcPr>
                  <w:tcW w:w="3699" w:type="pct"/>
                  <w:vMerge w:val="continue"/>
                  <w:vAlign w:val="center"/>
                </w:tcPr>
                <w:p w14:paraId="277F551C">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color w:val="000000"/>
                      <w:kern w:val="0"/>
                      <w:sz w:val="21"/>
                      <w:szCs w:val="21"/>
                      <w:highlight w:val="none"/>
                      <w:lang w:val="en-US" w:eastAsia="zh-CN" w:bidi="ar"/>
                    </w:rPr>
                  </w:pPr>
                </w:p>
              </w:tc>
            </w:tr>
          </w:tbl>
          <w:p w14:paraId="623EAA84">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2.</w:t>
            </w:r>
            <w:r>
              <w:rPr>
                <w:rFonts w:hint="eastAsia" w:cs="Times New Roman"/>
                <w:b/>
                <w:i w:val="0"/>
                <w:kern w:val="2"/>
                <w:sz w:val="24"/>
                <w:szCs w:val="24"/>
                <w:lang w:val="en-US" w:eastAsia="zh-CN" w:bidi="ar-SA"/>
              </w:rPr>
              <w:t>6</w:t>
            </w:r>
            <w:r>
              <w:rPr>
                <w:rFonts w:hint="default" w:ascii="Times New Roman" w:hAnsi="Times New Roman" w:eastAsia="宋体" w:cs="Times New Roman"/>
                <w:b/>
                <w:i w:val="0"/>
                <w:kern w:val="2"/>
                <w:sz w:val="24"/>
                <w:szCs w:val="24"/>
                <w:lang w:val="en-US" w:eastAsia="zh-CN" w:bidi="ar-SA"/>
              </w:rPr>
              <w:t>、</w:t>
            </w:r>
            <w:r>
              <w:rPr>
                <w:rFonts w:hint="eastAsia"/>
              </w:rPr>
              <w:t>生产班制及劳动定员</w:t>
            </w:r>
          </w:p>
          <w:p w14:paraId="0F0801BA">
            <w:pPr>
              <w:numPr>
                <w:ilvl w:val="0"/>
                <w:numId w:val="0"/>
              </w:numPr>
              <w:ind w:firstLine="480" w:firstLineChars="200"/>
              <w:jc w:val="left"/>
            </w:pPr>
            <w:r>
              <w:rPr>
                <w:rFonts w:hint="eastAsia"/>
              </w:rPr>
              <w:t>劳动定员</w:t>
            </w:r>
            <w:r>
              <w:rPr>
                <w:rFonts w:hint="eastAsia"/>
                <w:lang w:val="en-US" w:eastAsia="zh-CN"/>
              </w:rPr>
              <w:t>20</w:t>
            </w:r>
            <w:r>
              <w:rPr>
                <w:rFonts w:hint="eastAsia"/>
              </w:rPr>
              <w:t>人，</w:t>
            </w:r>
            <w:r>
              <w:rPr>
                <w:rFonts w:hint="eastAsia" w:eastAsia="宋体"/>
                <w:lang w:val="en-US" w:eastAsia="zh-CN"/>
              </w:rPr>
              <w:t>每天</w:t>
            </w:r>
            <w:r>
              <w:rPr>
                <w:rFonts w:hint="eastAsia"/>
                <w:lang w:val="en-US" w:eastAsia="zh-CN"/>
              </w:rPr>
              <w:t>生产8h</w:t>
            </w:r>
            <w:r>
              <w:rPr>
                <w:rFonts w:hint="eastAsia" w:eastAsia="宋体"/>
                <w:lang w:val="en-US" w:eastAsia="zh-CN"/>
              </w:rPr>
              <w:t>，每年生产天数</w:t>
            </w:r>
            <w:r>
              <w:rPr>
                <w:rFonts w:hint="eastAsia"/>
                <w:lang w:val="en-US" w:eastAsia="zh-CN"/>
              </w:rPr>
              <w:t>300</w:t>
            </w:r>
            <w:r>
              <w:rPr>
                <w:rFonts w:hint="eastAsia" w:eastAsia="宋体"/>
                <w:lang w:val="en-US" w:eastAsia="zh-CN"/>
              </w:rPr>
              <w:t>天</w:t>
            </w:r>
            <w:r>
              <w:rPr>
                <w:rFonts w:hint="eastAsia"/>
                <w:lang w:val="en-US" w:eastAsia="zh-CN"/>
              </w:rPr>
              <w:t>，</w:t>
            </w:r>
            <w:r>
              <w:rPr>
                <w:rFonts w:hint="eastAsia" w:eastAsia="宋体"/>
                <w:lang w:val="en-US" w:eastAsia="zh-CN"/>
              </w:rPr>
              <w:t>年生产时间</w:t>
            </w:r>
            <w:r>
              <w:rPr>
                <w:rFonts w:hint="eastAsia"/>
                <w:lang w:val="en-US" w:eastAsia="zh-CN"/>
              </w:rPr>
              <w:t>2400</w:t>
            </w:r>
            <w:r>
              <w:rPr>
                <w:rFonts w:hint="eastAsia" w:eastAsia="宋体"/>
                <w:lang w:val="en-US" w:eastAsia="zh-CN"/>
              </w:rPr>
              <w:t>h。</w:t>
            </w:r>
          </w:p>
          <w:p w14:paraId="4136EB67">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2.</w:t>
            </w:r>
            <w:r>
              <w:rPr>
                <w:rFonts w:hint="eastAsia" w:cs="Times New Roman"/>
                <w:b/>
                <w:i w:val="0"/>
                <w:kern w:val="2"/>
                <w:sz w:val="24"/>
                <w:szCs w:val="24"/>
                <w:lang w:val="en-US" w:eastAsia="zh-CN" w:bidi="ar-SA"/>
              </w:rPr>
              <w:t>7</w:t>
            </w:r>
            <w:r>
              <w:rPr>
                <w:rFonts w:hint="default" w:ascii="Times New Roman" w:hAnsi="Times New Roman" w:eastAsia="宋体" w:cs="Times New Roman"/>
                <w:b/>
                <w:i w:val="0"/>
                <w:kern w:val="2"/>
                <w:sz w:val="24"/>
                <w:szCs w:val="24"/>
                <w:lang w:val="en-US" w:eastAsia="zh-CN" w:bidi="ar-SA"/>
              </w:rPr>
              <w:t>、</w:t>
            </w:r>
            <w:r>
              <w:rPr>
                <w:rFonts w:hint="eastAsia"/>
                <w:lang w:eastAsia="zh-CN"/>
              </w:rPr>
              <w:t>用水</w:t>
            </w:r>
          </w:p>
          <w:p w14:paraId="72A01CAB">
            <w:pPr>
              <w:pStyle w:val="5"/>
              <w:numPr>
                <w:ilvl w:val="2"/>
                <w:numId w:val="0"/>
              </w:numPr>
              <w:bidi w:val="0"/>
              <w:ind w:left="0" w:leftChars="0" w:firstLine="0" w:firstLineChars="0"/>
            </w:pPr>
            <w:r>
              <w:rPr>
                <w:rFonts w:hint="default" w:ascii="Times New Roman" w:hAnsi="Times New Roman" w:eastAsia="宋体" w:cs="Times New Roman"/>
                <w:b/>
                <w:i w:val="0"/>
                <w:color w:val="auto"/>
                <w:kern w:val="2"/>
                <w:sz w:val="24"/>
                <w:szCs w:val="24"/>
                <w:lang w:val="en-US" w:eastAsia="zh-CN" w:bidi="ar-SA"/>
              </w:rPr>
              <w:t>2.</w:t>
            </w:r>
            <w:r>
              <w:rPr>
                <w:rFonts w:hint="eastAsia" w:cs="Times New Roman"/>
                <w:b/>
                <w:i w:val="0"/>
                <w:color w:val="auto"/>
                <w:kern w:val="2"/>
                <w:sz w:val="24"/>
                <w:szCs w:val="24"/>
                <w:lang w:val="en-US" w:eastAsia="zh-CN" w:bidi="ar-SA"/>
              </w:rPr>
              <w:t>7</w:t>
            </w:r>
            <w:r>
              <w:rPr>
                <w:rFonts w:hint="default" w:ascii="Times New Roman" w:hAnsi="Times New Roman" w:eastAsia="宋体" w:cs="Times New Roman"/>
                <w:b/>
                <w:i w:val="0"/>
                <w:color w:val="auto"/>
                <w:kern w:val="2"/>
                <w:sz w:val="24"/>
                <w:szCs w:val="24"/>
                <w:lang w:val="en-US" w:eastAsia="zh-CN" w:bidi="ar-SA"/>
              </w:rPr>
              <w:t>.1、</w:t>
            </w:r>
            <w:r>
              <w:rPr>
                <w:rFonts w:hint="eastAsia"/>
                <w:lang w:eastAsia="zh-CN"/>
              </w:rPr>
              <w:t>生活用水</w:t>
            </w:r>
          </w:p>
          <w:p w14:paraId="72F1960C">
            <w:pPr>
              <w:ind w:firstLine="480"/>
            </w:pPr>
            <w:r>
              <w:rPr>
                <w:rFonts w:hint="eastAsia" w:ascii="宋体" w:hAnsi="宋体" w:eastAsia="宋体" w:cs="宋体"/>
                <w:color w:val="000000"/>
                <w:kern w:val="0"/>
                <w:sz w:val="24"/>
                <w:szCs w:val="24"/>
                <w:highlight w:val="none"/>
                <w:lang w:val="en-US" w:eastAsia="zh-CN" w:bidi="ar"/>
              </w:rPr>
              <w:t>根据建设单位提供资料，项目</w:t>
            </w:r>
            <w:r>
              <w:rPr>
                <w:rFonts w:hint="eastAsia" w:ascii="宋体" w:hAnsi="宋体" w:cs="宋体"/>
                <w:color w:val="000000"/>
                <w:kern w:val="0"/>
                <w:sz w:val="24"/>
                <w:szCs w:val="24"/>
                <w:highlight w:val="none"/>
                <w:lang w:val="en-US" w:eastAsia="zh-CN" w:bidi="ar"/>
              </w:rPr>
              <w:t>新增</w:t>
            </w:r>
            <w:r>
              <w:rPr>
                <w:rFonts w:hint="eastAsia" w:ascii="宋体" w:hAnsi="宋体" w:eastAsia="宋体" w:cs="宋体"/>
                <w:color w:val="000000"/>
                <w:kern w:val="0"/>
                <w:sz w:val="24"/>
                <w:szCs w:val="24"/>
                <w:highlight w:val="none"/>
                <w:lang w:val="en-US" w:eastAsia="zh-CN" w:bidi="ar"/>
              </w:rPr>
              <w:t>劳动定员</w:t>
            </w:r>
            <w:r>
              <w:rPr>
                <w:rFonts w:hint="eastAsia" w:cs="Times New Roman"/>
                <w:color w:val="000000"/>
                <w:kern w:val="0"/>
                <w:sz w:val="24"/>
                <w:szCs w:val="24"/>
                <w:highlight w:val="none"/>
                <w:lang w:val="en-US" w:eastAsia="zh-CN" w:bidi="ar"/>
              </w:rPr>
              <w:t>20</w:t>
            </w:r>
            <w:r>
              <w:rPr>
                <w:rFonts w:hint="eastAsia" w:ascii="宋体" w:hAnsi="宋体" w:eastAsia="宋体" w:cs="宋体"/>
                <w:color w:val="000000"/>
                <w:kern w:val="0"/>
                <w:sz w:val="24"/>
                <w:szCs w:val="24"/>
                <w:highlight w:val="none"/>
                <w:lang w:val="en-US" w:eastAsia="zh-CN" w:bidi="ar"/>
              </w:rPr>
              <w:t>人，</w:t>
            </w:r>
            <w:r>
              <w:rPr>
                <w:spacing w:val="-3"/>
                <w:sz w:val="24"/>
              </w:rPr>
              <w:t>项目职工均不在厂</w:t>
            </w:r>
            <w:r>
              <w:rPr>
                <w:sz w:val="24"/>
              </w:rPr>
              <w:t>内住宿</w:t>
            </w:r>
            <w:r>
              <w:rPr>
                <w:rFonts w:hint="eastAsia"/>
                <w:sz w:val="24"/>
                <w:lang w:eastAsia="zh-CN"/>
              </w:rPr>
              <w:t>，</w:t>
            </w:r>
            <w:r>
              <w:rPr>
                <w:rFonts w:hint="eastAsia"/>
                <w:sz w:val="24"/>
                <w:u w:val="single"/>
                <w:lang w:eastAsia="zh-CN"/>
              </w:rPr>
              <w:t>参考</w:t>
            </w:r>
            <w:r>
              <w:rPr>
                <w:rFonts w:hint="eastAsia"/>
                <w:u w:val="single"/>
              </w:rPr>
              <w:t>《建筑给水排水设计标准》（G</w:t>
            </w:r>
            <w:r>
              <w:rPr>
                <w:u w:val="single"/>
              </w:rPr>
              <w:t>B50015-2019</w:t>
            </w:r>
            <w:r>
              <w:rPr>
                <w:rFonts w:hint="eastAsia"/>
                <w:u w:val="single"/>
              </w:rPr>
              <w:t>）</w:t>
            </w:r>
            <w:r>
              <w:rPr>
                <w:rFonts w:hint="eastAsia"/>
                <w:u w:val="single"/>
                <w:lang w:eastAsia="zh-CN"/>
              </w:rPr>
              <w:t>，</w:t>
            </w:r>
            <w:r>
              <w:rPr>
                <w:rFonts w:hint="eastAsia" w:ascii="宋体" w:hAnsi="宋体" w:eastAsia="宋体" w:cs="宋体"/>
                <w:color w:val="000000"/>
                <w:kern w:val="0"/>
                <w:sz w:val="24"/>
                <w:szCs w:val="24"/>
                <w:highlight w:val="none"/>
                <w:u w:val="single"/>
                <w:lang w:val="en-US" w:eastAsia="zh-CN" w:bidi="ar"/>
              </w:rPr>
              <w:t>厂员工生活用水量按每人</w:t>
            </w:r>
            <w:r>
              <w:rPr>
                <w:rFonts w:hint="eastAsia" w:cs="Times New Roman"/>
                <w:color w:val="000000"/>
                <w:kern w:val="0"/>
                <w:sz w:val="24"/>
                <w:szCs w:val="24"/>
                <w:highlight w:val="none"/>
                <w:u w:val="single"/>
                <w:lang w:val="en-US" w:eastAsia="zh-CN" w:bidi="ar"/>
              </w:rPr>
              <w:t>60</w:t>
            </w:r>
            <w:r>
              <w:rPr>
                <w:rFonts w:hint="default" w:ascii="Times New Roman" w:hAnsi="Times New Roman" w:eastAsia="宋体" w:cs="Times New Roman"/>
                <w:color w:val="000000"/>
                <w:kern w:val="0"/>
                <w:sz w:val="24"/>
                <w:szCs w:val="24"/>
                <w:highlight w:val="none"/>
                <w:u w:val="single"/>
                <w:lang w:val="en-US" w:eastAsia="zh-CN" w:bidi="ar"/>
              </w:rPr>
              <w:t>L/d</w:t>
            </w:r>
            <w:r>
              <w:rPr>
                <w:rFonts w:hint="eastAsia" w:cs="Times New Roman"/>
                <w:color w:val="000000"/>
                <w:kern w:val="0"/>
                <w:sz w:val="24"/>
                <w:szCs w:val="24"/>
                <w:highlight w:val="none"/>
                <w:u w:val="single"/>
                <w:lang w:val="en-US" w:eastAsia="zh-CN" w:bidi="ar"/>
              </w:rPr>
              <w:t>·人</w:t>
            </w:r>
            <w:r>
              <w:rPr>
                <w:rFonts w:hint="eastAsia" w:ascii="宋体" w:hAnsi="宋体" w:eastAsia="宋体" w:cs="宋体"/>
                <w:color w:val="000000"/>
                <w:kern w:val="0"/>
                <w:sz w:val="24"/>
                <w:szCs w:val="24"/>
                <w:highlight w:val="none"/>
                <w:u w:val="single"/>
                <w:lang w:val="en-US" w:eastAsia="zh-CN" w:bidi="ar"/>
              </w:rPr>
              <w:t>计，则员工总用水量为</w:t>
            </w:r>
            <w:r>
              <w:rPr>
                <w:rFonts w:hint="eastAsia" w:cs="Times New Roman"/>
                <w:color w:val="000000"/>
                <w:kern w:val="0"/>
                <w:sz w:val="24"/>
                <w:szCs w:val="24"/>
                <w:highlight w:val="none"/>
                <w:u w:val="single"/>
                <w:lang w:val="en-US" w:eastAsia="zh-CN" w:bidi="ar"/>
              </w:rPr>
              <w:t>1.2</w:t>
            </w:r>
            <w:r>
              <w:rPr>
                <w:rFonts w:hint="default" w:ascii="Times New Roman" w:hAnsi="Times New Roman" w:eastAsia="宋体" w:cs="Times New Roman"/>
                <w:color w:val="000000"/>
                <w:kern w:val="0"/>
                <w:sz w:val="24"/>
                <w:szCs w:val="24"/>
                <w:highlight w:val="none"/>
                <w:u w:val="single"/>
                <w:lang w:val="en-US" w:eastAsia="zh-CN" w:bidi="ar"/>
              </w:rPr>
              <w:t>t/d</w:t>
            </w:r>
            <w:r>
              <w:rPr>
                <w:rFonts w:hint="eastAsia" w:ascii="宋体" w:hAnsi="宋体" w:eastAsia="宋体" w:cs="宋体"/>
                <w:color w:val="000000"/>
                <w:kern w:val="0"/>
                <w:sz w:val="24"/>
                <w:szCs w:val="24"/>
                <w:highlight w:val="none"/>
                <w:u w:val="single"/>
                <w:lang w:val="en-US" w:eastAsia="zh-CN" w:bidi="ar"/>
              </w:rPr>
              <w:t>，年工作日为</w:t>
            </w:r>
            <w:r>
              <w:rPr>
                <w:rFonts w:hint="eastAsia" w:cs="Times New Roman"/>
                <w:color w:val="000000"/>
                <w:kern w:val="0"/>
                <w:sz w:val="24"/>
                <w:szCs w:val="24"/>
                <w:highlight w:val="none"/>
                <w:u w:val="single"/>
                <w:lang w:val="en-US" w:eastAsia="zh-CN" w:bidi="ar"/>
              </w:rPr>
              <w:t>30</w:t>
            </w:r>
            <w:r>
              <w:rPr>
                <w:rFonts w:hint="eastAsia" w:eastAsia="宋体" w:cs="Times New Roman"/>
                <w:color w:val="000000"/>
                <w:kern w:val="0"/>
                <w:sz w:val="24"/>
                <w:szCs w:val="24"/>
                <w:highlight w:val="none"/>
                <w:u w:val="single"/>
                <w:lang w:val="en-US" w:eastAsia="zh-CN" w:bidi="ar"/>
              </w:rPr>
              <w:t>0</w:t>
            </w:r>
            <w:r>
              <w:rPr>
                <w:rFonts w:hint="eastAsia" w:ascii="宋体" w:hAnsi="宋体" w:eastAsia="宋体" w:cs="宋体"/>
                <w:color w:val="000000"/>
                <w:kern w:val="0"/>
                <w:sz w:val="24"/>
                <w:szCs w:val="24"/>
                <w:highlight w:val="none"/>
                <w:u w:val="single"/>
                <w:lang w:val="en-US" w:eastAsia="zh-CN" w:bidi="ar"/>
              </w:rPr>
              <w:t>天，则生活用水总量</w:t>
            </w:r>
            <w:r>
              <w:rPr>
                <w:rFonts w:hint="eastAsia" w:cs="Times New Roman"/>
                <w:color w:val="000000"/>
                <w:kern w:val="0"/>
                <w:sz w:val="24"/>
                <w:szCs w:val="24"/>
                <w:highlight w:val="none"/>
                <w:u w:val="single"/>
                <w:lang w:val="en-US" w:eastAsia="zh-CN" w:bidi="ar"/>
              </w:rPr>
              <w:t>360</w:t>
            </w:r>
            <w:r>
              <w:rPr>
                <w:rFonts w:hint="default" w:ascii="Times New Roman" w:hAnsi="Times New Roman" w:eastAsia="宋体" w:cs="Times New Roman"/>
                <w:color w:val="000000"/>
                <w:kern w:val="0"/>
                <w:sz w:val="24"/>
                <w:szCs w:val="24"/>
                <w:highlight w:val="none"/>
                <w:u w:val="single"/>
                <w:lang w:val="en-US" w:eastAsia="zh-CN" w:bidi="ar"/>
              </w:rPr>
              <w:t>t/a</w:t>
            </w:r>
            <w:r>
              <w:rPr>
                <w:rFonts w:hint="eastAsia" w:ascii="宋体" w:hAnsi="宋体" w:eastAsia="宋体" w:cs="宋体"/>
                <w:color w:val="000000"/>
                <w:kern w:val="0"/>
                <w:sz w:val="24"/>
                <w:szCs w:val="24"/>
                <w:highlight w:val="none"/>
                <w:u w:val="single"/>
                <w:lang w:val="en-US" w:eastAsia="zh-CN" w:bidi="ar"/>
              </w:rPr>
              <w:t>。污水量按用水量的</w:t>
            </w:r>
            <w:r>
              <w:rPr>
                <w:rFonts w:hint="default" w:ascii="Times New Roman" w:hAnsi="Times New Roman" w:eastAsia="宋体" w:cs="Times New Roman"/>
                <w:color w:val="000000"/>
                <w:kern w:val="0"/>
                <w:sz w:val="24"/>
                <w:szCs w:val="24"/>
                <w:highlight w:val="none"/>
                <w:u w:val="single"/>
                <w:lang w:val="en-US" w:eastAsia="zh-CN" w:bidi="ar"/>
              </w:rPr>
              <w:t>80%</w:t>
            </w:r>
            <w:r>
              <w:rPr>
                <w:rFonts w:hint="eastAsia" w:ascii="宋体" w:hAnsi="宋体" w:eastAsia="宋体" w:cs="宋体"/>
                <w:color w:val="000000"/>
                <w:kern w:val="0"/>
                <w:sz w:val="24"/>
                <w:szCs w:val="24"/>
                <w:highlight w:val="none"/>
                <w:u w:val="single"/>
                <w:lang w:val="en-US" w:eastAsia="zh-CN" w:bidi="ar"/>
              </w:rPr>
              <w:t>计，污水量产生量为</w:t>
            </w:r>
            <w:r>
              <w:rPr>
                <w:rFonts w:hint="eastAsia" w:cs="Times New Roman"/>
                <w:color w:val="000000"/>
                <w:kern w:val="0"/>
                <w:sz w:val="24"/>
                <w:szCs w:val="24"/>
                <w:highlight w:val="none"/>
                <w:u w:val="single"/>
                <w:lang w:val="en-US" w:eastAsia="zh-CN" w:bidi="ar"/>
              </w:rPr>
              <w:t>288</w:t>
            </w:r>
            <w:r>
              <w:rPr>
                <w:rFonts w:hint="default" w:ascii="Times New Roman" w:hAnsi="Times New Roman" w:eastAsia="宋体" w:cs="Times New Roman"/>
                <w:color w:val="000000"/>
                <w:kern w:val="0"/>
                <w:sz w:val="24"/>
                <w:szCs w:val="24"/>
                <w:highlight w:val="none"/>
                <w:u w:val="single"/>
                <w:lang w:val="en-US" w:eastAsia="zh-CN" w:bidi="ar"/>
              </w:rPr>
              <w:t>t/a</w:t>
            </w:r>
            <w:r>
              <w:rPr>
                <w:rFonts w:hint="eastAsia" w:ascii="宋体" w:hAnsi="宋体" w:eastAsia="宋体" w:cs="宋体"/>
                <w:color w:val="000000"/>
                <w:kern w:val="0"/>
                <w:sz w:val="24"/>
                <w:szCs w:val="24"/>
                <w:highlight w:val="none"/>
                <w:u w:val="single"/>
                <w:lang w:val="en-US" w:eastAsia="zh-CN" w:bidi="ar"/>
              </w:rPr>
              <w:t>。</w:t>
            </w:r>
          </w:p>
          <w:p w14:paraId="2531DF57">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2.</w:t>
            </w:r>
            <w:r>
              <w:rPr>
                <w:rFonts w:hint="eastAsia" w:cs="Times New Roman"/>
                <w:b/>
                <w:i w:val="0"/>
                <w:color w:val="auto"/>
                <w:kern w:val="2"/>
                <w:sz w:val="24"/>
                <w:szCs w:val="24"/>
                <w:lang w:val="en-US" w:eastAsia="zh-CN" w:bidi="ar-SA"/>
              </w:rPr>
              <w:t>7</w:t>
            </w:r>
            <w:r>
              <w:rPr>
                <w:rFonts w:hint="default" w:ascii="Times New Roman" w:hAnsi="Times New Roman" w:eastAsia="宋体" w:cs="Times New Roman"/>
                <w:b/>
                <w:i w:val="0"/>
                <w:color w:val="auto"/>
                <w:kern w:val="2"/>
                <w:sz w:val="24"/>
                <w:szCs w:val="24"/>
                <w:lang w:val="en-US" w:eastAsia="zh-CN" w:bidi="ar-SA"/>
              </w:rPr>
              <w:t>.2、</w:t>
            </w:r>
            <w:r>
              <w:rPr>
                <w:rFonts w:hint="eastAsia"/>
                <w:lang w:eastAsia="zh-CN"/>
              </w:rPr>
              <w:t>生产用水</w:t>
            </w:r>
          </w:p>
          <w:p w14:paraId="7D720F42">
            <w:pPr>
              <w:pStyle w:val="6"/>
              <w:numPr>
                <w:ilvl w:val="3"/>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2.</w:t>
            </w:r>
            <w:r>
              <w:rPr>
                <w:rFonts w:hint="eastAsia" w:cs="Times New Roman"/>
                <w:b/>
                <w:i w:val="0"/>
                <w:kern w:val="2"/>
                <w:sz w:val="24"/>
                <w:szCs w:val="24"/>
                <w:lang w:val="en-US" w:eastAsia="zh-CN" w:bidi="ar-SA"/>
              </w:rPr>
              <w:t>7</w:t>
            </w:r>
            <w:r>
              <w:rPr>
                <w:rFonts w:hint="default" w:ascii="Times New Roman" w:hAnsi="Times New Roman" w:eastAsia="宋体" w:cs="Times New Roman"/>
                <w:b/>
                <w:i w:val="0"/>
                <w:kern w:val="2"/>
                <w:sz w:val="24"/>
                <w:szCs w:val="24"/>
                <w:lang w:val="en-US" w:eastAsia="zh-CN" w:bidi="ar-SA"/>
              </w:rPr>
              <w:t>.2.1、</w:t>
            </w:r>
            <w:r>
              <w:rPr>
                <w:rFonts w:hint="eastAsia"/>
                <w:lang w:eastAsia="zh-CN"/>
              </w:rPr>
              <w:t>车辆清洗废水</w:t>
            </w:r>
          </w:p>
          <w:p w14:paraId="087C1F27">
            <w:pPr>
              <w:rPr>
                <w:rFonts w:hint="eastAsia"/>
              </w:rPr>
            </w:pPr>
            <w:r>
              <w:rPr>
                <w:rFonts w:hint="eastAsia"/>
              </w:rPr>
              <w:t>运输车运输完毕后需要进行清洗消毒，企业使用自来水清洗，添加消毒剂。项目年处理动物尸体</w:t>
            </w:r>
            <w:r>
              <w:rPr>
                <w:rFonts w:hint="eastAsia"/>
                <w:lang w:val="en-US" w:eastAsia="zh-CN"/>
              </w:rPr>
              <w:t>7300</w:t>
            </w:r>
            <w:r>
              <w:rPr>
                <w:rFonts w:hint="eastAsia"/>
              </w:rPr>
              <w:t>吨，使用8辆运输车，每天运输</w:t>
            </w:r>
            <w:r>
              <w:rPr>
                <w:rFonts w:hint="eastAsia"/>
                <w:lang w:val="en-US" w:eastAsia="zh-CN"/>
              </w:rPr>
              <w:t>2</w:t>
            </w:r>
            <w:r>
              <w:rPr>
                <w:rFonts w:hint="eastAsia"/>
              </w:rPr>
              <w:t>次，每车平均运输量约</w:t>
            </w:r>
            <w:r>
              <w:rPr>
                <w:rFonts w:hint="eastAsia"/>
                <w:lang w:val="en-US" w:eastAsia="zh-CN"/>
              </w:rPr>
              <w:t>1</w:t>
            </w:r>
            <w:r>
              <w:rPr>
                <w:rFonts w:hint="eastAsia"/>
              </w:rPr>
              <w:t>.5吨，每年约</w:t>
            </w:r>
            <w:r>
              <w:rPr>
                <w:rFonts w:hint="eastAsia"/>
                <w:lang w:val="en-US" w:eastAsia="zh-CN"/>
              </w:rPr>
              <w:t>4800</w:t>
            </w:r>
            <w:r>
              <w:rPr>
                <w:rFonts w:hint="eastAsia"/>
              </w:rPr>
              <w:t>车次。参考《建筑给水排水设计标准》（G</w:t>
            </w:r>
            <w:r>
              <w:t>B50015-2019</w:t>
            </w:r>
            <w:r>
              <w:rPr>
                <w:rFonts w:hint="eastAsia"/>
              </w:rPr>
              <w:t>），大型车辆采用高压水枪冲洗，每次清洗用水量按80L/辆·次计，则清洗用水量为</w:t>
            </w:r>
            <w:r>
              <w:rPr>
                <w:rFonts w:hint="eastAsia"/>
                <w:lang w:val="en-US" w:eastAsia="zh-CN"/>
              </w:rPr>
              <w:t>1.28</w:t>
            </w:r>
            <w:r>
              <w:rPr>
                <w:rFonts w:hint="eastAsia"/>
              </w:rPr>
              <w:t>m</w:t>
            </w:r>
            <w:r>
              <w:rPr>
                <w:rFonts w:hint="eastAsia"/>
                <w:vertAlign w:val="superscript"/>
              </w:rPr>
              <w:t>3</w:t>
            </w:r>
            <w:r>
              <w:rPr>
                <w:rFonts w:hint="eastAsia"/>
              </w:rPr>
              <w:t>/d、</w:t>
            </w:r>
            <w:r>
              <w:rPr>
                <w:rFonts w:hint="eastAsia"/>
                <w:lang w:val="en-US" w:eastAsia="zh-CN"/>
              </w:rPr>
              <w:t>384</w:t>
            </w:r>
            <w:r>
              <w:rPr>
                <w:rFonts w:hint="eastAsia"/>
              </w:rPr>
              <w:t>m</w:t>
            </w:r>
            <w:r>
              <w:rPr>
                <w:rFonts w:hint="eastAsia"/>
                <w:vertAlign w:val="superscript"/>
              </w:rPr>
              <w:t>3</w:t>
            </w:r>
            <w:r>
              <w:rPr>
                <w:rFonts w:hint="eastAsia"/>
              </w:rPr>
              <w:t>/a。排污系数取0.85，则运输车辆清洗废水</w:t>
            </w:r>
            <w:r>
              <w:rPr>
                <w:rFonts w:hint="eastAsia"/>
                <w:lang w:eastAsia="zh-CN"/>
              </w:rPr>
              <w:t>产生</w:t>
            </w:r>
            <w:r>
              <w:rPr>
                <w:rFonts w:hint="eastAsia"/>
              </w:rPr>
              <w:t>量为</w:t>
            </w:r>
            <w:r>
              <w:rPr>
                <w:rFonts w:hint="eastAsia"/>
                <w:lang w:val="en-US" w:eastAsia="zh-CN"/>
              </w:rPr>
              <w:t>1.088</w:t>
            </w:r>
            <w:r>
              <w:rPr>
                <w:rFonts w:hint="eastAsia"/>
              </w:rPr>
              <w:t>m</w:t>
            </w:r>
            <w:r>
              <w:rPr>
                <w:rFonts w:hint="eastAsia"/>
                <w:vertAlign w:val="superscript"/>
              </w:rPr>
              <w:t>3</w:t>
            </w:r>
            <w:r>
              <w:rPr>
                <w:rFonts w:hint="eastAsia"/>
              </w:rPr>
              <w:t>/d，</w:t>
            </w:r>
            <w:r>
              <w:rPr>
                <w:rFonts w:hint="eastAsia"/>
                <w:lang w:val="en-US" w:eastAsia="zh-CN"/>
              </w:rPr>
              <w:t>326.4</w:t>
            </w:r>
            <w:r>
              <w:rPr>
                <w:rFonts w:hint="eastAsia"/>
              </w:rPr>
              <w:t>m</w:t>
            </w:r>
            <w:r>
              <w:rPr>
                <w:rFonts w:hint="eastAsia"/>
                <w:vertAlign w:val="superscript"/>
              </w:rPr>
              <w:t>3</w:t>
            </w:r>
            <w:r>
              <w:rPr>
                <w:rFonts w:hint="eastAsia"/>
              </w:rPr>
              <w:t>/a。</w:t>
            </w:r>
          </w:p>
          <w:p w14:paraId="300FB674">
            <w:pPr>
              <w:pStyle w:val="6"/>
              <w:numPr>
                <w:ilvl w:val="3"/>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2.</w:t>
            </w:r>
            <w:r>
              <w:rPr>
                <w:rFonts w:hint="eastAsia" w:cs="Times New Roman"/>
                <w:b/>
                <w:i w:val="0"/>
                <w:kern w:val="2"/>
                <w:sz w:val="24"/>
                <w:szCs w:val="24"/>
                <w:lang w:val="en-US" w:eastAsia="zh-CN" w:bidi="ar-SA"/>
              </w:rPr>
              <w:t>7</w:t>
            </w:r>
            <w:r>
              <w:rPr>
                <w:rFonts w:hint="default" w:ascii="Times New Roman" w:hAnsi="Times New Roman" w:eastAsia="宋体" w:cs="Times New Roman"/>
                <w:b/>
                <w:i w:val="0"/>
                <w:kern w:val="2"/>
                <w:sz w:val="24"/>
                <w:szCs w:val="24"/>
                <w:lang w:val="en-US" w:eastAsia="zh-CN" w:bidi="ar-SA"/>
              </w:rPr>
              <w:t>.2.2、</w:t>
            </w:r>
            <w:r>
              <w:rPr>
                <w:rFonts w:hint="eastAsia"/>
                <w:lang w:eastAsia="zh-CN"/>
              </w:rPr>
              <w:t>车间冲洗废水</w:t>
            </w:r>
          </w:p>
          <w:p w14:paraId="51C0EBAB">
            <w:pPr>
              <w:rPr>
                <w:rFonts w:hint="eastAsia"/>
              </w:rPr>
            </w:pPr>
            <w:r>
              <w:rPr>
                <w:rFonts w:hint="eastAsia"/>
              </w:rPr>
              <w:t>项目无害化车间内主要清洗区为装卸区地面及部分墙壁，清洗面积约为1000m</w:t>
            </w:r>
            <w:r>
              <w:rPr>
                <w:rFonts w:hint="eastAsia"/>
                <w:vertAlign w:val="superscript"/>
                <w:lang w:val="en-US" w:eastAsia="zh-CN"/>
              </w:rPr>
              <w:t>2</w:t>
            </w:r>
            <w:r>
              <w:rPr>
                <w:rFonts w:hint="eastAsia"/>
              </w:rPr>
              <w:t>。平均每2天冲洗1次，冲洗水系数按2L/m</w:t>
            </w:r>
            <w:r>
              <w:rPr>
                <w:rFonts w:hint="eastAsia"/>
                <w:vertAlign w:val="superscript"/>
                <w:lang w:val="en-US" w:eastAsia="zh-CN"/>
              </w:rPr>
              <w:t>2</w:t>
            </w:r>
            <w:r>
              <w:rPr>
                <w:rFonts w:hint="eastAsia"/>
              </w:rPr>
              <w:t>计，车间地面冲洗用水量为1m</w:t>
            </w:r>
            <w:r>
              <w:rPr>
                <w:rFonts w:hint="eastAsia"/>
                <w:vertAlign w:val="superscript"/>
              </w:rPr>
              <w:t>3</w:t>
            </w:r>
            <w:r>
              <w:rPr>
                <w:rFonts w:hint="eastAsia"/>
              </w:rPr>
              <w:t>/d、300m</w:t>
            </w:r>
            <w:r>
              <w:rPr>
                <w:rFonts w:hint="eastAsia"/>
                <w:vertAlign w:val="superscript"/>
                <w:lang w:val="en-US" w:eastAsia="zh-CN"/>
              </w:rPr>
              <w:t>3</w:t>
            </w:r>
            <w:r>
              <w:rPr>
                <w:rFonts w:hint="eastAsia"/>
              </w:rPr>
              <w:t>/a，排污系数取0.9，则建设项目清洗废水产生量约为0.9m</w:t>
            </w:r>
            <w:r>
              <w:rPr>
                <w:rFonts w:hint="eastAsia"/>
                <w:vertAlign w:val="superscript"/>
                <w:lang w:val="en-US" w:eastAsia="zh-CN"/>
              </w:rPr>
              <w:t>3</w:t>
            </w:r>
            <w:r>
              <w:rPr>
                <w:rFonts w:hint="eastAsia"/>
              </w:rPr>
              <w:t>/d、270m</w:t>
            </w:r>
            <w:r>
              <w:rPr>
                <w:rFonts w:hint="eastAsia"/>
                <w:vertAlign w:val="superscript"/>
                <w:lang w:val="en-US" w:eastAsia="zh-CN"/>
              </w:rPr>
              <w:t>3</w:t>
            </w:r>
            <w:r>
              <w:rPr>
                <w:rFonts w:hint="eastAsia"/>
              </w:rPr>
              <w:t>/a。</w:t>
            </w:r>
          </w:p>
          <w:p w14:paraId="0D79EC60">
            <w:pPr>
              <w:pStyle w:val="6"/>
              <w:numPr>
                <w:ilvl w:val="3"/>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2.</w:t>
            </w:r>
            <w:r>
              <w:rPr>
                <w:rFonts w:hint="eastAsia" w:cs="Times New Roman"/>
                <w:b/>
                <w:i w:val="0"/>
                <w:kern w:val="2"/>
                <w:sz w:val="24"/>
                <w:szCs w:val="24"/>
                <w:lang w:val="en-US" w:eastAsia="zh-CN" w:bidi="ar-SA"/>
              </w:rPr>
              <w:t>7</w:t>
            </w:r>
            <w:r>
              <w:rPr>
                <w:rFonts w:hint="default" w:ascii="Times New Roman" w:hAnsi="Times New Roman" w:eastAsia="宋体" w:cs="Times New Roman"/>
                <w:b/>
                <w:i w:val="0"/>
                <w:kern w:val="2"/>
                <w:sz w:val="24"/>
                <w:szCs w:val="24"/>
                <w:lang w:val="en-US" w:eastAsia="zh-CN" w:bidi="ar-SA"/>
              </w:rPr>
              <w:t>.2.3、</w:t>
            </w:r>
            <w:r>
              <w:rPr>
                <w:rFonts w:hint="eastAsia"/>
                <w:lang w:eastAsia="zh-CN"/>
              </w:rPr>
              <w:t>冷却循环用水</w:t>
            </w:r>
          </w:p>
          <w:p w14:paraId="4056C875">
            <w:pPr>
              <w:rPr>
                <w:rFonts w:hint="eastAsia"/>
              </w:rPr>
            </w:pPr>
            <w:r>
              <w:rPr>
                <w:rFonts w:hint="eastAsia"/>
              </w:rPr>
              <w:t>本项目冷凝器循环水量为80m</w:t>
            </w:r>
            <w:r>
              <w:rPr>
                <w:rFonts w:hint="eastAsia"/>
                <w:vertAlign w:val="superscript"/>
              </w:rPr>
              <w:t>3</w:t>
            </w:r>
            <w:r>
              <w:rPr>
                <w:rFonts w:hint="eastAsia"/>
              </w:rPr>
              <w:t>/d，循环使用，需定期补充，损失比例按5%计，补充水量为4m</w:t>
            </w:r>
            <w:r>
              <w:rPr>
                <w:rFonts w:hint="eastAsia"/>
                <w:vertAlign w:val="superscript"/>
              </w:rPr>
              <w:t>3</w:t>
            </w:r>
            <w:r>
              <w:rPr>
                <w:rFonts w:hint="eastAsia"/>
              </w:rPr>
              <w:t>/d，则</w:t>
            </w:r>
            <w:r>
              <w:rPr>
                <w:rFonts w:hint="eastAsia"/>
                <w:lang w:eastAsia="zh-CN"/>
              </w:rPr>
              <w:t>新鲜</w:t>
            </w:r>
            <w:r>
              <w:rPr>
                <w:rFonts w:hint="eastAsia"/>
              </w:rPr>
              <w:t>用水量为1200m</w:t>
            </w:r>
            <w:r>
              <w:rPr>
                <w:rFonts w:hint="eastAsia"/>
                <w:vertAlign w:val="superscript"/>
              </w:rPr>
              <w:t>3</w:t>
            </w:r>
            <w:r>
              <w:rPr>
                <w:rFonts w:hint="eastAsia"/>
              </w:rPr>
              <w:t>/</w:t>
            </w:r>
            <w:r>
              <w:rPr>
                <w:rFonts w:hint="eastAsia"/>
                <w:lang w:val="en-US" w:eastAsia="zh-CN"/>
              </w:rPr>
              <w:t>a</w:t>
            </w:r>
            <w:r>
              <w:rPr>
                <w:rFonts w:hint="eastAsia"/>
              </w:rPr>
              <w:t>。</w:t>
            </w:r>
          </w:p>
          <w:p w14:paraId="30F56A42">
            <w:pPr>
              <w:pStyle w:val="6"/>
              <w:numPr>
                <w:ilvl w:val="3"/>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2.</w:t>
            </w:r>
            <w:r>
              <w:rPr>
                <w:rFonts w:hint="eastAsia" w:cs="Times New Roman"/>
                <w:b/>
                <w:i w:val="0"/>
                <w:kern w:val="2"/>
                <w:sz w:val="24"/>
                <w:szCs w:val="24"/>
                <w:lang w:val="en-US" w:eastAsia="zh-CN" w:bidi="ar-SA"/>
              </w:rPr>
              <w:t>7</w:t>
            </w:r>
            <w:r>
              <w:rPr>
                <w:rFonts w:hint="default" w:ascii="Times New Roman" w:hAnsi="Times New Roman" w:eastAsia="宋体" w:cs="Times New Roman"/>
                <w:b/>
                <w:i w:val="0"/>
                <w:kern w:val="2"/>
                <w:sz w:val="24"/>
                <w:szCs w:val="24"/>
                <w:lang w:val="en-US" w:eastAsia="zh-CN" w:bidi="ar-SA"/>
              </w:rPr>
              <w:t>.2.4、</w:t>
            </w:r>
            <w:r>
              <w:rPr>
                <w:rFonts w:hint="eastAsia"/>
                <w:lang w:eastAsia="zh-CN"/>
              </w:rPr>
              <w:t>化制冷凝水</w:t>
            </w:r>
          </w:p>
          <w:p w14:paraId="467A4070">
            <w:pPr>
              <w:rPr>
                <w:rFonts w:hint="eastAsia" w:eastAsia="宋体"/>
                <w:lang w:eastAsia="zh-CN"/>
              </w:rPr>
            </w:pPr>
            <w:r>
              <w:rPr>
                <w:rFonts w:hint="eastAsia"/>
                <w:u w:val="single"/>
                <w:lang w:eastAsia="zh-CN"/>
              </w:rPr>
              <w:t>根据业主提供的资料，</w:t>
            </w:r>
            <w:r>
              <w:rPr>
                <w:rFonts w:hint="eastAsia"/>
              </w:rPr>
              <w:t>项目化制工段污蒸汽</w:t>
            </w:r>
            <w:r>
              <w:rPr>
                <w:rFonts w:hint="eastAsia"/>
                <w:lang w:eastAsia="zh-CN"/>
              </w:rPr>
              <w:t>为病死禽畜自身含水</w:t>
            </w:r>
            <w:r>
              <w:rPr>
                <w:rFonts w:hint="eastAsia" w:ascii="Times New Roman" w:hAnsi="Times New Roman" w:cs="Times New Roman"/>
                <w:kern w:val="2"/>
                <w:sz w:val="24"/>
                <w:szCs w:val="24"/>
                <w:lang w:val="en-US" w:bidi="ar-SA"/>
              </w:rPr>
              <w:t>在化制过程中转化为水蒸气形式</w:t>
            </w:r>
            <w:r>
              <w:rPr>
                <w:rFonts w:hint="eastAsia" w:ascii="Times New Roman" w:hAnsi="Times New Roman" w:cs="Times New Roman"/>
                <w:kern w:val="2"/>
                <w:sz w:val="24"/>
                <w:szCs w:val="24"/>
                <w:lang w:val="en-US" w:eastAsia="zh-CN" w:bidi="ar-SA"/>
              </w:rPr>
              <w:t>，</w:t>
            </w:r>
            <w:r>
              <w:rPr>
                <w:rFonts w:hint="eastAsia"/>
              </w:rPr>
              <w:t>产生量</w:t>
            </w:r>
            <w:r>
              <w:rPr>
                <w:rFonts w:hint="eastAsia"/>
                <w:lang w:eastAsia="zh-CN"/>
              </w:rPr>
              <w:t>约</w:t>
            </w:r>
            <w:r>
              <w:rPr>
                <w:rFonts w:hint="eastAsia"/>
              </w:rPr>
              <w:t>为</w:t>
            </w:r>
            <w:r>
              <w:rPr>
                <w:rFonts w:hint="eastAsia"/>
                <w:lang w:val="en-US" w:eastAsia="zh-CN"/>
              </w:rPr>
              <w:t>6048.052</w:t>
            </w:r>
            <w:r>
              <w:rPr>
                <w:rFonts w:hint="eastAsia"/>
              </w:rPr>
              <w:t>t/a</w:t>
            </w:r>
            <w:r>
              <w:rPr>
                <w:rFonts w:hint="eastAsia"/>
                <w:lang w:val="en-US" w:eastAsia="zh-CN"/>
              </w:rPr>
              <w:t>，938.12</w:t>
            </w:r>
            <w:r>
              <w:rPr>
                <w:rFonts w:hint="eastAsia"/>
              </w:rPr>
              <w:t>t/a</w:t>
            </w:r>
            <w:r>
              <w:rPr>
                <w:rFonts w:hint="eastAsia"/>
                <w:lang w:eastAsia="zh-CN"/>
              </w:rPr>
              <w:t>进入产品中，剩余的</w:t>
            </w:r>
            <w:r>
              <w:rPr>
                <w:rFonts w:hint="eastAsia"/>
                <w:lang w:val="en-US" w:eastAsia="zh-CN"/>
              </w:rPr>
              <w:t>5109.932</w:t>
            </w:r>
            <w:r>
              <w:rPr>
                <w:rFonts w:hint="eastAsia"/>
              </w:rPr>
              <w:t>t/a中99%以化制冷凝水形式进入地埋式暂存罐，依次泵入收集池和黑膜厌氧池进行发酵。1%以不凝气的形式排放，经收集后进入废气处理系统。因此，项目化制冷凝水产生量约</w:t>
            </w:r>
            <w:r>
              <w:rPr>
                <w:rFonts w:hint="eastAsia"/>
                <w:lang w:val="en-US" w:eastAsia="zh-CN"/>
              </w:rPr>
              <w:t>5058.83</w:t>
            </w:r>
            <w:r>
              <w:rPr>
                <w:rFonts w:hint="eastAsia"/>
              </w:rPr>
              <w:t>t/a，</w:t>
            </w:r>
            <w:r>
              <w:rPr>
                <w:rFonts w:hint="eastAsia"/>
                <w:lang w:val="en-US" w:eastAsia="zh-CN"/>
              </w:rPr>
              <w:t>16.86</w:t>
            </w:r>
            <w:r>
              <w:rPr>
                <w:rFonts w:hint="eastAsia"/>
              </w:rPr>
              <w:t>t/d</w:t>
            </w:r>
            <w:r>
              <w:rPr>
                <w:rFonts w:hint="eastAsia"/>
                <w:lang w:eastAsia="zh-CN"/>
              </w:rPr>
              <w:t>。</w:t>
            </w:r>
          </w:p>
          <w:p w14:paraId="088D6388">
            <w:pPr>
              <w:pStyle w:val="6"/>
              <w:numPr>
                <w:ilvl w:val="3"/>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2.</w:t>
            </w:r>
            <w:r>
              <w:rPr>
                <w:rFonts w:hint="eastAsia" w:cs="Times New Roman"/>
                <w:b/>
                <w:i w:val="0"/>
                <w:kern w:val="2"/>
                <w:sz w:val="24"/>
                <w:szCs w:val="24"/>
                <w:lang w:val="en-US" w:eastAsia="zh-CN" w:bidi="ar-SA"/>
              </w:rPr>
              <w:t>7</w:t>
            </w:r>
            <w:r>
              <w:rPr>
                <w:rFonts w:hint="default" w:ascii="Times New Roman" w:hAnsi="Times New Roman" w:eastAsia="宋体" w:cs="Times New Roman"/>
                <w:b/>
                <w:i w:val="0"/>
                <w:kern w:val="2"/>
                <w:sz w:val="24"/>
                <w:szCs w:val="24"/>
                <w:lang w:val="en-US" w:eastAsia="zh-CN" w:bidi="ar-SA"/>
              </w:rPr>
              <w:t>.2.5、</w:t>
            </w:r>
            <w:r>
              <w:rPr>
                <w:rFonts w:hint="eastAsia"/>
                <w:lang w:eastAsia="zh-CN"/>
              </w:rPr>
              <w:t>喷淋用水</w:t>
            </w:r>
          </w:p>
          <w:p w14:paraId="2A23476B">
            <w:pPr>
              <w:rPr>
                <w:rFonts w:hint="eastAsia"/>
              </w:rPr>
            </w:pPr>
            <w:r>
              <w:rPr>
                <w:rFonts w:hint="eastAsia"/>
              </w:rPr>
              <w:t>除臭箱和除臭塔阶段均会产生喷淋</w:t>
            </w:r>
            <w:r>
              <w:rPr>
                <w:rFonts w:hint="eastAsia"/>
                <w:lang w:eastAsia="zh-CN"/>
              </w:rPr>
              <w:t>用</w:t>
            </w:r>
            <w:r>
              <w:rPr>
                <w:rFonts w:hint="eastAsia"/>
              </w:rPr>
              <w:t>水。由现有工程提供喷淋用水，总循环水量约为10m</w:t>
            </w:r>
            <w:r>
              <w:rPr>
                <w:rFonts w:hint="eastAsia"/>
                <w:vertAlign w:val="superscript"/>
              </w:rPr>
              <w:t>3</w:t>
            </w:r>
            <w:r>
              <w:rPr>
                <w:rFonts w:hint="eastAsia"/>
              </w:rPr>
              <w:t>/d，蒸发损耗</w:t>
            </w:r>
            <w:r>
              <w:rPr>
                <w:rFonts w:hint="eastAsia"/>
                <w:lang w:val="en-US" w:eastAsia="zh-CN"/>
              </w:rPr>
              <w:t>1</w:t>
            </w:r>
            <w:r>
              <w:rPr>
                <w:rFonts w:hint="eastAsia"/>
              </w:rPr>
              <w:t>.5m</w:t>
            </w:r>
            <w:r>
              <w:rPr>
                <w:rFonts w:hint="eastAsia"/>
                <w:vertAlign w:val="superscript"/>
              </w:rPr>
              <w:t>3</w:t>
            </w:r>
            <w:r>
              <w:rPr>
                <w:rFonts w:hint="eastAsia"/>
              </w:rPr>
              <w:t>/d</w:t>
            </w:r>
            <w:r>
              <w:rPr>
                <w:rFonts w:hint="eastAsia"/>
                <w:lang w:eastAsia="zh-CN"/>
              </w:rPr>
              <w:t>，不排放</w:t>
            </w:r>
            <w:r>
              <w:rPr>
                <w:rFonts w:hint="eastAsia"/>
              </w:rPr>
              <w:t>。则项目需定期补充水量1.5m</w:t>
            </w:r>
            <w:r>
              <w:rPr>
                <w:rFonts w:hint="eastAsia"/>
                <w:vertAlign w:val="superscript"/>
              </w:rPr>
              <w:t>3</w:t>
            </w:r>
            <w:r>
              <w:rPr>
                <w:rFonts w:hint="eastAsia"/>
              </w:rPr>
              <w:t>/d，</w:t>
            </w:r>
            <w:r>
              <w:rPr>
                <w:rFonts w:hint="eastAsia"/>
                <w:lang w:eastAsia="zh-CN"/>
              </w:rPr>
              <w:t>则补水（损耗）</w:t>
            </w:r>
            <w:r>
              <w:rPr>
                <w:rFonts w:hint="eastAsia"/>
                <w:lang w:val="en-US" w:eastAsia="zh-CN"/>
              </w:rPr>
              <w:t>45</w:t>
            </w:r>
            <w:r>
              <w:rPr>
                <w:rFonts w:hint="eastAsia"/>
              </w:rPr>
              <w:t>0m</w:t>
            </w:r>
            <w:r>
              <w:rPr>
                <w:rFonts w:hint="eastAsia"/>
                <w:vertAlign w:val="superscript"/>
                <w:lang w:val="en-US" w:eastAsia="zh-CN"/>
              </w:rPr>
              <w:t>3</w:t>
            </w:r>
            <w:r>
              <w:rPr>
                <w:rFonts w:hint="eastAsia"/>
              </w:rPr>
              <w:t>/a。</w:t>
            </w:r>
          </w:p>
          <w:p w14:paraId="5FAB2E41">
            <w:pPr>
              <w:pStyle w:val="6"/>
              <w:numPr>
                <w:ilvl w:val="3"/>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2.</w:t>
            </w:r>
            <w:r>
              <w:rPr>
                <w:rFonts w:hint="eastAsia" w:cs="Times New Roman"/>
                <w:b/>
                <w:i w:val="0"/>
                <w:kern w:val="2"/>
                <w:sz w:val="24"/>
                <w:szCs w:val="24"/>
                <w:lang w:val="en-US" w:eastAsia="zh-CN" w:bidi="ar-SA"/>
              </w:rPr>
              <w:t>7</w:t>
            </w:r>
            <w:r>
              <w:rPr>
                <w:rFonts w:hint="default" w:ascii="Times New Roman" w:hAnsi="Times New Roman" w:eastAsia="宋体" w:cs="Times New Roman"/>
                <w:b/>
                <w:i w:val="0"/>
                <w:kern w:val="2"/>
                <w:sz w:val="24"/>
                <w:szCs w:val="24"/>
                <w:lang w:val="en-US" w:eastAsia="zh-CN" w:bidi="ar-SA"/>
              </w:rPr>
              <w:t>.2.6、</w:t>
            </w:r>
            <w:r>
              <w:rPr>
                <w:rFonts w:hint="eastAsia"/>
                <w:lang w:eastAsia="zh-CN"/>
              </w:rPr>
              <w:t>锅炉用水</w:t>
            </w:r>
          </w:p>
          <w:p w14:paraId="7C076C28">
            <w:pPr>
              <w:rPr>
                <w:rFonts w:hint="eastAsia" w:eastAsia="宋体"/>
                <w:lang w:val="en-US" w:eastAsia="zh-CN"/>
              </w:rPr>
            </w:pPr>
            <w:r>
              <w:rPr>
                <w:rFonts w:hint="eastAsia"/>
              </w:rPr>
              <w:t>本项目</w:t>
            </w:r>
            <w:r>
              <w:rPr>
                <w:rFonts w:hint="eastAsia"/>
                <w:lang w:eastAsia="zh-CN"/>
              </w:rPr>
              <w:t>拟</w:t>
            </w:r>
            <w:r>
              <w:rPr>
                <w:rFonts w:hint="eastAsia"/>
              </w:rPr>
              <w:t>设一台4t/h</w:t>
            </w:r>
            <w:r>
              <w:rPr>
                <w:rFonts w:hint="eastAsia"/>
                <w:lang w:eastAsia="zh-CN"/>
              </w:rPr>
              <w:t>生物质颗粒</w:t>
            </w:r>
            <w:r>
              <w:rPr>
                <w:rFonts w:hint="eastAsia"/>
              </w:rPr>
              <w:t>蒸汽锅炉,为生产过程供热。锅炉工作时间为</w:t>
            </w:r>
            <w:r>
              <w:rPr>
                <w:rFonts w:hint="eastAsia"/>
                <w:lang w:val="en-US" w:eastAsia="zh-CN"/>
              </w:rPr>
              <w:t>8</w:t>
            </w:r>
            <w:r>
              <w:rPr>
                <w:rFonts w:hint="eastAsia"/>
              </w:rPr>
              <w:t>h/d，年运行300d，则蒸汽用量为</w:t>
            </w:r>
            <w:r>
              <w:rPr>
                <w:rFonts w:hint="eastAsia"/>
                <w:lang w:val="en-US" w:eastAsia="zh-CN"/>
              </w:rPr>
              <w:t>32</w:t>
            </w:r>
            <w:r>
              <w:rPr>
                <w:rFonts w:hint="eastAsia"/>
              </w:rPr>
              <w:t>t/d，</w:t>
            </w:r>
            <w:r>
              <w:rPr>
                <w:rFonts w:hint="eastAsia"/>
                <w:lang w:val="en-US" w:eastAsia="zh-CN"/>
              </w:rPr>
              <w:t>9600</w:t>
            </w:r>
            <w:r>
              <w:rPr>
                <w:rFonts w:hint="eastAsia"/>
              </w:rPr>
              <w:t>t/a。锅炉配套冷凝水回收系统，蒸汽冷凝水循环使用，但由于使用过程中有一定的损失，所以需要定期补充软化水，损耗以5%计，则锅炉补充软化水</w:t>
            </w:r>
            <w:r>
              <w:rPr>
                <w:rFonts w:hint="eastAsia"/>
                <w:lang w:val="en-US" w:eastAsia="zh-CN"/>
              </w:rPr>
              <w:t>1.6</w:t>
            </w:r>
            <w:r>
              <w:rPr>
                <w:rFonts w:hint="eastAsia"/>
              </w:rPr>
              <w:t>m</w:t>
            </w:r>
            <w:r>
              <w:rPr>
                <w:rFonts w:hint="eastAsia"/>
                <w:vertAlign w:val="superscript"/>
              </w:rPr>
              <w:t>3</w:t>
            </w:r>
            <w:r>
              <w:rPr>
                <w:rFonts w:hint="eastAsia"/>
              </w:rPr>
              <w:t>/d，锅炉用水采用锅炉自带软水处理器进行水质软化处理，交换器内的离子树脂大约一周再生一次，再生方式为采用8%-10%NaCl溶液进行正洗和反洗。项目软水装置制水率为90%，</w:t>
            </w:r>
            <w:r>
              <w:rPr>
                <w:rFonts w:hint="eastAsia"/>
                <w:lang w:eastAsia="zh-CN"/>
              </w:rPr>
              <w:t>损耗为</w:t>
            </w:r>
            <w:r>
              <w:rPr>
                <w:rFonts w:hint="eastAsia"/>
                <w:lang w:val="en-US" w:eastAsia="zh-CN"/>
              </w:rPr>
              <w:t>53.3</w:t>
            </w:r>
            <w:r>
              <w:rPr>
                <w:rFonts w:hint="eastAsia"/>
              </w:rPr>
              <w:t>m</w:t>
            </w:r>
            <w:r>
              <w:rPr>
                <w:rFonts w:hint="eastAsia"/>
                <w:vertAlign w:val="superscript"/>
              </w:rPr>
              <w:t>3</w:t>
            </w:r>
            <w:r>
              <w:rPr>
                <w:rFonts w:hint="eastAsia"/>
              </w:rPr>
              <w:t>/a</w:t>
            </w:r>
            <w:r>
              <w:rPr>
                <w:rFonts w:hint="eastAsia"/>
                <w:lang w:eastAsia="zh-CN"/>
              </w:rPr>
              <w:t>，</w:t>
            </w:r>
            <w:r>
              <w:rPr>
                <w:rFonts w:hint="eastAsia"/>
              </w:rPr>
              <w:t>进入软水装置的自来水量为</w:t>
            </w:r>
            <w:r>
              <w:rPr>
                <w:rFonts w:hint="eastAsia"/>
                <w:lang w:val="en-US" w:eastAsia="zh-CN"/>
              </w:rPr>
              <w:t>1.78</w:t>
            </w:r>
            <w:r>
              <w:rPr>
                <w:rFonts w:hint="eastAsia"/>
              </w:rPr>
              <w:t>m</w:t>
            </w:r>
            <w:r>
              <w:rPr>
                <w:rFonts w:hint="eastAsia"/>
                <w:vertAlign w:val="superscript"/>
              </w:rPr>
              <w:t>3</w:t>
            </w:r>
            <w:r>
              <w:rPr>
                <w:rFonts w:hint="eastAsia"/>
              </w:rPr>
              <w:t>/d，废水按软水产出量</w:t>
            </w:r>
            <w:r>
              <w:rPr>
                <w:rFonts w:hint="eastAsia"/>
                <w:lang w:val="en-US" w:eastAsia="zh-CN"/>
              </w:rPr>
              <w:t>1.6</w:t>
            </w:r>
            <w:r>
              <w:rPr>
                <w:rFonts w:hint="eastAsia"/>
              </w:rPr>
              <w:t>m</w:t>
            </w:r>
            <w:r>
              <w:rPr>
                <w:rFonts w:hint="eastAsia"/>
                <w:vertAlign w:val="superscript"/>
              </w:rPr>
              <w:t>3</w:t>
            </w:r>
            <w:r>
              <w:rPr>
                <w:rFonts w:hint="eastAsia"/>
              </w:rPr>
              <w:t>/d(</w:t>
            </w:r>
            <w:r>
              <w:rPr>
                <w:rFonts w:hint="eastAsia"/>
                <w:lang w:val="en-US" w:eastAsia="zh-CN"/>
              </w:rPr>
              <w:t>480</w:t>
            </w:r>
            <w:r>
              <w:rPr>
                <w:rFonts w:hint="eastAsia"/>
              </w:rPr>
              <w:t>m</w:t>
            </w:r>
            <w:r>
              <w:rPr>
                <w:rFonts w:hint="eastAsia"/>
                <w:vertAlign w:val="superscript"/>
              </w:rPr>
              <w:t>3</w:t>
            </w:r>
            <w:r>
              <w:rPr>
                <w:rFonts w:hint="eastAsia"/>
              </w:rPr>
              <w:t>/a)的10%计算，废水产生量为0.</w:t>
            </w:r>
            <w:r>
              <w:rPr>
                <w:rFonts w:hint="eastAsia"/>
                <w:lang w:val="en-US" w:eastAsia="zh-CN"/>
              </w:rPr>
              <w:t>16</w:t>
            </w:r>
            <w:r>
              <w:rPr>
                <w:rFonts w:hint="eastAsia"/>
              </w:rPr>
              <w:t>m</w:t>
            </w:r>
            <w:r>
              <w:rPr>
                <w:rFonts w:hint="eastAsia"/>
                <w:vertAlign w:val="superscript"/>
              </w:rPr>
              <w:t>3</w:t>
            </w:r>
            <w:r>
              <w:rPr>
                <w:rFonts w:hint="eastAsia"/>
              </w:rPr>
              <w:t>/d(</w:t>
            </w:r>
            <w:r>
              <w:rPr>
                <w:rFonts w:hint="eastAsia"/>
                <w:lang w:val="en-US" w:eastAsia="zh-CN"/>
              </w:rPr>
              <w:t>48</w:t>
            </w:r>
            <w:r>
              <w:rPr>
                <w:rFonts w:hint="eastAsia"/>
              </w:rPr>
              <w:t>m</w:t>
            </w:r>
            <w:r>
              <w:rPr>
                <w:rFonts w:hint="eastAsia"/>
                <w:vertAlign w:val="superscript"/>
                <w:lang w:val="en-US" w:eastAsia="zh-CN"/>
              </w:rPr>
              <w:t>3</w:t>
            </w:r>
            <w:r>
              <w:rPr>
                <w:rFonts w:hint="eastAsia"/>
              </w:rPr>
              <w:t>/a)。主要污染物产生浓度为:COD 100mg/L、</w:t>
            </w:r>
            <w:r>
              <w:rPr>
                <w:rFonts w:hint="eastAsia"/>
                <w:lang w:val="en-US" w:eastAsia="zh-CN"/>
              </w:rPr>
              <w:t>SS 60</w:t>
            </w:r>
            <w:r>
              <w:rPr>
                <w:rFonts w:hint="eastAsia"/>
              </w:rPr>
              <w:t>mg/L</w:t>
            </w:r>
            <w:r>
              <w:rPr>
                <w:rFonts w:hint="eastAsia"/>
                <w:lang w:eastAsia="zh-CN"/>
              </w:rPr>
              <w:t>。</w:t>
            </w:r>
          </w:p>
          <w:p w14:paraId="3D625305">
            <w:pPr>
              <w:pStyle w:val="6"/>
              <w:numPr>
                <w:ilvl w:val="3"/>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2.</w:t>
            </w:r>
            <w:r>
              <w:rPr>
                <w:rFonts w:hint="eastAsia" w:cs="Times New Roman"/>
                <w:b/>
                <w:i w:val="0"/>
                <w:kern w:val="2"/>
                <w:sz w:val="24"/>
                <w:szCs w:val="24"/>
                <w:lang w:val="en-US" w:eastAsia="zh-CN" w:bidi="ar-SA"/>
              </w:rPr>
              <w:t>7</w:t>
            </w:r>
            <w:r>
              <w:rPr>
                <w:rFonts w:hint="default" w:ascii="Times New Roman" w:hAnsi="Times New Roman" w:eastAsia="宋体" w:cs="Times New Roman"/>
                <w:b/>
                <w:i w:val="0"/>
                <w:kern w:val="2"/>
                <w:sz w:val="24"/>
                <w:szCs w:val="24"/>
                <w:lang w:val="en-US" w:eastAsia="zh-CN" w:bidi="ar-SA"/>
              </w:rPr>
              <w:t>.2.7、</w:t>
            </w:r>
            <w:r>
              <w:rPr>
                <w:rFonts w:hint="eastAsia"/>
                <w:lang w:eastAsia="zh-CN"/>
              </w:rPr>
              <w:t>绿化用水</w:t>
            </w:r>
          </w:p>
          <w:p w14:paraId="51B727EE">
            <w:pPr>
              <w:rPr>
                <w:rFonts w:hint="eastAsia"/>
              </w:rPr>
            </w:pPr>
            <w:r>
              <w:rPr>
                <w:rFonts w:hint="eastAsia"/>
              </w:rPr>
              <w:t>项目绿化面积</w:t>
            </w:r>
            <w:r>
              <w:rPr>
                <w:rFonts w:hint="eastAsia"/>
                <w:lang w:eastAsia="zh-CN"/>
              </w:rPr>
              <w:t>约</w:t>
            </w:r>
            <w:r>
              <w:rPr>
                <w:rFonts w:hint="eastAsia"/>
              </w:rPr>
              <w:t>为</w:t>
            </w:r>
            <w:r>
              <w:rPr>
                <w:rFonts w:hint="eastAsia"/>
                <w:lang w:val="en-US" w:eastAsia="zh-CN"/>
              </w:rPr>
              <w:t>4300</w:t>
            </w:r>
            <w:r>
              <w:rPr>
                <w:rFonts w:hint="eastAsia"/>
              </w:rPr>
              <w:t>m²，</w:t>
            </w:r>
            <w:r>
              <w:rPr>
                <w:rFonts w:hint="eastAsia"/>
                <w:lang w:eastAsia="zh-CN"/>
              </w:rPr>
              <w:t>按</w:t>
            </w:r>
            <w:r>
              <w:rPr>
                <w:rFonts w:hint="eastAsia"/>
              </w:rPr>
              <w:t>每平方绿化绿地用水量为0.</w:t>
            </w:r>
            <w:r>
              <w:rPr>
                <w:rFonts w:hint="eastAsia"/>
                <w:lang w:val="en-US" w:eastAsia="zh-CN"/>
              </w:rPr>
              <w:t>3</w:t>
            </w:r>
            <w:r>
              <w:rPr>
                <w:rFonts w:hint="eastAsia"/>
              </w:rPr>
              <w:t>m</w:t>
            </w:r>
            <w:r>
              <w:rPr>
                <w:rFonts w:hint="eastAsia"/>
                <w:vertAlign w:val="superscript"/>
              </w:rPr>
              <w:t>3</w:t>
            </w:r>
            <w:r>
              <w:rPr>
                <w:rFonts w:hint="eastAsia"/>
              </w:rPr>
              <w:t>/(m</w:t>
            </w:r>
            <w:r>
              <w:rPr>
                <w:rFonts w:hint="eastAsia"/>
                <w:vertAlign w:val="superscript"/>
              </w:rPr>
              <w:t>2</w:t>
            </w:r>
            <w:r>
              <w:rPr>
                <w:rFonts w:hint="eastAsia"/>
                <w:lang w:val="en-US" w:eastAsia="zh-CN"/>
              </w:rPr>
              <w:t>·</w:t>
            </w:r>
            <w:r>
              <w:rPr>
                <w:rFonts w:hint="eastAsia"/>
              </w:rPr>
              <w:t>a)。则本项目绿化用水量为</w:t>
            </w:r>
            <w:r>
              <w:rPr>
                <w:rFonts w:hint="eastAsia"/>
                <w:lang w:val="en-US" w:eastAsia="zh-CN"/>
              </w:rPr>
              <w:t>1290</w:t>
            </w:r>
            <w:r>
              <w:rPr>
                <w:rFonts w:hint="eastAsia"/>
              </w:rPr>
              <w:t>m</w:t>
            </w:r>
            <w:r>
              <w:rPr>
                <w:rFonts w:hint="eastAsia"/>
                <w:vertAlign w:val="superscript"/>
              </w:rPr>
              <w:t>3</w:t>
            </w:r>
            <w:r>
              <w:rPr>
                <w:rFonts w:hint="eastAsia"/>
              </w:rPr>
              <w:t>/a，</w:t>
            </w:r>
            <w:r>
              <w:rPr>
                <w:rFonts w:hint="eastAsia"/>
                <w:lang w:val="en-US" w:eastAsia="zh-CN"/>
              </w:rPr>
              <w:t>4.3</w:t>
            </w:r>
            <w:r>
              <w:rPr>
                <w:rFonts w:hint="eastAsia"/>
              </w:rPr>
              <w:t>m</w:t>
            </w:r>
            <w:r>
              <w:rPr>
                <w:rFonts w:hint="eastAsia"/>
                <w:vertAlign w:val="superscript"/>
              </w:rPr>
              <w:t>3</w:t>
            </w:r>
            <w:r>
              <w:rPr>
                <w:rFonts w:hint="eastAsia"/>
              </w:rPr>
              <w:t>/d。</w:t>
            </w:r>
          </w:p>
          <w:p w14:paraId="748B4CFA">
            <w:pPr>
              <w:pStyle w:val="6"/>
              <w:numPr>
                <w:ilvl w:val="3"/>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2.</w:t>
            </w:r>
            <w:r>
              <w:rPr>
                <w:rFonts w:hint="eastAsia" w:cs="Times New Roman"/>
                <w:b/>
                <w:i w:val="0"/>
                <w:kern w:val="2"/>
                <w:sz w:val="24"/>
                <w:szCs w:val="24"/>
                <w:lang w:val="en-US" w:eastAsia="zh-CN" w:bidi="ar-SA"/>
              </w:rPr>
              <w:t>7</w:t>
            </w:r>
            <w:r>
              <w:rPr>
                <w:rFonts w:hint="default" w:ascii="Times New Roman" w:hAnsi="Times New Roman" w:eastAsia="宋体" w:cs="Times New Roman"/>
                <w:b/>
                <w:i w:val="0"/>
                <w:kern w:val="2"/>
                <w:sz w:val="24"/>
                <w:szCs w:val="24"/>
                <w:lang w:val="en-US" w:eastAsia="zh-CN" w:bidi="ar-SA"/>
              </w:rPr>
              <w:t>.2.8、</w:t>
            </w:r>
            <w:r>
              <w:rPr>
                <w:rFonts w:hint="eastAsia"/>
                <w:lang w:eastAsia="zh-CN"/>
              </w:rPr>
              <w:t>道路喷洒用水</w:t>
            </w:r>
          </w:p>
          <w:p w14:paraId="66332C9C">
            <w:pPr>
              <w:rPr>
                <w:rFonts w:hint="eastAsia"/>
              </w:rPr>
            </w:pPr>
            <w:r>
              <w:rPr>
                <w:rFonts w:hint="eastAsia"/>
              </w:rPr>
              <w:t>项目区道路面积约</w:t>
            </w:r>
            <w:r>
              <w:rPr>
                <w:rFonts w:hint="eastAsia"/>
                <w:lang w:val="en-US" w:eastAsia="zh-CN"/>
              </w:rPr>
              <w:t>2900</w:t>
            </w:r>
            <w:r>
              <w:rPr>
                <w:rFonts w:hint="eastAsia"/>
              </w:rPr>
              <w:t>m²，1.2L/m</w:t>
            </w:r>
            <w:r>
              <w:rPr>
                <w:rFonts w:hint="eastAsia"/>
                <w:vertAlign w:val="superscript"/>
              </w:rPr>
              <w:t>2</w:t>
            </w:r>
            <w:r>
              <w:rPr>
                <w:rFonts w:hint="eastAsia"/>
              </w:rPr>
              <w:t>。全年洒水次数为100次，则本项目绿化用水量为</w:t>
            </w:r>
            <w:r>
              <w:rPr>
                <w:rFonts w:hint="eastAsia"/>
                <w:lang w:val="en-US" w:eastAsia="zh-CN"/>
              </w:rPr>
              <w:t>348</w:t>
            </w:r>
            <w:r>
              <w:rPr>
                <w:rFonts w:hint="eastAsia"/>
              </w:rPr>
              <w:t>m</w:t>
            </w:r>
            <w:r>
              <w:rPr>
                <w:rFonts w:hint="eastAsia"/>
                <w:vertAlign w:val="superscript"/>
              </w:rPr>
              <w:t>3</w:t>
            </w:r>
            <w:r>
              <w:rPr>
                <w:rFonts w:hint="eastAsia"/>
              </w:rPr>
              <w:t>/a，</w:t>
            </w:r>
            <w:r>
              <w:rPr>
                <w:rFonts w:hint="eastAsia"/>
                <w:lang w:val="en-US" w:eastAsia="zh-CN"/>
              </w:rPr>
              <w:t>1.16</w:t>
            </w:r>
            <w:r>
              <w:rPr>
                <w:rFonts w:hint="eastAsia"/>
              </w:rPr>
              <w:t>m</w:t>
            </w:r>
            <w:r>
              <w:rPr>
                <w:rFonts w:hint="eastAsia"/>
                <w:vertAlign w:val="superscript"/>
              </w:rPr>
              <w:t>3</w:t>
            </w:r>
            <w:r>
              <w:rPr>
                <w:rFonts w:hint="eastAsia"/>
              </w:rPr>
              <w:t>/d。</w:t>
            </w:r>
          </w:p>
          <w:p w14:paraId="2276A979">
            <w:pPr>
              <w:bidi w:val="0"/>
              <w:rPr>
                <w:rFonts w:hint="eastAsia"/>
              </w:rPr>
            </w:pPr>
            <w:r>
              <w:rPr>
                <w:rFonts w:hint="eastAsia"/>
              </w:rPr>
              <w:t>化制冷凝水排入地埋式暂存罐，自然冷却至30°C以下</w:t>
            </w:r>
            <w:r>
              <w:rPr>
                <w:rFonts w:hint="eastAsia"/>
                <w:lang w:eastAsia="zh-CN"/>
              </w:rPr>
              <w:t>；</w:t>
            </w:r>
            <w:r>
              <w:rPr>
                <w:rFonts w:hint="eastAsia"/>
              </w:rPr>
              <w:t>车辆清洗废水和车间冲洗废水收集后汇入收集罐中，加入次氯酸钠消毒</w:t>
            </w:r>
            <w:r>
              <w:rPr>
                <w:rFonts w:hint="eastAsia"/>
                <w:lang w:eastAsia="zh-CN"/>
              </w:rPr>
              <w:t>；</w:t>
            </w:r>
            <w:r>
              <w:rPr>
                <w:rFonts w:hint="eastAsia"/>
              </w:rPr>
              <w:t>生活污水经化粪池预处理，上述废水收集后汇同喷淋废水、软水制备产生的废水进入黑膜厌氧池，在黑膜厌氧池内添加菌种和秸秆粉末，经不低于90天的厌氧发酵后，制成沼液进行厂内草坪、厂内树林灌溉。</w:t>
            </w:r>
          </w:p>
          <w:p w14:paraId="355CFD80">
            <w:pPr>
              <w:pStyle w:val="6"/>
              <w:numPr>
                <w:ilvl w:val="3"/>
                <w:numId w:val="0"/>
              </w:numPr>
              <w:bidi w:val="0"/>
              <w:ind w:leftChars="0"/>
              <w:rPr>
                <w:rFonts w:hint="eastAsia"/>
                <w:lang w:val="en-US" w:eastAsia="zh-CN"/>
              </w:rPr>
            </w:pPr>
            <w:r>
              <w:rPr>
                <w:rFonts w:hint="eastAsia"/>
                <w:lang w:val="en-US" w:eastAsia="zh-CN"/>
              </w:rPr>
              <w:t>2.7.2.9、设备冲洗废水</w:t>
            </w:r>
          </w:p>
          <w:p w14:paraId="566C0281">
            <w:pPr>
              <w:keepNext w:val="0"/>
              <w:keepLines w:val="0"/>
              <w:widowControl/>
              <w:suppressLineNumbers w:val="0"/>
              <w:jc w:val="left"/>
            </w:pPr>
            <w:r>
              <w:rPr>
                <w:rFonts w:hint="eastAsia" w:ascii="宋体" w:hAnsi="宋体" w:eastAsia="宋体" w:cs="宋体"/>
                <w:color w:val="000000"/>
                <w:kern w:val="0"/>
                <w:sz w:val="24"/>
                <w:szCs w:val="24"/>
                <w:u w:val="single"/>
                <w:lang w:val="en-US" w:eastAsia="zh-CN" w:bidi="ar"/>
              </w:rPr>
              <w:t>生产后的设备需要定期清洗，清洗水为新鲜水。根据业主提供的数据，设备冲洗废水用水量为</w:t>
            </w:r>
            <w:r>
              <w:rPr>
                <w:rFonts w:hint="default" w:ascii="Times New Roman" w:hAnsi="Times New Roman" w:eastAsia="宋体" w:cs="Times New Roman"/>
                <w:color w:val="000000"/>
                <w:kern w:val="0"/>
                <w:sz w:val="24"/>
                <w:szCs w:val="24"/>
                <w:u w:val="single"/>
                <w:lang w:val="en-US" w:eastAsia="zh-CN" w:bidi="ar"/>
              </w:rPr>
              <w:t>1t/d</w:t>
            </w:r>
            <w:r>
              <w:rPr>
                <w:rFonts w:hint="eastAsia" w:ascii="宋体" w:hAnsi="宋体" w:eastAsia="宋体" w:cs="宋体"/>
                <w:color w:val="000000"/>
                <w:kern w:val="0"/>
                <w:sz w:val="24"/>
                <w:szCs w:val="24"/>
                <w:u w:val="single"/>
                <w:lang w:val="en-US" w:eastAsia="zh-CN" w:bidi="ar"/>
              </w:rPr>
              <w:t>，年用水量为</w:t>
            </w:r>
            <w:r>
              <w:rPr>
                <w:rFonts w:hint="eastAsia" w:ascii="Times New Roman" w:hAnsi="Times New Roman" w:eastAsia="宋体" w:cs="Times New Roman"/>
                <w:color w:val="000000"/>
                <w:kern w:val="0"/>
                <w:sz w:val="24"/>
                <w:szCs w:val="24"/>
                <w:u w:val="single"/>
                <w:lang w:val="en-US" w:eastAsia="zh-CN" w:bidi="ar"/>
              </w:rPr>
              <w:t>300</w:t>
            </w:r>
            <w:r>
              <w:rPr>
                <w:rFonts w:hint="default" w:ascii="Times New Roman" w:hAnsi="Times New Roman" w:eastAsia="宋体" w:cs="Times New Roman"/>
                <w:color w:val="000000"/>
                <w:kern w:val="0"/>
                <w:sz w:val="24"/>
                <w:szCs w:val="24"/>
                <w:u w:val="single"/>
                <w:lang w:val="en-US" w:eastAsia="zh-CN" w:bidi="ar"/>
              </w:rPr>
              <w:t>t/a</w:t>
            </w:r>
            <w:r>
              <w:rPr>
                <w:rFonts w:hint="eastAsia" w:ascii="宋体" w:hAnsi="宋体" w:eastAsia="宋体" w:cs="宋体"/>
                <w:color w:val="000000"/>
                <w:kern w:val="0"/>
                <w:sz w:val="24"/>
                <w:szCs w:val="24"/>
                <w:u w:val="single"/>
                <w:lang w:val="en-US" w:eastAsia="zh-CN" w:bidi="ar"/>
              </w:rPr>
              <w:t>，废水量按</w:t>
            </w:r>
            <w:r>
              <w:rPr>
                <w:rFonts w:hint="default" w:ascii="Times New Roman" w:hAnsi="Times New Roman" w:eastAsia="宋体" w:cs="Times New Roman"/>
                <w:color w:val="000000"/>
                <w:kern w:val="0"/>
                <w:sz w:val="24"/>
                <w:szCs w:val="24"/>
                <w:u w:val="single"/>
                <w:lang w:val="en-US" w:eastAsia="zh-CN" w:bidi="ar"/>
              </w:rPr>
              <w:t>80%</w:t>
            </w:r>
            <w:r>
              <w:rPr>
                <w:rFonts w:hint="eastAsia" w:ascii="宋体" w:hAnsi="宋体" w:eastAsia="宋体" w:cs="宋体"/>
                <w:color w:val="000000"/>
                <w:kern w:val="0"/>
                <w:sz w:val="24"/>
                <w:szCs w:val="24"/>
                <w:u w:val="single"/>
                <w:lang w:val="en-US" w:eastAsia="zh-CN" w:bidi="ar"/>
              </w:rPr>
              <w:t>计，则设备清洗废水量为</w:t>
            </w:r>
            <w:r>
              <w:rPr>
                <w:rFonts w:hint="eastAsia" w:ascii="Times New Roman" w:hAnsi="Times New Roman" w:eastAsia="宋体" w:cs="Times New Roman"/>
                <w:color w:val="000000"/>
                <w:kern w:val="0"/>
                <w:sz w:val="24"/>
                <w:szCs w:val="24"/>
                <w:u w:val="single"/>
                <w:lang w:val="en-US" w:eastAsia="zh-CN" w:bidi="ar"/>
              </w:rPr>
              <w:t>240</w:t>
            </w:r>
            <w:r>
              <w:rPr>
                <w:rFonts w:hint="default" w:ascii="Times New Roman" w:hAnsi="Times New Roman" w:eastAsia="宋体" w:cs="Times New Roman"/>
                <w:color w:val="000000"/>
                <w:kern w:val="0"/>
                <w:sz w:val="24"/>
                <w:szCs w:val="24"/>
                <w:u w:val="single"/>
                <w:lang w:val="en-US" w:eastAsia="zh-CN" w:bidi="ar"/>
              </w:rPr>
              <w:t>t/a</w:t>
            </w:r>
            <w:r>
              <w:rPr>
                <w:rFonts w:hint="eastAsia" w:ascii="宋体" w:hAnsi="宋体" w:eastAsia="宋体" w:cs="宋体"/>
                <w:color w:val="000000"/>
                <w:kern w:val="0"/>
                <w:sz w:val="24"/>
                <w:szCs w:val="24"/>
                <w:u w:val="single"/>
                <w:lang w:val="en-US" w:eastAsia="zh-CN" w:bidi="ar"/>
              </w:rPr>
              <w:t>。</w:t>
            </w:r>
            <w:r>
              <w:rPr>
                <w:rFonts w:hint="eastAsia"/>
                <w:u w:val="single"/>
                <w:lang w:val="en-US" w:eastAsia="zh-CN"/>
              </w:rPr>
              <w:t>设备清洗废水的主要污染物浓度类比肉类加工的废水水质。《屠宰与肉类加工废水治理工程技术规范》 (HJ2004-2010)的肉类加工废水(含洗肉、加工和冷冻等过程)水质为：COD：800~2000mg/L、BOD5：500~1000mg/L、SS：500~1000mg/L、氨氮：25~70mg/L、动植物油：30~100mg/L、pH：6.5~7.5。考虑到本清洗过程较为简单，综上考虑废水水质取：COD：2000mg/L、BOD</w:t>
            </w:r>
            <w:r>
              <w:rPr>
                <w:rFonts w:hint="eastAsia"/>
                <w:u w:val="single"/>
                <w:vertAlign w:val="subscript"/>
                <w:lang w:val="en-US" w:eastAsia="zh-CN"/>
              </w:rPr>
              <w:t>5</w:t>
            </w:r>
            <w:r>
              <w:rPr>
                <w:rFonts w:hint="eastAsia"/>
                <w:u w:val="single"/>
                <w:lang w:val="en-US" w:eastAsia="zh-CN"/>
              </w:rPr>
              <w:t>：800mg/L、SS：1000mg/L、氨氮：40mg/L、动植物油：50mg/L、pH：7</w:t>
            </w:r>
            <w:r>
              <w:rPr>
                <w:rFonts w:cs="Times New Roman"/>
                <w:u w:val="single"/>
              </w:rPr>
              <w:t>。</w:t>
            </w:r>
          </w:p>
          <w:p w14:paraId="45C7EBA2">
            <w:pPr>
              <w:rPr>
                <w:rFonts w:hint="default"/>
                <w:lang w:val="en-US" w:eastAsia="zh-CN"/>
              </w:rPr>
            </w:pPr>
          </w:p>
          <w:p w14:paraId="2B752EF0">
            <w:pPr>
              <w:ind w:firstLine="0" w:firstLineChars="0"/>
            </w:pPr>
            <w:r>
              <w:rPr>
                <w:sz w:val="24"/>
              </w:rPr>
              <mc:AlternateContent>
                <mc:Choice Requires="wps">
                  <w:drawing>
                    <wp:anchor distT="0" distB="0" distL="114300" distR="114300" simplePos="0" relativeHeight="251667456" behindDoc="0" locked="0" layoutInCell="1" allowOverlap="1">
                      <wp:simplePos x="0" y="0"/>
                      <wp:positionH relativeFrom="column">
                        <wp:posOffset>2875280</wp:posOffset>
                      </wp:positionH>
                      <wp:positionV relativeFrom="paragraph">
                        <wp:posOffset>8190865</wp:posOffset>
                      </wp:positionV>
                      <wp:extent cx="533400" cy="0"/>
                      <wp:effectExtent l="0" t="38100" r="0" b="38100"/>
                      <wp:wrapNone/>
                      <wp:docPr id="17" name="直接箭头连接符 17"/>
                      <wp:cNvGraphicFramePr/>
                      <a:graphic xmlns:a="http://schemas.openxmlformats.org/drawingml/2006/main">
                        <a:graphicData uri="http://schemas.microsoft.com/office/word/2010/wordprocessingShape">
                          <wps:wsp>
                            <wps:cNvCnPr/>
                            <wps:spPr>
                              <a:xfrm>
                                <a:off x="4064635" y="9097645"/>
                                <a:ext cx="533400" cy="0"/>
                              </a:xfrm>
                              <a:prstGeom prst="straightConnector1">
                                <a:avLst/>
                              </a:prstGeom>
                              <a:ln>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6.4pt;margin-top:644.95pt;height:0pt;width:42pt;z-index:251667456;mso-width-relative:page;mso-height-relative:page;" filled="f" stroked="t" coordsize="21600,21600" o:gfxdata="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lSP3dkAAAANAQAADwAA&#10;AAAAAAABACAAAAAiAAAAZHJzL2Rvd25yZXYueG1sUEsBAhQAFAAAAAgAh07iQKjq5mMVAgAA7gMA&#10;AA4AAAAAAAAAAQAgAAAAKAEAAGRycy9lMm9Eb2MueG1sUEsFBgAAAAAGAAYAWQEAAK8FAAAAAA==&#10;">
                      <v:fill on="f" focussize="0,0"/>
                      <v:stroke weight="1pt" color="#000000 [3213]" miterlimit="8" joinstyle="miter" dashstyle="dash" endarrow="block"/>
                      <v:imagedata o:title=""/>
                      <o:lock v:ext="edit" aspectratio="f"/>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4686300</wp:posOffset>
                      </wp:positionH>
                      <wp:positionV relativeFrom="paragraph">
                        <wp:posOffset>2224405</wp:posOffset>
                      </wp:positionV>
                      <wp:extent cx="361950" cy="9525"/>
                      <wp:effectExtent l="0" t="30480" r="0" b="36195"/>
                      <wp:wrapNone/>
                      <wp:docPr id="19" name="直接箭头连接符 19"/>
                      <wp:cNvGraphicFramePr/>
                      <a:graphic xmlns:a="http://schemas.openxmlformats.org/drawingml/2006/main">
                        <a:graphicData uri="http://schemas.microsoft.com/office/word/2010/wordprocessingShape">
                          <wps:wsp>
                            <wps:cNvCnPr/>
                            <wps:spPr>
                              <a:xfrm>
                                <a:off x="5866130" y="3445510"/>
                                <a:ext cx="361950" cy="952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69pt;margin-top:175.15pt;height:0.75pt;width:28.5pt;z-index:251666432;mso-width-relative:page;mso-height-relative:page;" filled="f" stroked="t" coordsize="21600,21600" o:gfxdata="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nEYADZAAAACwEAAA8A&#10;AAAAAAAAAQAgAAAAIgAAAGRycy9kb3ducmV2LnhtbFBLAQIUABQAAAAIAIdO4kAn0TgKFgIAAPID&#10;AAAOAAAAAAAAAAEAIAAAACgBAABkcnMvZTJvRG9jLnhtbFBLBQYAAAAABgAGAFkBAACwBQ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5062220</wp:posOffset>
                      </wp:positionH>
                      <wp:positionV relativeFrom="paragraph">
                        <wp:posOffset>7242810</wp:posOffset>
                      </wp:positionV>
                      <wp:extent cx="0" cy="423545"/>
                      <wp:effectExtent l="38100" t="0" r="38100" b="14605"/>
                      <wp:wrapNone/>
                      <wp:docPr id="127" name="直接箭头连接符 127"/>
                      <wp:cNvGraphicFramePr/>
                      <a:graphic xmlns:a="http://schemas.openxmlformats.org/drawingml/2006/main">
                        <a:graphicData uri="http://schemas.microsoft.com/office/word/2010/wordprocessingShape">
                          <wps:wsp>
                            <wps:cNvCnPr/>
                            <wps:spPr>
                              <a:xfrm>
                                <a:off x="5467985" y="8149590"/>
                                <a:ext cx="0" cy="42354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98.6pt;margin-top:570.3pt;height:33.35pt;width:0pt;z-index:251662336;mso-width-relative:page;mso-height-relative:page;" filled="f" stroked="t" coordsize="21600,21600" o:gfxdata="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BjrTd2QAAAA0BAAAPAAAA&#10;AAAAAAEAIAAAACIAAABkcnMvZG93bnJldi54bWxQSwECFAAUAAAACACHTuJAMYCCvxQCAADxAwAA&#10;DgAAAAAAAAABACAAAAAoAQAAZHJzL2Uyb0RvYy54bWxQSwUGAAAAAAYABgBZAQAArgU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1400175</wp:posOffset>
                      </wp:positionH>
                      <wp:positionV relativeFrom="paragraph">
                        <wp:posOffset>2230755</wp:posOffset>
                      </wp:positionV>
                      <wp:extent cx="603250" cy="0"/>
                      <wp:effectExtent l="0" t="38100" r="6350" b="38100"/>
                      <wp:wrapNone/>
                      <wp:docPr id="63" name="直接箭头连接符 63"/>
                      <wp:cNvGraphicFramePr/>
                      <a:graphic xmlns:a="http://schemas.openxmlformats.org/drawingml/2006/main">
                        <a:graphicData uri="http://schemas.microsoft.com/office/word/2010/wordprocessingShape">
                          <wps:wsp>
                            <wps:cNvCnPr/>
                            <wps:spPr>
                              <a:xfrm>
                                <a:off x="2589530" y="3634740"/>
                                <a:ext cx="603250"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10.25pt;margin-top:175.65pt;height:0pt;width:47.5pt;z-index:251661312;mso-width-relative:page;mso-height-relative:page;" filled="f" stroked="t" coordsize="21600,21600" o:gfxdata="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HOmfXAAAACwEAAA8AAAAA&#10;AAAAAQAgAAAAIgAAAGRycy9kb3ducmV2LnhtbFBLAQIUABQAAAAIAIdO4kBz7CIKFQIAAO8DAAAO&#10;AAAAAAAAAAEAIAAAACYBAABkcnMvZTJvRG9jLnhtbFBLBQYAAAAABgAGAFkBAACtBQ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2870835</wp:posOffset>
                      </wp:positionH>
                      <wp:positionV relativeFrom="paragraph">
                        <wp:posOffset>1589405</wp:posOffset>
                      </wp:positionV>
                      <wp:extent cx="1788795" cy="0"/>
                      <wp:effectExtent l="0" t="38100" r="1905" b="38100"/>
                      <wp:wrapNone/>
                      <wp:docPr id="49" name="直接箭头连接符 49"/>
                      <wp:cNvGraphicFramePr/>
                      <a:graphic xmlns:a="http://schemas.openxmlformats.org/drawingml/2006/main">
                        <a:graphicData uri="http://schemas.microsoft.com/office/word/2010/wordprocessingShape">
                          <wps:wsp>
                            <wps:cNvCnPr/>
                            <wps:spPr>
                              <a:xfrm>
                                <a:off x="4070985" y="2115185"/>
                                <a:ext cx="1788795"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6.05pt;margin-top:125.15pt;height:0pt;width:140.85pt;z-index:251660288;mso-width-relative:page;mso-height-relative:page;" filled="f" stroked="t" coordsize="21600,21600" o:gfxdata="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1yTzYAAAACwEAAA8AAAAA&#10;AAAAAQAgAAAAIgAAAGRycy9kb3ducmV2LnhtbFBLAQIUABQAAAAIAIdO4kAKO3oMFAIAAPADAAAO&#10;AAAAAAAAAAEAIAAAACcBAABkcnMvZTJvRG9jLnhtbFBLBQYAAAAABgAGAFkBAACtBQAAAAA=&#10;">
                      <v:fill on="f" focussize="0,0"/>
                      <v:stroke weight="1pt" color="#000000 [3213]" miterlimit="8" joinstyle="miter" endarrow="block"/>
                      <v:imagedata o:title=""/>
                      <o:lock v:ext="edit" aspectratio="f"/>
                    </v:shape>
                  </w:pict>
                </mc:Fallback>
              </mc:AlternateContent>
            </w:r>
            <w:r>
              <w:rPr>
                <w:rFonts w:hint="eastAsia"/>
              </w:rPr>
              <mc:AlternateContent>
                <mc:Choice Requires="wpc">
                  <w:drawing>
                    <wp:inline distT="0" distB="0" distL="0" distR="0">
                      <wp:extent cx="5484495" cy="8479155"/>
                      <wp:effectExtent l="0" t="0" r="1905" b="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文本框 5"/>
                              <wps:cNvSpPr txBox="1"/>
                              <wps:spPr>
                                <a:xfrm>
                                  <a:off x="77470" y="92075"/>
                                  <a:ext cx="615950" cy="287020"/>
                                </a:xfrm>
                                <a:prstGeom prst="rect">
                                  <a:avLst/>
                                </a:prstGeom>
                                <a:solidFill>
                                  <a:schemeClr val="lt1"/>
                                </a:solidFill>
                                <a:ln w="6350">
                                  <a:solidFill>
                                    <a:prstClr val="black"/>
                                  </a:solidFill>
                                </a:ln>
                              </wps:spPr>
                              <wps:txbx>
                                <w:txbxContent>
                                  <w:p w14:paraId="648DE2D4">
                                    <w:pPr>
                                      <w:spacing w:line="240" w:lineRule="auto"/>
                                      <w:ind w:firstLine="0" w:firstLineChars="0"/>
                                      <w:jc w:val="center"/>
                                      <w:rPr>
                                        <w:sz w:val="21"/>
                                        <w:szCs w:val="21"/>
                                      </w:rPr>
                                    </w:pPr>
                                    <w:r>
                                      <w:rPr>
                                        <w:rFonts w:hint="eastAsia"/>
                                        <w:sz w:val="21"/>
                                        <w:szCs w:val="21"/>
                                      </w:rPr>
                                      <w:t>新鲜</w:t>
                                    </w:r>
                                    <w:r>
                                      <w:rPr>
                                        <w:sz w:val="21"/>
                                        <w:szCs w:val="21"/>
                                      </w:rPr>
                                      <w:t>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 name="文本框 66"/>
                              <wps:cNvSpPr txBox="1"/>
                              <wps:spPr>
                                <a:xfrm>
                                  <a:off x="1988185" y="2030095"/>
                                  <a:ext cx="914400" cy="287020"/>
                                </a:xfrm>
                                <a:prstGeom prst="rect">
                                  <a:avLst/>
                                </a:prstGeom>
                                <a:solidFill>
                                  <a:schemeClr val="lt1"/>
                                </a:solidFill>
                                <a:ln w="6350">
                                  <a:solidFill>
                                    <a:prstClr val="black"/>
                                  </a:solidFill>
                                </a:ln>
                              </wps:spPr>
                              <wps:txbx>
                                <w:txbxContent>
                                  <w:p w14:paraId="6D4AE1E1">
                                    <w:pPr>
                                      <w:spacing w:line="240" w:lineRule="auto"/>
                                      <w:ind w:firstLine="0" w:firstLineChars="0"/>
                                      <w:jc w:val="center"/>
                                      <w:rPr>
                                        <w:rFonts w:hint="eastAsia" w:eastAsia="宋体"/>
                                        <w:sz w:val="21"/>
                                        <w:szCs w:val="21"/>
                                        <w:lang w:eastAsia="zh-CN"/>
                                      </w:rPr>
                                    </w:pPr>
                                    <w:r>
                                      <w:rPr>
                                        <w:rFonts w:hint="eastAsia"/>
                                        <w:sz w:val="21"/>
                                        <w:szCs w:val="21"/>
                                        <w:lang w:eastAsia="zh-CN"/>
                                      </w:rPr>
                                      <w:t>化制冷凝水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8" name="文本框 68"/>
                              <wps:cNvSpPr txBox="1"/>
                              <wps:spPr>
                                <a:xfrm>
                                  <a:off x="1776095" y="669925"/>
                                  <a:ext cx="1072515" cy="287020"/>
                                </a:xfrm>
                                <a:prstGeom prst="rect">
                                  <a:avLst/>
                                </a:prstGeom>
                                <a:solidFill>
                                  <a:schemeClr val="lt1"/>
                                </a:solidFill>
                                <a:ln w="6350">
                                  <a:solidFill>
                                    <a:prstClr val="black"/>
                                  </a:solidFill>
                                </a:ln>
                              </wps:spPr>
                              <wps:txbx>
                                <w:txbxContent>
                                  <w:p w14:paraId="60D957B1">
                                    <w:pPr>
                                      <w:spacing w:line="240" w:lineRule="auto"/>
                                      <w:ind w:firstLine="0" w:firstLineChars="0"/>
                                      <w:jc w:val="center"/>
                                      <w:rPr>
                                        <w:rFonts w:hint="eastAsia" w:eastAsia="宋体"/>
                                        <w:sz w:val="21"/>
                                        <w:szCs w:val="21"/>
                                        <w:lang w:eastAsia="zh-CN"/>
                                      </w:rPr>
                                    </w:pPr>
                                    <w:r>
                                      <w:rPr>
                                        <w:rFonts w:hint="eastAsia"/>
                                        <w:sz w:val="21"/>
                                        <w:szCs w:val="21"/>
                                        <w:lang w:eastAsia="zh-CN"/>
                                      </w:rPr>
                                      <w:t>车辆清洗废水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2" name="文本框 72"/>
                              <wps:cNvSpPr txBox="1"/>
                              <wps:spPr>
                                <a:xfrm>
                                  <a:off x="1991995" y="959485"/>
                                  <a:ext cx="934085" cy="287020"/>
                                </a:xfrm>
                                <a:prstGeom prst="rect">
                                  <a:avLst/>
                                </a:prstGeom>
                                <a:noFill/>
                                <a:ln w="6350">
                                  <a:noFill/>
                                </a:ln>
                              </wps:spPr>
                              <wps:txbx>
                                <w:txbxContent>
                                  <w:p w14:paraId="3E3D6F2D">
                                    <w:pPr>
                                      <w:spacing w:line="240" w:lineRule="auto"/>
                                      <w:ind w:firstLine="0" w:firstLineChars="0"/>
                                      <w:jc w:val="center"/>
                                      <w:rPr>
                                        <w:rFonts w:hint="default" w:eastAsia="宋体"/>
                                        <w:sz w:val="21"/>
                                        <w:szCs w:val="21"/>
                                        <w:lang w:val="en-US" w:eastAsia="zh-CN"/>
                                      </w:rPr>
                                    </w:pPr>
                                    <w:r>
                                      <w:rPr>
                                        <w:sz w:val="21"/>
                                        <w:szCs w:val="21"/>
                                      </w:rPr>
                                      <w:t>损耗</w:t>
                                    </w:r>
                                    <w:r>
                                      <w:rPr>
                                        <w:rFonts w:hint="eastAsia"/>
                                        <w:sz w:val="21"/>
                                        <w:szCs w:val="21"/>
                                        <w:lang w:val="en-US" w:eastAsia="zh-CN"/>
                                      </w:rPr>
                                      <w:t>90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3" name="文本框 73"/>
                              <wps:cNvSpPr txBox="1"/>
                              <wps:spPr>
                                <a:xfrm>
                                  <a:off x="1406525" y="1364615"/>
                                  <a:ext cx="1470025" cy="287020"/>
                                </a:xfrm>
                                <a:prstGeom prst="rect">
                                  <a:avLst/>
                                </a:prstGeom>
                                <a:solidFill>
                                  <a:schemeClr val="lt1"/>
                                </a:solidFill>
                                <a:ln w="6350">
                                  <a:solidFill>
                                    <a:prstClr val="black"/>
                                  </a:solidFill>
                                </a:ln>
                              </wps:spPr>
                              <wps:txbx>
                                <w:txbxContent>
                                  <w:p w14:paraId="61F778DE">
                                    <w:pPr>
                                      <w:spacing w:line="240" w:lineRule="auto"/>
                                      <w:ind w:firstLine="0" w:firstLineChars="0"/>
                                      <w:jc w:val="center"/>
                                      <w:rPr>
                                        <w:rFonts w:hint="eastAsia" w:eastAsia="宋体"/>
                                        <w:sz w:val="21"/>
                                        <w:szCs w:val="21"/>
                                        <w:lang w:eastAsia="zh-CN"/>
                                      </w:rPr>
                                    </w:pPr>
                                    <w:r>
                                      <w:rPr>
                                        <w:rFonts w:hint="eastAsia"/>
                                        <w:sz w:val="21"/>
                                        <w:szCs w:val="21"/>
                                        <w:lang w:eastAsia="zh-CN"/>
                                      </w:rPr>
                                      <w:t>设备、车间冲洗废水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 name="曲线连接符 74"/>
                              <wps:cNvCnPr>
                                <a:stCxn id="73" idx="0"/>
                              </wps:cNvCnPr>
                              <wps:spPr>
                                <a:xfrm rot="5400000" flipH="1" flipV="1">
                                  <a:off x="2128204" y="1176453"/>
                                  <a:ext cx="201866" cy="174807"/>
                                </a:xfrm>
                                <a:prstGeom prst="curvedConnector3">
                                  <a:avLst>
                                    <a:gd name="adj1" fmla="val 50000"/>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75" name="文本框 75"/>
                              <wps:cNvSpPr txBox="1"/>
                              <wps:spPr>
                                <a:xfrm>
                                  <a:off x="1978025" y="267970"/>
                                  <a:ext cx="934085" cy="287020"/>
                                </a:xfrm>
                                <a:prstGeom prst="rect">
                                  <a:avLst/>
                                </a:prstGeom>
                                <a:noFill/>
                                <a:ln w="6350">
                                  <a:noFill/>
                                </a:ln>
                              </wps:spPr>
                              <wps:txbx>
                                <w:txbxContent>
                                  <w:p w14:paraId="7F5E2FD9">
                                    <w:pPr>
                                      <w:spacing w:line="240" w:lineRule="auto"/>
                                      <w:ind w:firstLine="0" w:firstLineChars="0"/>
                                      <w:jc w:val="center"/>
                                      <w:rPr>
                                        <w:rFonts w:hint="default" w:eastAsia="宋体"/>
                                        <w:sz w:val="21"/>
                                        <w:szCs w:val="21"/>
                                        <w:lang w:val="en-US" w:eastAsia="zh-CN"/>
                                      </w:rPr>
                                    </w:pPr>
                                    <w:r>
                                      <w:rPr>
                                        <w:sz w:val="21"/>
                                        <w:szCs w:val="21"/>
                                      </w:rPr>
                                      <w:t>损耗</w:t>
                                    </w:r>
                                    <w:r>
                                      <w:rPr>
                                        <w:rFonts w:hint="eastAsia"/>
                                        <w:sz w:val="21"/>
                                        <w:szCs w:val="21"/>
                                        <w:lang w:val="en-US" w:eastAsia="zh-CN"/>
                                      </w:rPr>
                                      <w:t>57.6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6" name="文本框 76"/>
                              <wps:cNvSpPr txBox="1"/>
                              <wps:spPr>
                                <a:xfrm>
                                  <a:off x="1788160" y="4629150"/>
                                  <a:ext cx="1072515" cy="287020"/>
                                </a:xfrm>
                                <a:prstGeom prst="rect">
                                  <a:avLst/>
                                </a:prstGeom>
                                <a:solidFill>
                                  <a:schemeClr val="lt1"/>
                                </a:solidFill>
                                <a:ln w="6350">
                                  <a:solidFill>
                                    <a:prstClr val="black"/>
                                  </a:solidFill>
                                </a:ln>
                              </wps:spPr>
                              <wps:txbx>
                                <w:txbxContent>
                                  <w:p w14:paraId="6809C27C">
                                    <w:pPr>
                                      <w:spacing w:line="240" w:lineRule="auto"/>
                                      <w:ind w:firstLine="0" w:firstLineChars="0"/>
                                      <w:jc w:val="center"/>
                                      <w:rPr>
                                        <w:sz w:val="21"/>
                                        <w:szCs w:val="21"/>
                                      </w:rPr>
                                    </w:pPr>
                                    <w:r>
                                      <w:rPr>
                                        <w:sz w:val="21"/>
                                        <w:szCs w:val="21"/>
                                      </w:rPr>
                                      <w:t>生活</w:t>
                                    </w:r>
                                    <w:r>
                                      <w:rPr>
                                        <w:rFonts w:hint="eastAsia"/>
                                        <w:sz w:val="21"/>
                                        <w:szCs w:val="21"/>
                                      </w:rPr>
                                      <w:t>用水</w:t>
                                    </w:r>
                                  </w:p>
                                  <w:p w14:paraId="5B0D3B86"/>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7" name="曲线连接符 77"/>
                              <wps:cNvCnPr>
                                <a:stCxn id="76" idx="0"/>
                              </wps:cNvCnPr>
                              <wps:spPr>
                                <a:xfrm rot="5400000" flipH="1" flipV="1">
                                  <a:off x="2311084" y="4440529"/>
                                  <a:ext cx="201866" cy="174807"/>
                                </a:xfrm>
                                <a:prstGeom prst="curvedConnector3">
                                  <a:avLst>
                                    <a:gd name="adj1" fmla="val 50000"/>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78" name="文本框 78"/>
                              <wps:cNvSpPr txBox="1"/>
                              <wps:spPr>
                                <a:xfrm>
                                  <a:off x="2033905" y="3177540"/>
                                  <a:ext cx="934085" cy="287020"/>
                                </a:xfrm>
                                <a:prstGeom prst="rect">
                                  <a:avLst/>
                                </a:prstGeom>
                                <a:noFill/>
                                <a:ln w="6350">
                                  <a:noFill/>
                                </a:ln>
                              </wps:spPr>
                              <wps:txbx>
                                <w:txbxContent>
                                  <w:p w14:paraId="08A40134">
                                    <w:pPr>
                                      <w:spacing w:line="240" w:lineRule="auto"/>
                                      <w:ind w:firstLine="0" w:firstLineChars="0"/>
                                      <w:jc w:val="center"/>
                                      <w:rPr>
                                        <w:rFonts w:hint="default" w:eastAsia="宋体"/>
                                        <w:sz w:val="21"/>
                                        <w:szCs w:val="21"/>
                                        <w:lang w:val="en-US" w:eastAsia="zh-CN"/>
                                      </w:rPr>
                                    </w:pPr>
                                    <w:r>
                                      <w:rPr>
                                        <w:sz w:val="21"/>
                                        <w:szCs w:val="21"/>
                                      </w:rPr>
                                      <w:t>损耗</w:t>
                                    </w:r>
                                    <w:r>
                                      <w:rPr>
                                        <w:rFonts w:hint="eastAsia"/>
                                        <w:sz w:val="21"/>
                                        <w:szCs w:val="21"/>
                                        <w:lang w:val="en-US" w:eastAsia="zh-CN"/>
                                      </w:rPr>
                                      <w:t>450</w:t>
                                    </w:r>
                                  </w:p>
                                  <w:p w14:paraId="4F3C64DA">
                                    <w:pPr>
                                      <w:spacing w:line="240" w:lineRule="auto"/>
                                      <w:ind w:firstLine="0" w:firstLineChars="0"/>
                                      <w:jc w:val="center"/>
                                      <w:rPr>
                                        <w:rFonts w:hint="default" w:eastAsia="宋体"/>
                                        <w:sz w:val="21"/>
                                        <w:szCs w:val="21"/>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9" name="文本框 79"/>
                              <wps:cNvSpPr txBox="1"/>
                              <wps:spPr>
                                <a:xfrm>
                                  <a:off x="1755140" y="3589655"/>
                                  <a:ext cx="1072515" cy="287655"/>
                                </a:xfrm>
                                <a:prstGeom prst="rect">
                                  <a:avLst/>
                                </a:prstGeom>
                                <a:solidFill>
                                  <a:schemeClr val="lt1"/>
                                </a:solidFill>
                                <a:ln w="6350">
                                  <a:solidFill>
                                    <a:prstClr val="black"/>
                                  </a:solidFill>
                                </a:ln>
                              </wps:spPr>
                              <wps:txbx>
                                <w:txbxContent>
                                  <w:p w14:paraId="0632CEAF">
                                    <w:pPr>
                                      <w:spacing w:line="240" w:lineRule="auto"/>
                                      <w:ind w:firstLine="0" w:firstLineChars="0"/>
                                      <w:jc w:val="center"/>
                                      <w:rPr>
                                        <w:rFonts w:hint="eastAsia" w:eastAsia="宋体"/>
                                        <w:sz w:val="21"/>
                                        <w:szCs w:val="21"/>
                                        <w:lang w:eastAsia="zh-CN"/>
                                      </w:rPr>
                                    </w:pPr>
                                    <w:r>
                                      <w:rPr>
                                        <w:rFonts w:hint="eastAsia"/>
                                        <w:sz w:val="21"/>
                                        <w:szCs w:val="21"/>
                                        <w:lang w:eastAsia="zh-CN"/>
                                      </w:rPr>
                                      <w:t>喷淋用水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0" name="曲线连接符 80"/>
                              <wps:cNvCnPr>
                                <a:stCxn id="79" idx="0"/>
                              </wps:cNvCnPr>
                              <wps:spPr>
                                <a:xfrm rot="5400000" flipH="1" flipV="1">
                                  <a:off x="2278064" y="3401448"/>
                                  <a:ext cx="201866" cy="174807"/>
                                </a:xfrm>
                                <a:prstGeom prst="curvedConnector3">
                                  <a:avLst>
                                    <a:gd name="adj1" fmla="val 50000"/>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81" name="文本框 81"/>
                              <wps:cNvSpPr txBox="1"/>
                              <wps:spPr>
                                <a:xfrm>
                                  <a:off x="2076450" y="4877435"/>
                                  <a:ext cx="934085" cy="287655"/>
                                </a:xfrm>
                                <a:prstGeom prst="rect">
                                  <a:avLst/>
                                </a:prstGeom>
                                <a:noFill/>
                                <a:ln w="6350">
                                  <a:noFill/>
                                </a:ln>
                              </wps:spPr>
                              <wps:txbx>
                                <w:txbxContent>
                                  <w:p w14:paraId="52E189CE">
                                    <w:pPr>
                                      <w:spacing w:line="240" w:lineRule="auto"/>
                                      <w:ind w:firstLine="0" w:firstLineChars="0"/>
                                      <w:jc w:val="center"/>
                                      <w:rPr>
                                        <w:rFonts w:hint="default" w:eastAsia="宋体"/>
                                        <w:sz w:val="21"/>
                                        <w:szCs w:val="21"/>
                                        <w:lang w:val="en-US" w:eastAsia="zh-CN"/>
                                      </w:rPr>
                                    </w:pPr>
                                    <w:r>
                                      <w:rPr>
                                        <w:sz w:val="21"/>
                                        <w:szCs w:val="21"/>
                                      </w:rPr>
                                      <w:t>损耗</w:t>
                                    </w:r>
                                    <w:r>
                                      <w:rPr>
                                        <w:rFonts w:hint="eastAsia"/>
                                        <w:sz w:val="21"/>
                                        <w:szCs w:val="21"/>
                                        <w:lang w:val="en-US" w:eastAsia="zh-CN"/>
                                      </w:rPr>
                                      <w:t>1290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2" name="文本框 82"/>
                              <wps:cNvSpPr txBox="1"/>
                              <wps:spPr>
                                <a:xfrm>
                                  <a:off x="1778000" y="5300345"/>
                                  <a:ext cx="1072515" cy="287020"/>
                                </a:xfrm>
                                <a:prstGeom prst="rect">
                                  <a:avLst/>
                                </a:prstGeom>
                                <a:solidFill>
                                  <a:schemeClr val="lt1"/>
                                </a:solidFill>
                                <a:ln w="6350">
                                  <a:solidFill>
                                    <a:prstClr val="black"/>
                                  </a:solidFill>
                                </a:ln>
                              </wps:spPr>
                              <wps:txbx>
                                <w:txbxContent>
                                  <w:p w14:paraId="45BFCE6E">
                                    <w:pPr>
                                      <w:spacing w:line="240" w:lineRule="auto"/>
                                      <w:ind w:firstLine="0" w:firstLineChars="0"/>
                                      <w:jc w:val="center"/>
                                      <w:rPr>
                                        <w:rFonts w:hint="eastAsia"/>
                                        <w:sz w:val="21"/>
                                        <w:szCs w:val="21"/>
                                        <w:lang w:eastAsia="zh-CN"/>
                                      </w:rPr>
                                    </w:pPr>
                                    <w:r>
                                      <w:rPr>
                                        <w:rFonts w:hint="eastAsia"/>
                                        <w:sz w:val="21"/>
                                        <w:szCs w:val="21"/>
                                        <w:lang w:eastAsia="zh-CN"/>
                                      </w:rPr>
                                      <w:t>绿化用水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3" name="曲线连接符 83"/>
                              <wps:cNvCnPr>
                                <a:stCxn id="82" idx="0"/>
                              </wps:cNvCnPr>
                              <wps:spPr>
                                <a:xfrm rot="5400000" flipH="1" flipV="1">
                                  <a:off x="2300924" y="5112256"/>
                                  <a:ext cx="201866" cy="174807"/>
                                </a:xfrm>
                                <a:prstGeom prst="curvedConnector3">
                                  <a:avLst>
                                    <a:gd name="adj1" fmla="val 50000"/>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84" name="文本框 84"/>
                              <wps:cNvSpPr txBox="1"/>
                              <wps:spPr>
                                <a:xfrm>
                                  <a:off x="2044700" y="4217670"/>
                                  <a:ext cx="934085" cy="287020"/>
                                </a:xfrm>
                                <a:prstGeom prst="rect">
                                  <a:avLst/>
                                </a:prstGeom>
                                <a:noFill/>
                                <a:ln w="6350">
                                  <a:noFill/>
                                </a:ln>
                              </wps:spPr>
                              <wps:txbx>
                                <w:txbxContent>
                                  <w:p w14:paraId="60FA9F50">
                                    <w:pPr>
                                      <w:spacing w:line="240" w:lineRule="auto"/>
                                      <w:ind w:firstLine="0" w:firstLineChars="0"/>
                                      <w:jc w:val="center"/>
                                      <w:rPr>
                                        <w:rFonts w:hint="default" w:eastAsia="宋体"/>
                                        <w:sz w:val="21"/>
                                        <w:szCs w:val="21"/>
                                        <w:lang w:val="en-US" w:eastAsia="zh-CN"/>
                                      </w:rPr>
                                    </w:pPr>
                                    <w:r>
                                      <w:rPr>
                                        <w:sz w:val="21"/>
                                        <w:szCs w:val="21"/>
                                      </w:rPr>
                                      <w:t>损耗</w:t>
                                    </w:r>
                                    <w:r>
                                      <w:rPr>
                                        <w:rFonts w:hint="eastAsia"/>
                                        <w:sz w:val="21"/>
                                        <w:szCs w:val="21"/>
                                        <w:lang w:val="en-US" w:eastAsia="zh-CN"/>
                                      </w:rPr>
                                      <w:t>72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 name="文本框 85"/>
                              <wps:cNvSpPr txBox="1"/>
                              <wps:spPr>
                                <a:xfrm>
                                  <a:off x="3615690" y="2030095"/>
                                  <a:ext cx="1072515" cy="287020"/>
                                </a:xfrm>
                                <a:prstGeom prst="rect">
                                  <a:avLst/>
                                </a:prstGeom>
                                <a:solidFill>
                                  <a:schemeClr val="lt1"/>
                                </a:solidFill>
                                <a:ln w="6350">
                                  <a:solidFill>
                                    <a:prstClr val="black"/>
                                  </a:solidFill>
                                </a:ln>
                              </wps:spPr>
                              <wps:txbx>
                                <w:txbxContent>
                                  <w:p w14:paraId="74E00E03">
                                    <w:pPr>
                                      <w:spacing w:line="240" w:lineRule="auto"/>
                                      <w:ind w:firstLine="0" w:firstLineChars="0"/>
                                      <w:jc w:val="center"/>
                                      <w:rPr>
                                        <w:rFonts w:hint="eastAsia" w:eastAsia="宋体"/>
                                        <w:sz w:val="21"/>
                                        <w:szCs w:val="21"/>
                                        <w:lang w:eastAsia="zh-CN"/>
                                      </w:rPr>
                                    </w:pPr>
                                    <w:r>
                                      <w:rPr>
                                        <w:rFonts w:hint="eastAsia"/>
                                        <w:sz w:val="21"/>
                                        <w:szCs w:val="21"/>
                                        <w:lang w:eastAsia="zh-CN"/>
                                      </w:rPr>
                                      <w:t>地埋式暂存罐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8" name="文本框 88"/>
                              <wps:cNvSpPr txBox="1"/>
                              <wps:spPr>
                                <a:xfrm>
                                  <a:off x="4655185" y="1349375"/>
                                  <a:ext cx="755650" cy="287020"/>
                                </a:xfrm>
                                <a:prstGeom prst="rect">
                                  <a:avLst/>
                                </a:prstGeom>
                                <a:solidFill>
                                  <a:schemeClr val="lt1"/>
                                </a:solidFill>
                                <a:ln w="6350">
                                  <a:solidFill>
                                    <a:prstClr val="black"/>
                                  </a:solidFill>
                                </a:ln>
                              </wps:spPr>
                              <wps:txbx>
                                <w:txbxContent>
                                  <w:p w14:paraId="64B0C844">
                                    <w:pPr>
                                      <w:spacing w:line="240" w:lineRule="auto"/>
                                      <w:ind w:firstLine="0" w:firstLineChars="0"/>
                                      <w:jc w:val="center"/>
                                      <w:rPr>
                                        <w:rFonts w:hint="eastAsia" w:eastAsia="宋体"/>
                                        <w:sz w:val="21"/>
                                        <w:szCs w:val="21"/>
                                        <w:lang w:eastAsia="zh-CN"/>
                                      </w:rPr>
                                    </w:pPr>
                                    <w:r>
                                      <w:rPr>
                                        <w:rFonts w:hint="eastAsia"/>
                                        <w:sz w:val="21"/>
                                        <w:szCs w:val="21"/>
                                        <w:lang w:eastAsia="zh-CN"/>
                                      </w:rPr>
                                      <w:t>收集罐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4" name="文本框 94"/>
                              <wps:cNvSpPr txBox="1"/>
                              <wps:spPr>
                                <a:xfrm>
                                  <a:off x="4451985" y="6864985"/>
                                  <a:ext cx="989965" cy="307340"/>
                                </a:xfrm>
                                <a:prstGeom prst="rect">
                                  <a:avLst/>
                                </a:prstGeom>
                                <a:solidFill>
                                  <a:schemeClr val="lt1"/>
                                </a:solidFill>
                                <a:ln w="6350">
                                  <a:solidFill>
                                    <a:prstClr val="black"/>
                                  </a:solidFill>
                                </a:ln>
                              </wps:spPr>
                              <wps:txbx>
                                <w:txbxContent>
                                  <w:p w14:paraId="2D08FB46">
                                    <w:pPr>
                                      <w:spacing w:line="240" w:lineRule="auto"/>
                                      <w:ind w:firstLine="0" w:firstLineChars="0"/>
                                      <w:jc w:val="center"/>
                                      <w:rPr>
                                        <w:rFonts w:hint="eastAsia" w:eastAsia="宋体"/>
                                        <w:sz w:val="21"/>
                                        <w:szCs w:val="21"/>
                                        <w:lang w:eastAsia="zh-CN"/>
                                      </w:rPr>
                                    </w:pPr>
                                    <w:r>
                                      <w:rPr>
                                        <w:rFonts w:hint="eastAsia"/>
                                        <w:sz w:val="21"/>
                                        <w:szCs w:val="21"/>
                                        <w:lang w:eastAsia="zh-CN"/>
                                      </w:rPr>
                                      <w:t>黑膜厌氧池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0" name="文本框 110"/>
                              <wps:cNvSpPr txBox="1"/>
                              <wps:spPr>
                                <a:xfrm>
                                  <a:off x="1034415" y="505460"/>
                                  <a:ext cx="551815" cy="287020"/>
                                </a:xfrm>
                                <a:prstGeom prst="rect">
                                  <a:avLst/>
                                </a:prstGeom>
                                <a:noFill/>
                                <a:ln w="6350">
                                  <a:noFill/>
                                </a:ln>
                              </wps:spPr>
                              <wps:txbx>
                                <w:txbxContent>
                                  <w:p w14:paraId="556D65FD">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384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1" name="文本框 111"/>
                              <wps:cNvSpPr txBox="1"/>
                              <wps:spPr>
                                <a:xfrm>
                                  <a:off x="3245485" y="529590"/>
                                  <a:ext cx="551815" cy="287020"/>
                                </a:xfrm>
                                <a:prstGeom prst="rect">
                                  <a:avLst/>
                                </a:prstGeom>
                                <a:noFill/>
                                <a:ln w="6350">
                                  <a:noFill/>
                                </a:ln>
                              </wps:spPr>
                              <wps:txbx>
                                <w:txbxContent>
                                  <w:p w14:paraId="364CA392">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326.4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2" name="文本框 112"/>
                              <wps:cNvSpPr txBox="1"/>
                              <wps:spPr>
                                <a:xfrm>
                                  <a:off x="584200" y="1249045"/>
                                  <a:ext cx="551815" cy="287020"/>
                                </a:xfrm>
                                <a:prstGeom prst="rect">
                                  <a:avLst/>
                                </a:prstGeom>
                                <a:noFill/>
                                <a:ln w="6350">
                                  <a:noFill/>
                                </a:ln>
                              </wps:spPr>
                              <wps:txbx>
                                <w:txbxContent>
                                  <w:p w14:paraId="7083C693">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600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3" name="文本框 113"/>
                              <wps:cNvSpPr txBox="1"/>
                              <wps:spPr>
                                <a:xfrm>
                                  <a:off x="1294130" y="1931035"/>
                                  <a:ext cx="751205" cy="287020"/>
                                </a:xfrm>
                                <a:prstGeom prst="rect">
                                  <a:avLst/>
                                </a:prstGeom>
                                <a:noFill/>
                                <a:ln w="6350">
                                  <a:noFill/>
                                </a:ln>
                              </wps:spPr>
                              <wps:txbx>
                                <w:txbxContent>
                                  <w:p w14:paraId="013093A7">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6048.052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1" name="文本框 121"/>
                              <wps:cNvSpPr txBox="1"/>
                              <wps:spPr>
                                <a:xfrm>
                                  <a:off x="3179445" y="1287780"/>
                                  <a:ext cx="551815" cy="287020"/>
                                </a:xfrm>
                                <a:prstGeom prst="rect">
                                  <a:avLst/>
                                </a:prstGeom>
                                <a:noFill/>
                                <a:ln w="6350">
                                  <a:noFill/>
                                </a:ln>
                              </wps:spPr>
                              <wps:txbx>
                                <w:txbxContent>
                                  <w:p w14:paraId="740A73E5">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510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文本框 2"/>
                              <wps:cNvSpPr txBox="1"/>
                              <wps:spPr>
                                <a:xfrm>
                                  <a:off x="1799590" y="5946140"/>
                                  <a:ext cx="1072515" cy="287020"/>
                                </a:xfrm>
                                <a:prstGeom prst="rect">
                                  <a:avLst/>
                                </a:prstGeom>
                                <a:solidFill>
                                  <a:schemeClr val="lt1"/>
                                </a:solidFill>
                                <a:ln w="6350">
                                  <a:solidFill>
                                    <a:prstClr val="black"/>
                                  </a:solidFill>
                                </a:ln>
                              </wps:spPr>
                              <wps:txbx>
                                <w:txbxContent>
                                  <w:p w14:paraId="2001B336">
                                    <w:pPr>
                                      <w:spacing w:line="240" w:lineRule="auto"/>
                                      <w:ind w:firstLine="0" w:firstLineChars="0"/>
                                      <w:jc w:val="center"/>
                                      <w:rPr>
                                        <w:rFonts w:hint="eastAsia"/>
                                        <w:sz w:val="21"/>
                                        <w:szCs w:val="21"/>
                                        <w:lang w:eastAsia="zh-CN"/>
                                      </w:rPr>
                                    </w:pPr>
                                    <w:r>
                                      <w:rPr>
                                        <w:rFonts w:hint="eastAsia"/>
                                        <w:sz w:val="21"/>
                                        <w:szCs w:val="21"/>
                                        <w:lang w:eastAsia="zh-CN"/>
                                      </w:rPr>
                                      <w:t>冷却循环用水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文本框 3"/>
                              <wps:cNvSpPr txBox="1"/>
                              <wps:spPr>
                                <a:xfrm>
                                  <a:off x="1807210" y="6624320"/>
                                  <a:ext cx="1072515" cy="287020"/>
                                </a:xfrm>
                                <a:prstGeom prst="rect">
                                  <a:avLst/>
                                </a:prstGeom>
                                <a:solidFill>
                                  <a:schemeClr val="lt1"/>
                                </a:solidFill>
                                <a:ln w="6350">
                                  <a:solidFill>
                                    <a:prstClr val="black"/>
                                  </a:solidFill>
                                </a:ln>
                              </wps:spPr>
                              <wps:txbx>
                                <w:txbxContent>
                                  <w:p w14:paraId="6B993064">
                                    <w:pPr>
                                      <w:spacing w:line="240" w:lineRule="auto"/>
                                      <w:ind w:firstLine="0" w:firstLineChars="0"/>
                                      <w:jc w:val="center"/>
                                      <w:rPr>
                                        <w:sz w:val="21"/>
                                        <w:szCs w:val="21"/>
                                      </w:rPr>
                                    </w:pPr>
                                    <w:r>
                                      <w:rPr>
                                        <w:rFonts w:hint="eastAsia"/>
                                        <w:sz w:val="21"/>
                                        <w:szCs w:val="21"/>
                                        <w:lang w:eastAsia="zh-CN"/>
                                      </w:rPr>
                                      <w:t>道路喷洒</w:t>
                                    </w:r>
                                    <w:r>
                                      <w:rPr>
                                        <w:rFonts w:hint="eastAsia"/>
                                        <w:sz w:val="21"/>
                                        <w:szCs w:val="21"/>
                                      </w:rPr>
                                      <w:t>用水</w:t>
                                    </w:r>
                                  </w:p>
                                  <w:p w14:paraId="6E032C0D"/>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文本框 4"/>
                              <wps:cNvSpPr txBox="1"/>
                              <wps:spPr>
                                <a:xfrm>
                                  <a:off x="1798320" y="7334885"/>
                                  <a:ext cx="1072515" cy="287020"/>
                                </a:xfrm>
                                <a:prstGeom prst="rect">
                                  <a:avLst/>
                                </a:prstGeom>
                                <a:solidFill>
                                  <a:schemeClr val="lt1"/>
                                </a:solidFill>
                                <a:ln w="6350">
                                  <a:solidFill>
                                    <a:prstClr val="black"/>
                                  </a:solidFill>
                                </a:ln>
                              </wps:spPr>
                              <wps:txbx>
                                <w:txbxContent>
                                  <w:p w14:paraId="0EB27516">
                                    <w:pPr>
                                      <w:spacing w:line="240" w:lineRule="auto"/>
                                      <w:ind w:firstLine="0" w:firstLineChars="0"/>
                                      <w:jc w:val="center"/>
                                      <w:rPr>
                                        <w:sz w:val="21"/>
                                        <w:szCs w:val="21"/>
                                      </w:rPr>
                                    </w:pPr>
                                    <w:r>
                                      <w:rPr>
                                        <w:rFonts w:hint="eastAsia"/>
                                        <w:sz w:val="21"/>
                                        <w:szCs w:val="21"/>
                                        <w:lang w:eastAsia="zh-CN"/>
                                      </w:rPr>
                                      <w:t>蒸汽冷凝</w:t>
                                    </w:r>
                                    <w:r>
                                      <w:rPr>
                                        <w:rFonts w:hint="eastAsia"/>
                                        <w:sz w:val="21"/>
                                        <w:szCs w:val="21"/>
                                      </w:rPr>
                                      <w:t>水</w:t>
                                    </w:r>
                                  </w:p>
                                  <w:p w14:paraId="588F4B21"/>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6"/>
                              <wps:cNvSpPr txBox="1"/>
                              <wps:spPr>
                                <a:xfrm>
                                  <a:off x="1790700" y="7938770"/>
                                  <a:ext cx="1072515" cy="287020"/>
                                </a:xfrm>
                                <a:prstGeom prst="rect">
                                  <a:avLst/>
                                </a:prstGeom>
                                <a:solidFill>
                                  <a:schemeClr val="lt1"/>
                                </a:solidFill>
                                <a:ln w="6350">
                                  <a:solidFill>
                                    <a:prstClr val="black"/>
                                  </a:solidFill>
                                </a:ln>
                              </wps:spPr>
                              <wps:txbx>
                                <w:txbxContent>
                                  <w:p w14:paraId="3DC30800">
                                    <w:pPr>
                                      <w:spacing w:line="240" w:lineRule="auto"/>
                                      <w:ind w:firstLine="0" w:firstLineChars="0"/>
                                      <w:jc w:val="center"/>
                                      <w:rPr>
                                        <w:rFonts w:hint="eastAsia" w:eastAsia="宋体"/>
                                        <w:sz w:val="21"/>
                                        <w:szCs w:val="21"/>
                                        <w:lang w:eastAsia="zh-CN"/>
                                      </w:rPr>
                                    </w:pPr>
                                    <w:r>
                                      <w:rPr>
                                        <w:rFonts w:hint="eastAsia"/>
                                        <w:sz w:val="21"/>
                                        <w:szCs w:val="21"/>
                                        <w:lang w:eastAsia="zh-CN"/>
                                      </w:rPr>
                                      <w:t>软</w:t>
                                    </w:r>
                                    <w:r>
                                      <w:rPr>
                                        <w:rFonts w:hint="eastAsia"/>
                                        <w:sz w:val="21"/>
                                        <w:szCs w:val="21"/>
                                      </w:rPr>
                                      <w:t>水</w:t>
                                    </w:r>
                                    <w:r>
                                      <w:rPr>
                                        <w:rFonts w:hint="eastAsia"/>
                                        <w:sz w:val="21"/>
                                        <w:szCs w:val="21"/>
                                        <w:lang w:eastAsia="zh-CN"/>
                                      </w:rPr>
                                      <w:t>制备</w:t>
                                    </w:r>
                                  </w:p>
                                  <w:p w14:paraId="2E53D482"/>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 name="直接连接符 37"/>
                              <wps:cNvCnPr>
                                <a:stCxn id="5" idx="2"/>
                              </wps:cNvCnPr>
                              <wps:spPr>
                                <a:xfrm flipH="1">
                                  <a:off x="384175" y="379095"/>
                                  <a:ext cx="1270" cy="76962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38" name="曲线连接符 38"/>
                              <wps:cNvCnPr/>
                              <wps:spPr>
                                <a:xfrm rot="5400000" flipH="1" flipV="1">
                                  <a:off x="2306955" y="487045"/>
                                  <a:ext cx="201295" cy="174625"/>
                                </a:xfrm>
                                <a:prstGeom prst="curvedConnector3">
                                  <a:avLst>
                                    <a:gd name="adj1" fmla="val 50000"/>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39" name="文本框 39"/>
                              <wps:cNvSpPr txBox="1"/>
                              <wps:spPr>
                                <a:xfrm>
                                  <a:off x="2157730" y="5524500"/>
                                  <a:ext cx="934085" cy="287655"/>
                                </a:xfrm>
                                <a:prstGeom prst="rect">
                                  <a:avLst/>
                                </a:prstGeom>
                                <a:noFill/>
                                <a:ln w="6350">
                                  <a:noFill/>
                                </a:ln>
                              </wps:spPr>
                              <wps:txbx>
                                <w:txbxContent>
                                  <w:p w14:paraId="235B4378">
                                    <w:pPr>
                                      <w:spacing w:line="240" w:lineRule="auto"/>
                                      <w:ind w:firstLine="0" w:firstLineChars="0"/>
                                      <w:jc w:val="center"/>
                                      <w:rPr>
                                        <w:sz w:val="21"/>
                                        <w:szCs w:val="21"/>
                                      </w:rPr>
                                    </w:pPr>
                                    <w:r>
                                      <w:rPr>
                                        <w:sz w:val="21"/>
                                        <w:szCs w:val="21"/>
                                      </w:rPr>
                                      <w:t>损耗</w:t>
                                    </w:r>
                                    <w:r>
                                      <w:rPr>
                                        <w:rFonts w:hint="eastAsia"/>
                                        <w:sz w:val="21"/>
                                        <w:szCs w:val="21"/>
                                      </w:rPr>
                                      <w:t>1</w:t>
                                    </w:r>
                                    <w:r>
                                      <w:rPr>
                                        <w:rFonts w:hint="eastAsia"/>
                                        <w:sz w:val="21"/>
                                        <w:szCs w:val="21"/>
                                        <w:lang w:val="en-US" w:eastAsia="zh-CN"/>
                                      </w:rPr>
                                      <w:t>2</w:t>
                                    </w:r>
                                    <w:r>
                                      <w:rPr>
                                        <w:rFonts w:hint="eastAsia"/>
                                        <w:sz w:val="21"/>
                                        <w:szCs w:val="21"/>
                                      </w:rPr>
                                      <w:t>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 name="曲线连接符 40"/>
                              <wps:cNvCnPr/>
                              <wps:spPr>
                                <a:xfrm rot="5400000" flipH="1" flipV="1">
                                  <a:off x="2476500" y="5767705"/>
                                  <a:ext cx="201295" cy="174625"/>
                                </a:xfrm>
                                <a:prstGeom prst="curvedConnector3">
                                  <a:avLst>
                                    <a:gd name="adj1" fmla="val 50000"/>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41" name="曲线连接符 41"/>
                              <wps:cNvCnPr/>
                              <wps:spPr>
                                <a:xfrm flipV="1">
                                  <a:off x="2890520" y="6611620"/>
                                  <a:ext cx="239395" cy="208915"/>
                                </a:xfrm>
                                <a:prstGeom prst="curvedConnector3">
                                  <a:avLst>
                                    <a:gd name="adj1" fmla="val 50133"/>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42" name="曲线连接符 42"/>
                              <wps:cNvCnPr/>
                              <wps:spPr>
                                <a:xfrm rot="5400000" flipH="1" flipV="1">
                                  <a:off x="2455545" y="7132955"/>
                                  <a:ext cx="201295" cy="174625"/>
                                </a:xfrm>
                                <a:prstGeom prst="curvedConnector3">
                                  <a:avLst>
                                    <a:gd name="adj1" fmla="val 50000"/>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43" name="文本框 43"/>
                              <wps:cNvSpPr txBox="1"/>
                              <wps:spPr>
                                <a:xfrm>
                                  <a:off x="3004820" y="6456045"/>
                                  <a:ext cx="934085" cy="287655"/>
                                </a:xfrm>
                                <a:prstGeom prst="rect">
                                  <a:avLst/>
                                </a:prstGeom>
                                <a:noFill/>
                                <a:ln w="6350">
                                  <a:noFill/>
                                </a:ln>
                              </wps:spPr>
                              <wps:txbx>
                                <w:txbxContent>
                                  <w:p w14:paraId="34CAB78A">
                                    <w:pPr>
                                      <w:spacing w:line="240" w:lineRule="auto"/>
                                      <w:ind w:firstLine="0" w:firstLineChars="0"/>
                                      <w:jc w:val="center"/>
                                      <w:rPr>
                                        <w:rFonts w:hint="default" w:eastAsia="宋体"/>
                                        <w:sz w:val="21"/>
                                        <w:szCs w:val="21"/>
                                        <w:lang w:val="en-US" w:eastAsia="zh-CN"/>
                                      </w:rPr>
                                    </w:pPr>
                                    <w:r>
                                      <w:rPr>
                                        <w:sz w:val="21"/>
                                        <w:szCs w:val="21"/>
                                      </w:rPr>
                                      <w:t>损耗</w:t>
                                    </w:r>
                                    <w:r>
                                      <w:rPr>
                                        <w:rFonts w:hint="eastAsia"/>
                                        <w:sz w:val="21"/>
                                        <w:szCs w:val="21"/>
                                        <w:lang w:val="en-US" w:eastAsia="zh-CN"/>
                                      </w:rPr>
                                      <w:t>348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文本框 44"/>
                              <wps:cNvSpPr txBox="1"/>
                              <wps:spPr>
                                <a:xfrm>
                                  <a:off x="2159000" y="6889115"/>
                                  <a:ext cx="934085" cy="287655"/>
                                </a:xfrm>
                                <a:prstGeom prst="rect">
                                  <a:avLst/>
                                </a:prstGeom>
                                <a:noFill/>
                                <a:ln w="6350">
                                  <a:noFill/>
                                </a:ln>
                              </wps:spPr>
                              <wps:txbx>
                                <w:txbxContent>
                                  <w:p w14:paraId="26750F92">
                                    <w:pPr>
                                      <w:spacing w:line="240" w:lineRule="auto"/>
                                      <w:ind w:firstLine="0" w:firstLineChars="0"/>
                                      <w:jc w:val="center"/>
                                      <w:rPr>
                                        <w:rFonts w:hint="default" w:eastAsia="宋体"/>
                                        <w:sz w:val="21"/>
                                        <w:szCs w:val="21"/>
                                        <w:lang w:val="en-US" w:eastAsia="zh-CN"/>
                                      </w:rPr>
                                    </w:pPr>
                                    <w:r>
                                      <w:rPr>
                                        <w:sz w:val="21"/>
                                        <w:szCs w:val="21"/>
                                      </w:rPr>
                                      <w:t>损耗</w:t>
                                    </w:r>
                                    <w:r>
                                      <w:rPr>
                                        <w:rFonts w:hint="eastAsia"/>
                                        <w:sz w:val="21"/>
                                        <w:szCs w:val="21"/>
                                        <w:lang w:val="en-US" w:eastAsia="zh-CN"/>
                                      </w:rPr>
                                      <w:t>480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文本框 45"/>
                              <wps:cNvSpPr txBox="1"/>
                              <wps:spPr>
                                <a:xfrm>
                                  <a:off x="464820" y="1894840"/>
                                  <a:ext cx="934085" cy="509270"/>
                                </a:xfrm>
                                <a:prstGeom prst="rect">
                                  <a:avLst/>
                                </a:prstGeom>
                                <a:noFill/>
                                <a:ln w="6350">
                                  <a:solidFill>
                                    <a:schemeClr val="tx1"/>
                                  </a:solidFill>
                                </a:ln>
                              </wps:spPr>
                              <wps:txbx>
                                <w:txbxContent>
                                  <w:p w14:paraId="34B4B8F9">
                                    <w:pPr>
                                      <w:spacing w:line="240" w:lineRule="auto"/>
                                      <w:ind w:firstLine="0" w:firstLineChars="0"/>
                                      <w:jc w:val="center"/>
                                      <w:rPr>
                                        <w:rFonts w:hint="eastAsia" w:eastAsia="宋体"/>
                                        <w:sz w:val="21"/>
                                        <w:szCs w:val="21"/>
                                        <w:lang w:eastAsia="zh-CN"/>
                                      </w:rPr>
                                    </w:pPr>
                                    <w:r>
                                      <w:rPr>
                                        <w:rFonts w:hint="eastAsia"/>
                                        <w:sz w:val="21"/>
                                        <w:szCs w:val="21"/>
                                        <w:lang w:eastAsia="zh-CN"/>
                                      </w:rPr>
                                      <w:t>物料自身携带油水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直接箭头连接符 46"/>
                              <wps:cNvCnPr/>
                              <wps:spPr>
                                <a:xfrm flipV="1">
                                  <a:off x="405130" y="779780"/>
                                  <a:ext cx="1386840"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47" name="肘形连接符 47"/>
                              <wps:cNvCnPr>
                                <a:stCxn id="68" idx="3"/>
                                <a:endCxn id="88" idx="0"/>
                              </wps:cNvCnPr>
                              <wps:spPr>
                                <a:xfrm>
                                  <a:off x="2848610" y="813435"/>
                                  <a:ext cx="2184400" cy="535940"/>
                                </a:xfrm>
                                <a:prstGeom prst="bentConnector2">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48" name="直接箭头连接符 48"/>
                              <wps:cNvCnPr/>
                              <wps:spPr>
                                <a:xfrm flipV="1">
                                  <a:off x="391795" y="1503045"/>
                                  <a:ext cx="999490"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5" name="直接连接符 65"/>
                              <wps:cNvCnPr>
                                <a:stCxn id="66" idx="2"/>
                              </wps:cNvCnPr>
                              <wps:spPr>
                                <a:xfrm>
                                  <a:off x="2445385" y="2317115"/>
                                  <a:ext cx="2540" cy="76136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7" name="直接箭头连接符 67"/>
                              <wps:cNvCnPr/>
                              <wps:spPr>
                                <a:xfrm>
                                  <a:off x="2454910" y="2708910"/>
                                  <a:ext cx="603250"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9" name="直接箭头连接符 69"/>
                              <wps:cNvCnPr/>
                              <wps:spPr>
                                <a:xfrm>
                                  <a:off x="2454910" y="3068955"/>
                                  <a:ext cx="603250"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70" name="文本框 70"/>
                              <wps:cNvSpPr txBox="1"/>
                              <wps:spPr>
                                <a:xfrm>
                                  <a:off x="3079115" y="2550795"/>
                                  <a:ext cx="551815" cy="287020"/>
                                </a:xfrm>
                                <a:prstGeom prst="rect">
                                  <a:avLst/>
                                </a:prstGeom>
                                <a:noFill/>
                                <a:ln w="6350">
                                  <a:noFill/>
                                </a:ln>
                              </wps:spPr>
                              <wps:txbx>
                                <w:txbxContent>
                                  <w:p w14:paraId="19A0F60F">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产品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1" name="文本框 71"/>
                              <wps:cNvSpPr txBox="1"/>
                              <wps:spPr>
                                <a:xfrm>
                                  <a:off x="3100705" y="2899410"/>
                                  <a:ext cx="678180" cy="287020"/>
                                </a:xfrm>
                                <a:prstGeom prst="rect">
                                  <a:avLst/>
                                </a:prstGeom>
                                <a:noFill/>
                                <a:ln w="6350">
                                  <a:noFill/>
                                </a:ln>
                              </wps:spPr>
                              <wps:txbx>
                                <w:txbxContent>
                                  <w:p w14:paraId="460C6689">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不凝气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 name="文本框 86"/>
                              <wps:cNvSpPr txBox="1"/>
                              <wps:spPr>
                                <a:xfrm>
                                  <a:off x="2409825" y="2456180"/>
                                  <a:ext cx="655955" cy="287020"/>
                                </a:xfrm>
                                <a:prstGeom prst="rect">
                                  <a:avLst/>
                                </a:prstGeom>
                                <a:noFill/>
                                <a:ln w="6350">
                                  <a:noFill/>
                                </a:ln>
                              </wps:spPr>
                              <wps:txbx>
                                <w:txbxContent>
                                  <w:p w14:paraId="371DD944">
                                    <w:pPr>
                                      <w:spacing w:line="240" w:lineRule="auto"/>
                                      <w:ind w:firstLine="0" w:firstLineChars="0"/>
                                      <w:jc w:val="center"/>
                                      <w:rPr>
                                        <w:rFonts w:hint="default"/>
                                        <w:sz w:val="21"/>
                                        <w:szCs w:val="21"/>
                                        <w:lang w:val="en-US" w:eastAsia="zh-CN"/>
                                      </w:rPr>
                                    </w:pPr>
                                    <w:r>
                                      <w:rPr>
                                        <w:rFonts w:hint="eastAsia"/>
                                        <w:sz w:val="21"/>
                                        <w:szCs w:val="21"/>
                                        <w:lang w:val="en-US" w:eastAsia="zh-CN"/>
                                      </w:rPr>
                                      <w:t>938.12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 name="文本框 87"/>
                              <wps:cNvSpPr txBox="1"/>
                              <wps:spPr>
                                <a:xfrm>
                                  <a:off x="2475865" y="2825750"/>
                                  <a:ext cx="608330" cy="287020"/>
                                </a:xfrm>
                                <a:prstGeom prst="rect">
                                  <a:avLst/>
                                </a:prstGeom>
                                <a:noFill/>
                                <a:ln w="6350">
                                  <a:noFill/>
                                </a:ln>
                              </wps:spPr>
                              <wps:txbx>
                                <w:txbxContent>
                                  <w:p w14:paraId="4AD5C8C4">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51.102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9" name="直接箭头连接符 89"/>
                              <wps:cNvCnPr/>
                              <wps:spPr>
                                <a:xfrm>
                                  <a:off x="2913380" y="2185035"/>
                                  <a:ext cx="720090"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91" name="文本框 91"/>
                              <wps:cNvSpPr txBox="1"/>
                              <wps:spPr>
                                <a:xfrm>
                                  <a:off x="2872105" y="1945005"/>
                                  <a:ext cx="770890" cy="306070"/>
                                </a:xfrm>
                                <a:prstGeom prst="rect">
                                  <a:avLst/>
                                </a:prstGeom>
                                <a:noFill/>
                                <a:ln w="6350">
                                  <a:noFill/>
                                </a:ln>
                              </wps:spPr>
                              <wps:txbx>
                                <w:txbxContent>
                                  <w:p w14:paraId="2409DC46">
                                    <w:pPr>
                                      <w:spacing w:line="240" w:lineRule="auto"/>
                                      <w:ind w:firstLine="0" w:firstLineChars="0"/>
                                      <w:jc w:val="center"/>
                                      <w:rPr>
                                        <w:rFonts w:hint="default"/>
                                        <w:sz w:val="21"/>
                                        <w:szCs w:val="21"/>
                                        <w:lang w:val="en-US" w:eastAsia="zh-CN"/>
                                      </w:rPr>
                                    </w:pPr>
                                    <w:r>
                                      <w:rPr>
                                        <w:rFonts w:hint="eastAsia"/>
                                        <w:sz w:val="21"/>
                                        <w:szCs w:val="21"/>
                                        <w:lang w:val="en-US" w:eastAsia="zh-CN"/>
                                      </w:rPr>
                                      <w:t>5058.83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 name="直接箭头连接符 92"/>
                              <wps:cNvCnPr/>
                              <wps:spPr>
                                <a:xfrm flipV="1">
                                  <a:off x="380365" y="3746500"/>
                                  <a:ext cx="1386840"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93" name="直接箭头连接符 93"/>
                              <wps:cNvCnPr/>
                              <wps:spPr>
                                <a:xfrm flipV="1">
                                  <a:off x="401955" y="4773295"/>
                                  <a:ext cx="1386840"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95" name="直接箭头连接符 95"/>
                              <wps:cNvCnPr/>
                              <wps:spPr>
                                <a:xfrm flipV="1">
                                  <a:off x="381000" y="5450205"/>
                                  <a:ext cx="1386840"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96" name="直接箭头连接符 96"/>
                              <wps:cNvCnPr/>
                              <wps:spPr>
                                <a:xfrm flipV="1">
                                  <a:off x="401955" y="6106160"/>
                                  <a:ext cx="1386840"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97" name="直接箭头连接符 97"/>
                              <wps:cNvCnPr/>
                              <wps:spPr>
                                <a:xfrm flipV="1">
                                  <a:off x="391795" y="6772910"/>
                                  <a:ext cx="1386840"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99" name="直接箭头连接符 99"/>
                              <wps:cNvCnPr/>
                              <wps:spPr>
                                <a:xfrm flipV="1">
                                  <a:off x="391160" y="8075295"/>
                                  <a:ext cx="1386840"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00" name="直接箭头连接符 100"/>
                              <wps:cNvCnPr/>
                              <wps:spPr>
                                <a:xfrm>
                                  <a:off x="5050790" y="1646555"/>
                                  <a:ext cx="0" cy="521779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01" name="肘形连接符 101"/>
                              <wps:cNvCnPr>
                                <a:stCxn id="79" idx="2"/>
                                <a:endCxn id="79" idx="3"/>
                              </wps:cNvCnPr>
                              <wps:spPr>
                                <a:xfrm rot="5400000" flipH="1" flipV="1">
                                  <a:off x="2487930" y="3537585"/>
                                  <a:ext cx="143510" cy="535940"/>
                                </a:xfrm>
                                <a:prstGeom prst="bentConnector4">
                                  <a:avLst>
                                    <a:gd name="adj1" fmla="val -165929"/>
                                    <a:gd name="adj2" fmla="val 14443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02" name="文本框 102"/>
                              <wps:cNvSpPr txBox="1"/>
                              <wps:spPr>
                                <a:xfrm>
                                  <a:off x="2984500" y="3798570"/>
                                  <a:ext cx="1010920" cy="287020"/>
                                </a:xfrm>
                                <a:prstGeom prst="rect">
                                  <a:avLst/>
                                </a:prstGeom>
                                <a:noFill/>
                                <a:ln w="6350">
                                  <a:noFill/>
                                </a:ln>
                              </wps:spPr>
                              <wps:txbx>
                                <w:txbxContent>
                                  <w:p w14:paraId="2B7B6303">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循环用水3000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5" name="文本框 105"/>
                              <wps:cNvSpPr txBox="1"/>
                              <wps:spPr>
                                <a:xfrm>
                                  <a:off x="984250" y="3503295"/>
                                  <a:ext cx="551815" cy="287020"/>
                                </a:xfrm>
                                <a:prstGeom prst="rect">
                                  <a:avLst/>
                                </a:prstGeom>
                                <a:noFill/>
                                <a:ln w="6350">
                                  <a:noFill/>
                                </a:ln>
                              </wps:spPr>
                              <wps:txbx>
                                <w:txbxContent>
                                  <w:p w14:paraId="4B95D308">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450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直接箭头连接符 106"/>
                              <wps:cNvCnPr/>
                              <wps:spPr>
                                <a:xfrm>
                                  <a:off x="2857500" y="4762500"/>
                                  <a:ext cx="2211705"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07" name="文本框 107"/>
                              <wps:cNvSpPr txBox="1"/>
                              <wps:spPr>
                                <a:xfrm>
                                  <a:off x="3206115" y="4508500"/>
                                  <a:ext cx="551815" cy="287020"/>
                                </a:xfrm>
                                <a:prstGeom prst="rect">
                                  <a:avLst/>
                                </a:prstGeom>
                                <a:noFill/>
                                <a:ln w="6350">
                                  <a:noFill/>
                                </a:ln>
                              </wps:spPr>
                              <wps:txbx>
                                <w:txbxContent>
                                  <w:p w14:paraId="79F43AF3">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288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8" name="文本框 108"/>
                              <wps:cNvSpPr txBox="1"/>
                              <wps:spPr>
                                <a:xfrm>
                                  <a:off x="1005205" y="4519295"/>
                                  <a:ext cx="551815" cy="287020"/>
                                </a:xfrm>
                                <a:prstGeom prst="rect">
                                  <a:avLst/>
                                </a:prstGeom>
                                <a:noFill/>
                                <a:ln w="6350">
                                  <a:noFill/>
                                </a:ln>
                              </wps:spPr>
                              <wps:txbx>
                                <w:txbxContent>
                                  <w:p w14:paraId="79388A31">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360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9" name="文本框 109"/>
                              <wps:cNvSpPr txBox="1"/>
                              <wps:spPr>
                                <a:xfrm>
                                  <a:off x="1015365" y="5196205"/>
                                  <a:ext cx="551815" cy="287020"/>
                                </a:xfrm>
                                <a:prstGeom prst="rect">
                                  <a:avLst/>
                                </a:prstGeom>
                                <a:noFill/>
                                <a:ln w="6350">
                                  <a:noFill/>
                                </a:ln>
                              </wps:spPr>
                              <wps:txbx>
                                <w:txbxContent>
                                  <w:p w14:paraId="0451B35D">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1290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4" name="肘形连接符 114"/>
                              <wps:cNvCnPr>
                                <a:stCxn id="2" idx="2"/>
                                <a:endCxn id="2" idx="3"/>
                              </wps:cNvCnPr>
                              <wps:spPr>
                                <a:xfrm rot="5400000" flipH="1" flipV="1">
                                  <a:off x="2532380" y="5893435"/>
                                  <a:ext cx="143510" cy="535940"/>
                                </a:xfrm>
                                <a:prstGeom prst="bentConnector4">
                                  <a:avLst>
                                    <a:gd name="adj1" fmla="val -165929"/>
                                    <a:gd name="adj2" fmla="val 14443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15" name="文本框 115"/>
                              <wps:cNvSpPr txBox="1"/>
                              <wps:spPr>
                                <a:xfrm>
                                  <a:off x="2989580" y="6087745"/>
                                  <a:ext cx="1209040" cy="287020"/>
                                </a:xfrm>
                                <a:prstGeom prst="rect">
                                  <a:avLst/>
                                </a:prstGeom>
                                <a:noFill/>
                                <a:ln w="6350">
                                  <a:noFill/>
                                </a:ln>
                              </wps:spPr>
                              <wps:txbx>
                                <w:txbxContent>
                                  <w:p w14:paraId="5ED39F55">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循环用水24000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6" name="文本框 116"/>
                              <wps:cNvSpPr txBox="1"/>
                              <wps:spPr>
                                <a:xfrm>
                                  <a:off x="772160" y="5831205"/>
                                  <a:ext cx="900430" cy="287020"/>
                                </a:xfrm>
                                <a:prstGeom prst="rect">
                                  <a:avLst/>
                                </a:prstGeom>
                                <a:noFill/>
                                <a:ln w="6350">
                                  <a:noFill/>
                                </a:ln>
                              </wps:spPr>
                              <wps:txbx>
                                <w:txbxContent>
                                  <w:p w14:paraId="51D02755">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1200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7" name="文本框 117"/>
                              <wps:cNvSpPr txBox="1"/>
                              <wps:spPr>
                                <a:xfrm>
                                  <a:off x="962660" y="6518910"/>
                                  <a:ext cx="509905" cy="287020"/>
                                </a:xfrm>
                                <a:prstGeom prst="rect">
                                  <a:avLst/>
                                </a:prstGeom>
                                <a:noFill/>
                                <a:ln w="6350">
                                  <a:noFill/>
                                </a:ln>
                              </wps:spPr>
                              <wps:txbx>
                                <w:txbxContent>
                                  <w:p w14:paraId="4E58F977">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348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 name="肘形连接符 119"/>
                              <wps:cNvCnPr>
                                <a:stCxn id="4" idx="2"/>
                                <a:endCxn id="4" idx="3"/>
                              </wps:cNvCnPr>
                              <wps:spPr>
                                <a:xfrm rot="5400000" flipH="1" flipV="1">
                                  <a:off x="2531110" y="7282180"/>
                                  <a:ext cx="143510" cy="535940"/>
                                </a:xfrm>
                                <a:prstGeom prst="bentConnector4">
                                  <a:avLst>
                                    <a:gd name="adj1" fmla="val -165929"/>
                                    <a:gd name="adj2" fmla="val 14443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20" name="文本框 120"/>
                              <wps:cNvSpPr txBox="1"/>
                              <wps:spPr>
                                <a:xfrm>
                                  <a:off x="2865120" y="7220585"/>
                                  <a:ext cx="1033780" cy="287020"/>
                                </a:xfrm>
                                <a:prstGeom prst="rect">
                                  <a:avLst/>
                                </a:prstGeom>
                                <a:noFill/>
                                <a:ln w="6350">
                                  <a:noFill/>
                                </a:ln>
                              </wps:spPr>
                              <wps:txbx>
                                <w:txbxContent>
                                  <w:p w14:paraId="6DC98371">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循环用水9600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2" name="文本框 122"/>
                              <wps:cNvSpPr txBox="1"/>
                              <wps:spPr>
                                <a:xfrm>
                                  <a:off x="909955" y="7820660"/>
                                  <a:ext cx="551180" cy="287020"/>
                                </a:xfrm>
                                <a:prstGeom prst="rect">
                                  <a:avLst/>
                                </a:prstGeom>
                                <a:noFill/>
                                <a:ln w="6350">
                                  <a:noFill/>
                                </a:ln>
                              </wps:spPr>
                              <wps:txbx>
                                <w:txbxContent>
                                  <w:p w14:paraId="2B63DBD3">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581.3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3" name="直接箭头连接符 123"/>
                              <wps:cNvCnPr/>
                              <wps:spPr>
                                <a:xfrm flipH="1" flipV="1">
                                  <a:off x="2013585" y="7630795"/>
                                  <a:ext cx="10795" cy="30670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24" name="肘形连接符 124"/>
                              <wps:cNvCnPr>
                                <a:stCxn id="6" idx="3"/>
                                <a:endCxn id="94" idx="1"/>
                              </wps:cNvCnPr>
                              <wps:spPr>
                                <a:xfrm flipV="1">
                                  <a:off x="2863215" y="7018655"/>
                                  <a:ext cx="1588770" cy="1063625"/>
                                </a:xfrm>
                                <a:prstGeom prst="bentConnector3">
                                  <a:avLst>
                                    <a:gd name="adj1" fmla="val 73980"/>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25" name="文本框 125"/>
                              <wps:cNvSpPr txBox="1"/>
                              <wps:spPr>
                                <a:xfrm>
                                  <a:off x="3185160" y="7821295"/>
                                  <a:ext cx="551180" cy="287020"/>
                                </a:xfrm>
                                <a:prstGeom prst="rect">
                                  <a:avLst/>
                                </a:prstGeom>
                                <a:noFill/>
                                <a:ln w="6350">
                                  <a:noFill/>
                                </a:ln>
                              </wps:spPr>
                              <wps:txbx>
                                <w:txbxContent>
                                  <w:p w14:paraId="5E9B68CA">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48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6" name="文本框 126"/>
                              <wps:cNvSpPr txBox="1"/>
                              <wps:spPr>
                                <a:xfrm>
                                  <a:off x="592455" y="106045"/>
                                  <a:ext cx="608330" cy="287020"/>
                                </a:xfrm>
                                <a:prstGeom prst="rect">
                                  <a:avLst/>
                                </a:prstGeom>
                                <a:noFill/>
                                <a:ln w="6350">
                                  <a:noFill/>
                                </a:ln>
                              </wps:spPr>
                              <wps:txbx>
                                <w:txbxContent>
                                  <w:p w14:paraId="2A374494">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5213.3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8" name="文本框 128"/>
                              <wps:cNvSpPr txBox="1"/>
                              <wps:spPr>
                                <a:xfrm>
                                  <a:off x="4465955" y="7620000"/>
                                  <a:ext cx="900430" cy="520065"/>
                                </a:xfrm>
                                <a:prstGeom prst="rect">
                                  <a:avLst/>
                                </a:prstGeom>
                                <a:noFill/>
                                <a:ln w="6350">
                                  <a:noFill/>
                                </a:ln>
                              </wps:spPr>
                              <wps:txbx>
                                <w:txbxContent>
                                  <w:p w14:paraId="73A9C018">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制成沼液，绿化、灌溉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9" name="文本框 129"/>
                              <wps:cNvSpPr txBox="1"/>
                              <wps:spPr>
                                <a:xfrm>
                                  <a:off x="4411980" y="7228205"/>
                                  <a:ext cx="739775" cy="287020"/>
                                </a:xfrm>
                                <a:prstGeom prst="rect">
                                  <a:avLst/>
                                </a:prstGeom>
                                <a:noFill/>
                                <a:ln w="6350">
                                  <a:noFill/>
                                </a:ln>
                              </wps:spPr>
                              <wps:txbx>
                                <w:txbxContent>
                                  <w:p w14:paraId="35423DFF">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6231.23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 name="文本框 22"/>
                              <wps:cNvSpPr txBox="1"/>
                              <wps:spPr>
                                <a:xfrm>
                                  <a:off x="2789555" y="8180705"/>
                                  <a:ext cx="934085" cy="287655"/>
                                </a:xfrm>
                                <a:prstGeom prst="rect">
                                  <a:avLst/>
                                </a:prstGeom>
                                <a:noFill/>
                                <a:ln w="6350">
                                  <a:noFill/>
                                </a:ln>
                              </wps:spPr>
                              <wps:txbx>
                                <w:txbxContent>
                                  <w:p w14:paraId="1B17D0F0">
                                    <w:pPr>
                                      <w:spacing w:line="240" w:lineRule="auto"/>
                                      <w:ind w:firstLine="0" w:firstLineChars="0"/>
                                      <w:jc w:val="center"/>
                                      <w:rPr>
                                        <w:rFonts w:hint="default" w:eastAsia="宋体"/>
                                        <w:sz w:val="21"/>
                                        <w:szCs w:val="21"/>
                                        <w:lang w:val="en-US" w:eastAsia="zh-CN"/>
                                      </w:rPr>
                                    </w:pPr>
                                    <w:r>
                                      <w:rPr>
                                        <w:sz w:val="21"/>
                                        <w:szCs w:val="21"/>
                                      </w:rPr>
                                      <w:t>损耗</w:t>
                                    </w:r>
                                    <w:r>
                                      <w:rPr>
                                        <w:rFonts w:hint="eastAsia"/>
                                        <w:sz w:val="21"/>
                                        <w:szCs w:val="21"/>
                                        <w:lang w:val="en-US" w:eastAsia="zh-CN"/>
                                      </w:rPr>
                                      <w:t>53.3</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667.65pt;width:431.85pt;" coordsize="5484495,8479155" editas="canvas" o:gfxdata="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">
                      <o:lock v:ext="edit" aspectratio="f"/>
                      <v:shape id="_x0000_s1026" o:spid="_x0000_s1026" style="position:absolute;left:0;top:0;height:8479155;width:5484495;" filled="f" stroked="f" coordsize="21600,21600" o:gfxdata="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">
                        <v:fill on="f" focussize="0,0"/>
                        <v:stroke on="f"/>
                        <v:imagedata o:title=""/>
                        <o:lock v:ext="edit" aspectratio="t"/>
                      </v:shape>
                      <v:shape id="_x0000_s1026" o:spid="_x0000_s1026" o:spt="202" type="#_x0000_t202" style="position:absolute;left:77470;top:92075;height:287020;width:615950;" fillcolor="#FFFFFF [3201]" filled="t" stroked="t" coordsize="21600,21600" o:gfxdata="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qu&#10;QuPUAAAABgEAAA8AAAAAAAAAAQAgAAAAIgAAAGRycy9kb3ducmV2LnhtbFBLAQIUABQAAAAIAIdO&#10;4kBEQ55rYAIAAL4EAAAOAAAAAAAAAAEAIAAAACMBAABkcnMvZTJvRG9jLnhtbFBLBQYAAAAABgAG&#10;AFkBAAD1BQAAAAA=&#10;">
                        <v:fill on="t" focussize="0,0"/>
                        <v:stroke weight="0.5pt" color="#000000" joinstyle="round"/>
                        <v:imagedata o:title=""/>
                        <o:lock v:ext="edit" aspectratio="f"/>
                        <v:textbox>
                          <w:txbxContent>
                            <w:p w14:paraId="648DE2D4">
                              <w:pPr>
                                <w:spacing w:line="240" w:lineRule="auto"/>
                                <w:ind w:firstLine="0" w:firstLineChars="0"/>
                                <w:jc w:val="center"/>
                                <w:rPr>
                                  <w:sz w:val="21"/>
                                  <w:szCs w:val="21"/>
                                </w:rPr>
                              </w:pPr>
                              <w:r>
                                <w:rPr>
                                  <w:rFonts w:hint="eastAsia"/>
                                  <w:sz w:val="21"/>
                                  <w:szCs w:val="21"/>
                                </w:rPr>
                                <w:t>新鲜</w:t>
                              </w:r>
                              <w:r>
                                <w:rPr>
                                  <w:sz w:val="21"/>
                                  <w:szCs w:val="21"/>
                                </w:rPr>
                                <w:t>水</w:t>
                              </w:r>
                            </w:p>
                          </w:txbxContent>
                        </v:textbox>
                      </v:shape>
                      <v:shape id="_x0000_s1026" o:spid="_x0000_s1026" o:spt="202" type="#_x0000_t202" style="position:absolute;left:1988185;top:2030095;height:287020;width:914400;" fillcolor="#FFFFFF [3201]" filled="t" stroked="t" coordsize="21600,21600" o:gfxdata="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qrkLj1AAAAAYBAAAPAAAAAAAAAAEAIAAAACIAAABkcnMvZG93bnJldi54bWxQSwECFAAUAAAA&#10;CACHTuJAgRtjwGQCAADEBAAADgAAAAAAAAABACAAAAAjAQAAZHJzL2Uyb0RvYy54bWxQSwUGAAAA&#10;AAYABgBZAQAA+QUAAAAA&#10;">
                        <v:fill on="t" focussize="0,0"/>
                        <v:stroke weight="0.5pt" color="#000000" joinstyle="round"/>
                        <v:imagedata o:title=""/>
                        <o:lock v:ext="edit" aspectratio="f"/>
                        <v:textbox>
                          <w:txbxContent>
                            <w:p w14:paraId="6D4AE1E1">
                              <w:pPr>
                                <w:spacing w:line="240" w:lineRule="auto"/>
                                <w:ind w:firstLine="0" w:firstLineChars="0"/>
                                <w:jc w:val="center"/>
                                <w:rPr>
                                  <w:rFonts w:hint="eastAsia" w:eastAsia="宋体"/>
                                  <w:sz w:val="21"/>
                                  <w:szCs w:val="21"/>
                                  <w:lang w:eastAsia="zh-CN"/>
                                </w:rPr>
                              </w:pPr>
                              <w:r>
                                <w:rPr>
                                  <w:rFonts w:hint="eastAsia"/>
                                  <w:sz w:val="21"/>
                                  <w:szCs w:val="21"/>
                                  <w:lang w:eastAsia="zh-CN"/>
                                </w:rPr>
                                <w:t>化制冷凝水</w:t>
                              </w:r>
                            </w:p>
                          </w:txbxContent>
                        </v:textbox>
                      </v:shape>
                      <v:shape id="_x0000_s1026" o:spid="_x0000_s1026" o:spt="202" type="#_x0000_t202" style="position:absolute;left:1776095;top:669925;height:287020;width:1072515;" fillcolor="#FFFFFF [3201]" filled="t" stroked="t" coordsize="21600,21600" o:gfxdata="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6q5C49QAAAAGAQAADwAAAAAAAAABACAAAAAiAAAAZHJzL2Rvd25yZXYueG1sUEsBAhQAFAAA&#10;AAgAh07iQJkEO+tlAgAAxAQAAA4AAAAAAAAAAQAgAAAAIwEAAGRycy9lMm9Eb2MueG1sUEsFBgAA&#10;AAAGAAYAWQEAAPoFAAAAAA==&#10;">
                        <v:fill on="t" focussize="0,0"/>
                        <v:stroke weight="0.5pt" color="#000000" joinstyle="round"/>
                        <v:imagedata o:title=""/>
                        <o:lock v:ext="edit" aspectratio="f"/>
                        <v:textbox>
                          <w:txbxContent>
                            <w:p w14:paraId="60D957B1">
                              <w:pPr>
                                <w:spacing w:line="240" w:lineRule="auto"/>
                                <w:ind w:firstLine="0" w:firstLineChars="0"/>
                                <w:jc w:val="center"/>
                                <w:rPr>
                                  <w:rFonts w:hint="eastAsia" w:eastAsia="宋体"/>
                                  <w:sz w:val="21"/>
                                  <w:szCs w:val="21"/>
                                  <w:lang w:eastAsia="zh-CN"/>
                                </w:rPr>
                              </w:pPr>
                              <w:r>
                                <w:rPr>
                                  <w:rFonts w:hint="eastAsia"/>
                                  <w:sz w:val="21"/>
                                  <w:szCs w:val="21"/>
                                  <w:lang w:eastAsia="zh-CN"/>
                                </w:rPr>
                                <w:t>车辆清洗废水</w:t>
                              </w:r>
                            </w:p>
                          </w:txbxContent>
                        </v:textbox>
                      </v:shape>
                      <v:shape id="_x0000_s1026" o:spid="_x0000_s1026" o:spt="202" type="#_x0000_t202" style="position:absolute;left:1991995;top:959485;height:287020;width:93408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iBupn2AAAAAYBAAAPAAAAAAAAAAEA&#10;IAAAACIAAABkcnMvZG93bnJldi54bWxQSwECFAAUAAAACACHTuJAPyL/+UgCAAByBAAADgAAAAAA&#10;AAABACAAAAAnAQAAZHJzL2Uyb0RvYy54bWxQSwUGAAAAAAYABgBZAQAA4QUAAAAA&#10;">
                        <v:fill on="f" focussize="0,0"/>
                        <v:stroke on="f" weight="0.5pt"/>
                        <v:imagedata o:title=""/>
                        <o:lock v:ext="edit" aspectratio="f"/>
                        <v:textbox>
                          <w:txbxContent>
                            <w:p w14:paraId="3E3D6F2D">
                              <w:pPr>
                                <w:spacing w:line="240" w:lineRule="auto"/>
                                <w:ind w:firstLine="0" w:firstLineChars="0"/>
                                <w:jc w:val="center"/>
                                <w:rPr>
                                  <w:rFonts w:hint="default" w:eastAsia="宋体"/>
                                  <w:sz w:val="21"/>
                                  <w:szCs w:val="21"/>
                                  <w:lang w:val="en-US" w:eastAsia="zh-CN"/>
                                </w:rPr>
                              </w:pPr>
                              <w:r>
                                <w:rPr>
                                  <w:sz w:val="21"/>
                                  <w:szCs w:val="21"/>
                                </w:rPr>
                                <w:t>损耗</w:t>
                              </w:r>
                              <w:r>
                                <w:rPr>
                                  <w:rFonts w:hint="eastAsia"/>
                                  <w:sz w:val="21"/>
                                  <w:szCs w:val="21"/>
                                  <w:lang w:val="en-US" w:eastAsia="zh-CN"/>
                                </w:rPr>
                                <w:t>90</w:t>
                              </w:r>
                            </w:p>
                          </w:txbxContent>
                        </v:textbox>
                      </v:shape>
                      <v:shape id="_x0000_s1026" o:spid="_x0000_s1026" o:spt="202" type="#_x0000_t202" style="position:absolute;left:1406525;top:1364615;height:287020;width:1470025;" fillcolor="#FFFFFF [3201]" filled="t" stroked="t" coordsize="21600,21600" o:gfxdata="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qrkLj1AAAAAYBAAAPAAAAAAAAAAEAIAAAACIAAABkcnMvZG93bnJldi54bWxQSwECFAAUAAAA&#10;CACHTuJAstWDAWQCAADFBAAADgAAAAAAAAABACAAAAAjAQAAZHJzL2Uyb0RvYy54bWxQSwUGAAAA&#10;AAYABgBZAQAA+QUAAAAA&#10;">
                        <v:fill on="t" focussize="0,0"/>
                        <v:stroke weight="0.5pt" color="#000000" joinstyle="round"/>
                        <v:imagedata o:title=""/>
                        <o:lock v:ext="edit" aspectratio="f"/>
                        <v:textbox>
                          <w:txbxContent>
                            <w:p w14:paraId="61F778DE">
                              <w:pPr>
                                <w:spacing w:line="240" w:lineRule="auto"/>
                                <w:ind w:firstLine="0" w:firstLineChars="0"/>
                                <w:jc w:val="center"/>
                                <w:rPr>
                                  <w:rFonts w:hint="eastAsia" w:eastAsia="宋体"/>
                                  <w:sz w:val="21"/>
                                  <w:szCs w:val="21"/>
                                  <w:lang w:eastAsia="zh-CN"/>
                                </w:rPr>
                              </w:pPr>
                              <w:r>
                                <w:rPr>
                                  <w:rFonts w:hint="eastAsia"/>
                                  <w:sz w:val="21"/>
                                  <w:szCs w:val="21"/>
                                  <w:lang w:eastAsia="zh-CN"/>
                                </w:rPr>
                                <w:t>设备、车间冲洗废水</w:t>
                              </w:r>
                            </w:p>
                          </w:txbxContent>
                        </v:textbox>
                      </v:shape>
                      <v:shape id="_x0000_s1026" o:spid="_x0000_s1026" o:spt="38" type="#_x0000_t38" style="position:absolute;left:2128204;top:1176453;flip:x y;height:174807;width:201866;rotation:5898240f;" filled="f" stroked="t" coordsize="21600,21600" o:gfxdata="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I0oxrWAAAABgEAAA8AAAAAAAAAAQAg&#10;AAAAIgAAAGRycy9kb3ducmV2LnhtbFBLAQIUABQAAAAIAIdO4kCItfD7SQIAAGAEAAAOAAAAAAAA&#10;AAEAIAAAACUBAABkcnMvZTJvRG9jLnhtbFBLBQYAAAAABgAGAFkBAADgBQAAAAA=&#10;" adj="10800">
                        <v:fill on="f" focussize="0,0"/>
                        <v:stroke weight="0.5pt" color="#000000 [3200]" miterlimit="8" joinstyle="miter" dashstyle="dash" endarrow="block"/>
                        <v:imagedata o:title=""/>
                        <o:lock v:ext="edit" aspectratio="f"/>
                      </v:shape>
                      <v:shape id="_x0000_s1026" o:spid="_x0000_s1026" o:spt="202" type="#_x0000_t202" style="position:absolute;left:1978025;top:267970;height:287020;width:93408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IG6mfYAAAABgEAAA8AAAAAAAAAAQAg&#10;AAAAIgAAAGRycy9kb3ducmV2LnhtbFBLAQIUABQAAAAIAIdO4kANtcx4RwIAAHIEAAAOAAAAAAAA&#10;AAEAIAAAACcBAABkcnMvZTJvRG9jLnhtbFBLBQYAAAAABgAGAFkBAADgBQAAAAA=&#10;">
                        <v:fill on="f" focussize="0,0"/>
                        <v:stroke on="f" weight="0.5pt"/>
                        <v:imagedata o:title=""/>
                        <o:lock v:ext="edit" aspectratio="f"/>
                        <v:textbox>
                          <w:txbxContent>
                            <w:p w14:paraId="7F5E2FD9">
                              <w:pPr>
                                <w:spacing w:line="240" w:lineRule="auto"/>
                                <w:ind w:firstLine="0" w:firstLineChars="0"/>
                                <w:jc w:val="center"/>
                                <w:rPr>
                                  <w:rFonts w:hint="default" w:eastAsia="宋体"/>
                                  <w:sz w:val="21"/>
                                  <w:szCs w:val="21"/>
                                  <w:lang w:val="en-US" w:eastAsia="zh-CN"/>
                                </w:rPr>
                              </w:pPr>
                              <w:r>
                                <w:rPr>
                                  <w:sz w:val="21"/>
                                  <w:szCs w:val="21"/>
                                </w:rPr>
                                <w:t>损耗</w:t>
                              </w:r>
                              <w:r>
                                <w:rPr>
                                  <w:rFonts w:hint="eastAsia"/>
                                  <w:sz w:val="21"/>
                                  <w:szCs w:val="21"/>
                                  <w:lang w:val="en-US" w:eastAsia="zh-CN"/>
                                </w:rPr>
                                <w:t>57.6</w:t>
                              </w:r>
                            </w:p>
                          </w:txbxContent>
                        </v:textbox>
                      </v:shape>
                      <v:shape id="_x0000_s1026" o:spid="_x0000_s1026" o:spt="202" type="#_x0000_t202" style="position:absolute;left:1788160;top:4629150;height:287020;width:1072515;" fillcolor="#FFFFFF [3201]" filled="t" stroked="t" coordsize="21600,21600" o:gfxdata="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6q5C49QAAAAGAQAADwAAAAAAAAABACAAAAAiAAAAZHJzL2Rvd25yZXYueG1sUEsBAhQAFAAA&#10;AAgAh07iQJB3FLJlAgAAxQQAAA4AAAAAAAAAAQAgAAAAIwEAAGRycy9lMm9Eb2MueG1sUEsFBgAA&#10;AAAGAAYAWQEAAPoFAAAAAA==&#10;">
                        <v:fill on="t" focussize="0,0"/>
                        <v:stroke weight="0.5pt" color="#000000" joinstyle="round"/>
                        <v:imagedata o:title=""/>
                        <o:lock v:ext="edit" aspectratio="f"/>
                        <v:textbox>
                          <w:txbxContent>
                            <w:p w14:paraId="6809C27C">
                              <w:pPr>
                                <w:spacing w:line="240" w:lineRule="auto"/>
                                <w:ind w:firstLine="0" w:firstLineChars="0"/>
                                <w:jc w:val="center"/>
                                <w:rPr>
                                  <w:sz w:val="21"/>
                                  <w:szCs w:val="21"/>
                                </w:rPr>
                              </w:pPr>
                              <w:r>
                                <w:rPr>
                                  <w:sz w:val="21"/>
                                  <w:szCs w:val="21"/>
                                </w:rPr>
                                <w:t>生活</w:t>
                              </w:r>
                              <w:r>
                                <w:rPr>
                                  <w:rFonts w:hint="eastAsia"/>
                                  <w:sz w:val="21"/>
                                  <w:szCs w:val="21"/>
                                </w:rPr>
                                <w:t>用水</w:t>
                              </w:r>
                            </w:p>
                            <w:p w14:paraId="5B0D3B86"/>
                          </w:txbxContent>
                        </v:textbox>
                      </v:shape>
                      <v:shape id="_x0000_s1026" o:spid="_x0000_s1026" o:spt="38" type="#_x0000_t38" style="position:absolute;left:2311084;top:4440529;flip:x y;height:174807;width:201866;rotation:5898240f;" filled="f" stroked="t" coordsize="21600,21600" o:gfxdata="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SNKMa1gAAAAYBAAAPAAAAAAAA&#10;AAEAIAAAACIAAABkcnMvZG93bnJldi54bWxQSwECFAAUAAAACACHTuJAtK/2YE0CAABgBAAADgAA&#10;AAAAAAABACAAAAAlAQAAZHJzL2Uyb0RvYy54bWxQSwUGAAAAAAYABgBZAQAA5AUAAAAA&#10;" adj="10800">
                        <v:fill on="f" focussize="0,0"/>
                        <v:stroke weight="0.5pt" color="#000000 [3200]" miterlimit="8" joinstyle="miter" dashstyle="dash" endarrow="block"/>
                        <v:imagedata o:title=""/>
                        <o:lock v:ext="edit" aspectratio="f"/>
                      </v:shape>
                      <v:shape id="_x0000_s1026" o:spid="_x0000_s1026" o:spt="202" type="#_x0000_t202" style="position:absolute;left:2033905;top:3177540;height:287020;width:93408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gbqZ9gAAAAGAQAADwAAAAAAAAAB&#10;ACAAAAAiAAAAZHJzL2Rvd25yZXYueG1sUEsBAhQAFAAAAAgAh07iQIuTMw9JAgAAcwQAAA4AAAAA&#10;AAAAAQAgAAAAJwEAAGRycy9lMm9Eb2MueG1sUEsFBgAAAAAGAAYAWQEAAOIFAAAAAA==&#10;">
                        <v:fill on="f" focussize="0,0"/>
                        <v:stroke on="f" weight="0.5pt"/>
                        <v:imagedata o:title=""/>
                        <o:lock v:ext="edit" aspectratio="f"/>
                        <v:textbox>
                          <w:txbxContent>
                            <w:p w14:paraId="08A40134">
                              <w:pPr>
                                <w:spacing w:line="240" w:lineRule="auto"/>
                                <w:ind w:firstLine="0" w:firstLineChars="0"/>
                                <w:jc w:val="center"/>
                                <w:rPr>
                                  <w:rFonts w:hint="default" w:eastAsia="宋体"/>
                                  <w:sz w:val="21"/>
                                  <w:szCs w:val="21"/>
                                  <w:lang w:val="en-US" w:eastAsia="zh-CN"/>
                                </w:rPr>
                              </w:pPr>
                              <w:r>
                                <w:rPr>
                                  <w:sz w:val="21"/>
                                  <w:szCs w:val="21"/>
                                </w:rPr>
                                <w:t>损耗</w:t>
                              </w:r>
                              <w:r>
                                <w:rPr>
                                  <w:rFonts w:hint="eastAsia"/>
                                  <w:sz w:val="21"/>
                                  <w:szCs w:val="21"/>
                                  <w:lang w:val="en-US" w:eastAsia="zh-CN"/>
                                </w:rPr>
                                <w:t>450</w:t>
                              </w:r>
                            </w:p>
                            <w:p w14:paraId="4F3C64DA">
                              <w:pPr>
                                <w:spacing w:line="240" w:lineRule="auto"/>
                                <w:ind w:firstLine="0" w:firstLineChars="0"/>
                                <w:jc w:val="center"/>
                                <w:rPr>
                                  <w:rFonts w:hint="default" w:eastAsia="宋体"/>
                                  <w:sz w:val="21"/>
                                  <w:szCs w:val="21"/>
                                  <w:lang w:val="en-US" w:eastAsia="zh-CN"/>
                                </w:rPr>
                              </w:pPr>
                            </w:p>
                          </w:txbxContent>
                        </v:textbox>
                      </v:shape>
                      <v:shape id="_x0000_s1026" o:spid="_x0000_s1026" o:spt="202" type="#_x0000_t202" style="position:absolute;left:1755140;top:3589655;height:287655;width:1072515;" fillcolor="#FFFFFF [3201]" filled="t" stroked="t" coordsize="21600,21600" o:gfxdata="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6q5C49QAAAAGAQAADwAAAAAAAAABACAAAAAiAAAAZHJzL2Rvd25yZXYueG1sUEsBAhQAFAAA&#10;AAgAh07iQIGwH5ZlAgAAxQQAAA4AAAAAAAAAAQAgAAAAIwEAAGRycy9lMm9Eb2MueG1sUEsFBgAA&#10;AAAGAAYAWQEAAPoFAAAAAA==&#10;">
                        <v:fill on="t" focussize="0,0"/>
                        <v:stroke weight="0.5pt" color="#000000" joinstyle="round"/>
                        <v:imagedata o:title=""/>
                        <o:lock v:ext="edit" aspectratio="f"/>
                        <v:textbox>
                          <w:txbxContent>
                            <w:p w14:paraId="0632CEAF">
                              <w:pPr>
                                <w:spacing w:line="240" w:lineRule="auto"/>
                                <w:ind w:firstLine="0" w:firstLineChars="0"/>
                                <w:jc w:val="center"/>
                                <w:rPr>
                                  <w:rFonts w:hint="eastAsia" w:eastAsia="宋体"/>
                                  <w:sz w:val="21"/>
                                  <w:szCs w:val="21"/>
                                  <w:lang w:eastAsia="zh-CN"/>
                                </w:rPr>
                              </w:pPr>
                              <w:r>
                                <w:rPr>
                                  <w:rFonts w:hint="eastAsia"/>
                                  <w:sz w:val="21"/>
                                  <w:szCs w:val="21"/>
                                  <w:lang w:eastAsia="zh-CN"/>
                                </w:rPr>
                                <w:t>喷淋用水</w:t>
                              </w:r>
                            </w:p>
                          </w:txbxContent>
                        </v:textbox>
                      </v:shape>
                      <v:shape id="_x0000_s1026" o:spid="_x0000_s1026" o:spt="38" type="#_x0000_t38" style="position:absolute;left:2278064;top:3401448;flip:x y;height:174807;width:201866;rotation:5898240f;" filled="f" stroked="t" coordsize="21600,21600" o:gfxdata="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I0oxrWAAAABgEAAA8AAAAAAAAA&#10;AQAgAAAAIgAAAGRycy9kb3ducmV2LnhtbFBLAQIUABQAAAAIAIdO4kA3rljzTAIAAGAEAAAOAAAA&#10;AAAAAAEAIAAAACUBAABkcnMvZTJvRG9jLnhtbFBLBQYAAAAABgAGAFkBAADjBQAAAAA=&#10;" adj="10800">
                        <v:fill on="f" focussize="0,0"/>
                        <v:stroke weight="0.5pt" color="#000000 [3200]" miterlimit="8" joinstyle="miter" dashstyle="dash" endarrow="block"/>
                        <v:imagedata o:title=""/>
                        <o:lock v:ext="edit" aspectratio="f"/>
                      </v:shape>
                      <v:shape id="_x0000_s1026" o:spid="_x0000_s1026" o:spt="202" type="#_x0000_t202" style="position:absolute;left:2076450;top:4877435;height:287655;width:93408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gbqZ9gAAAAGAQAADwAAAAAAAAAB&#10;ACAAAAAiAAAAZHJzL2Rvd25yZXYueG1sUEsBAhQAFAAAAAgAh07iQEF/b6dJAgAAcwQAAA4AAAAA&#10;AAAAAQAgAAAAJwEAAGRycy9lMm9Eb2MueG1sUEsFBgAAAAAGAAYAWQEAAOIFAAAAAA==&#10;">
                        <v:fill on="f" focussize="0,0"/>
                        <v:stroke on="f" weight="0.5pt"/>
                        <v:imagedata o:title=""/>
                        <o:lock v:ext="edit" aspectratio="f"/>
                        <v:textbox>
                          <w:txbxContent>
                            <w:p w14:paraId="52E189CE">
                              <w:pPr>
                                <w:spacing w:line="240" w:lineRule="auto"/>
                                <w:ind w:firstLine="0" w:firstLineChars="0"/>
                                <w:jc w:val="center"/>
                                <w:rPr>
                                  <w:rFonts w:hint="default" w:eastAsia="宋体"/>
                                  <w:sz w:val="21"/>
                                  <w:szCs w:val="21"/>
                                  <w:lang w:val="en-US" w:eastAsia="zh-CN"/>
                                </w:rPr>
                              </w:pPr>
                              <w:r>
                                <w:rPr>
                                  <w:sz w:val="21"/>
                                  <w:szCs w:val="21"/>
                                </w:rPr>
                                <w:t>损耗</w:t>
                              </w:r>
                              <w:r>
                                <w:rPr>
                                  <w:rFonts w:hint="eastAsia"/>
                                  <w:sz w:val="21"/>
                                  <w:szCs w:val="21"/>
                                  <w:lang w:val="en-US" w:eastAsia="zh-CN"/>
                                </w:rPr>
                                <w:t>1290</w:t>
                              </w:r>
                            </w:p>
                          </w:txbxContent>
                        </v:textbox>
                      </v:shape>
                      <v:shape id="_x0000_s1026" o:spid="_x0000_s1026" o:spt="202" type="#_x0000_t202" style="position:absolute;left:1778000;top:5300345;height:287020;width:1072515;" fillcolor="#FFFFFF [3201]" filled="t" stroked="t" coordsize="21600,21600" o:gfxdata="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qrkLj1AAAAAYBAAAPAAAAAAAAAAEAIAAAACIAAABkcnMvZG93bnJldi54bWxQSwECFAAU&#10;AAAACACHTuJAa5oYPGcCAADFBAAADgAAAAAAAAABACAAAAAjAQAAZHJzL2Uyb0RvYy54bWxQSwUG&#10;AAAAAAYABgBZAQAA/AUAAAAA&#10;">
                        <v:fill on="t" focussize="0,0"/>
                        <v:stroke weight="0.5pt" color="#000000" joinstyle="round"/>
                        <v:imagedata o:title=""/>
                        <o:lock v:ext="edit" aspectratio="f"/>
                        <v:textbox>
                          <w:txbxContent>
                            <w:p w14:paraId="45BFCE6E">
                              <w:pPr>
                                <w:spacing w:line="240" w:lineRule="auto"/>
                                <w:ind w:firstLine="0" w:firstLineChars="0"/>
                                <w:jc w:val="center"/>
                                <w:rPr>
                                  <w:rFonts w:hint="eastAsia"/>
                                  <w:sz w:val="21"/>
                                  <w:szCs w:val="21"/>
                                  <w:lang w:eastAsia="zh-CN"/>
                                </w:rPr>
                              </w:pPr>
                              <w:r>
                                <w:rPr>
                                  <w:rFonts w:hint="eastAsia"/>
                                  <w:sz w:val="21"/>
                                  <w:szCs w:val="21"/>
                                  <w:lang w:eastAsia="zh-CN"/>
                                </w:rPr>
                                <w:t>绿化用水</w:t>
                              </w:r>
                            </w:p>
                          </w:txbxContent>
                        </v:textbox>
                      </v:shape>
                      <v:shape id="_x0000_s1026" o:spid="_x0000_s1026" o:spt="38" type="#_x0000_t38" style="position:absolute;left:2300924;top:5112256;flip:x y;height:174807;width:201866;rotation:5898240f;" filled="f" stroked="t" coordsize="21600,21600" o:gfxdata="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jSjGtYAAAAGAQAADwAAAAAAAAAB&#10;ACAAAAAiAAAAZHJzL2Rvd25yZXYueG1sUEsBAhQAFAAAAAgAh07iQDwKh59LAgAAYAQAAA4AAAAA&#10;AAAAAQAgAAAAJQEAAGRycy9lMm9Eb2MueG1sUEsFBgAAAAAGAAYAWQEAAOIFAAAAAA==&#10;" adj="10800">
                        <v:fill on="f" focussize="0,0"/>
                        <v:stroke weight="0.5pt" color="#000000 [3200]" miterlimit="8" joinstyle="miter" dashstyle="dash" endarrow="block"/>
                        <v:imagedata o:title=""/>
                        <o:lock v:ext="edit" aspectratio="f"/>
                      </v:shape>
                      <v:shape id="_x0000_s1026" o:spid="_x0000_s1026" o:spt="202" type="#_x0000_t202" style="position:absolute;left:2044700;top:4217670;height:287020;width:93408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IG6mfYAAAABgEAAA8AAAAAAAAA&#10;AQAgAAAAIgAAAGRycy9kb3ducmV2LnhtbFBLAQIUABQAAAAIAIdO4kCA2+P1SgIAAHMEAAAOAAAA&#10;AAAAAAEAIAAAACcBAABkcnMvZTJvRG9jLnhtbFBLBQYAAAAABgAGAFkBAADjBQAAAAA=&#10;">
                        <v:fill on="f" focussize="0,0"/>
                        <v:stroke on="f" weight="0.5pt"/>
                        <v:imagedata o:title=""/>
                        <o:lock v:ext="edit" aspectratio="f"/>
                        <v:textbox>
                          <w:txbxContent>
                            <w:p w14:paraId="60FA9F50">
                              <w:pPr>
                                <w:spacing w:line="240" w:lineRule="auto"/>
                                <w:ind w:firstLine="0" w:firstLineChars="0"/>
                                <w:jc w:val="center"/>
                                <w:rPr>
                                  <w:rFonts w:hint="default" w:eastAsia="宋体"/>
                                  <w:sz w:val="21"/>
                                  <w:szCs w:val="21"/>
                                  <w:lang w:val="en-US" w:eastAsia="zh-CN"/>
                                </w:rPr>
                              </w:pPr>
                              <w:r>
                                <w:rPr>
                                  <w:sz w:val="21"/>
                                  <w:szCs w:val="21"/>
                                </w:rPr>
                                <w:t>损耗</w:t>
                              </w:r>
                              <w:r>
                                <w:rPr>
                                  <w:rFonts w:hint="eastAsia"/>
                                  <w:sz w:val="21"/>
                                  <w:szCs w:val="21"/>
                                  <w:lang w:val="en-US" w:eastAsia="zh-CN"/>
                                </w:rPr>
                                <w:t>72</w:t>
                              </w:r>
                            </w:p>
                          </w:txbxContent>
                        </v:textbox>
                      </v:shape>
                      <v:shape id="_x0000_s1026" o:spid="_x0000_s1026" o:spt="202" type="#_x0000_t202" style="position:absolute;left:3615690;top:2030095;height:287020;width:1072515;" fillcolor="#FFFFFF [3201]" filled="t" stroked="t" coordsize="21600,21600" o:gfxdata="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qrkLj1AAAAAYBAAAPAAAAAAAAAAEAIAAAACIAAABkcnMvZG93bnJldi54bWxQSwECFAAU&#10;AAAACACHTuJAysb6u2cCAADFBAAADgAAAAAAAAABACAAAAAjAQAAZHJzL2Uyb0RvYy54bWxQSwUG&#10;AAAAAAYABgBZAQAA/AUAAAAA&#10;">
                        <v:fill on="t" focussize="0,0"/>
                        <v:stroke weight="0.5pt" color="#000000" joinstyle="round"/>
                        <v:imagedata o:title=""/>
                        <o:lock v:ext="edit" aspectratio="f"/>
                        <v:textbox>
                          <w:txbxContent>
                            <w:p w14:paraId="74E00E03">
                              <w:pPr>
                                <w:spacing w:line="240" w:lineRule="auto"/>
                                <w:ind w:firstLine="0" w:firstLineChars="0"/>
                                <w:jc w:val="center"/>
                                <w:rPr>
                                  <w:rFonts w:hint="eastAsia" w:eastAsia="宋体"/>
                                  <w:sz w:val="21"/>
                                  <w:szCs w:val="21"/>
                                  <w:lang w:eastAsia="zh-CN"/>
                                </w:rPr>
                              </w:pPr>
                              <w:r>
                                <w:rPr>
                                  <w:rFonts w:hint="eastAsia"/>
                                  <w:sz w:val="21"/>
                                  <w:szCs w:val="21"/>
                                  <w:lang w:eastAsia="zh-CN"/>
                                </w:rPr>
                                <w:t>地埋式暂存罐</w:t>
                              </w:r>
                            </w:p>
                          </w:txbxContent>
                        </v:textbox>
                      </v:shape>
                      <v:shape id="_x0000_s1026" o:spid="_x0000_s1026" o:spt="202" type="#_x0000_t202" style="position:absolute;left:4655185;top:1349375;height:287020;width:755650;" fillcolor="#FFFFFF [3201]" filled="t" stroked="t" coordsize="21600,21600" o:gfxdata="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quQuPUAAAABgEAAA8AAAAAAAAAAQAgAAAAIgAAAGRycy9kb3ducmV2LnhtbFBLAQIUABQA&#10;AAAIAIdO4kDMddd6ZgIAAMQEAAAOAAAAAAAAAAEAIAAAACMBAABkcnMvZTJvRG9jLnhtbFBLBQYA&#10;AAAABgAGAFkBAAD7BQAAAAA=&#10;">
                        <v:fill on="t" focussize="0,0"/>
                        <v:stroke weight="0.5pt" color="#000000" joinstyle="round"/>
                        <v:imagedata o:title=""/>
                        <o:lock v:ext="edit" aspectratio="f"/>
                        <v:textbox>
                          <w:txbxContent>
                            <w:p w14:paraId="64B0C844">
                              <w:pPr>
                                <w:spacing w:line="240" w:lineRule="auto"/>
                                <w:ind w:firstLine="0" w:firstLineChars="0"/>
                                <w:jc w:val="center"/>
                                <w:rPr>
                                  <w:rFonts w:hint="eastAsia" w:eastAsia="宋体"/>
                                  <w:sz w:val="21"/>
                                  <w:szCs w:val="21"/>
                                  <w:lang w:eastAsia="zh-CN"/>
                                </w:rPr>
                              </w:pPr>
                              <w:r>
                                <w:rPr>
                                  <w:rFonts w:hint="eastAsia"/>
                                  <w:sz w:val="21"/>
                                  <w:szCs w:val="21"/>
                                  <w:lang w:eastAsia="zh-CN"/>
                                </w:rPr>
                                <w:t>收集罐</w:t>
                              </w:r>
                            </w:p>
                          </w:txbxContent>
                        </v:textbox>
                      </v:shape>
                      <v:shape id="_x0000_s1026" o:spid="_x0000_s1026" o:spt="202" type="#_x0000_t202" style="position:absolute;left:4451985;top:6864985;height:307340;width:989965;" fillcolor="#FFFFFF [3201]" filled="t" stroked="t" coordsize="21600,21600" o:gfxdata="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quQuPUAAAABgEAAA8AAAAAAAAAAQAgAAAAIgAAAGRycy9kb3ducmV2LnhtbFBLAQIUABQA&#10;AAAIAIdO4kCV7PYNZgIAAMQEAAAOAAAAAAAAAAEAIAAAACMBAABkcnMvZTJvRG9jLnhtbFBLBQYA&#10;AAAABgAGAFkBAAD7BQAAAAA=&#10;">
                        <v:fill on="t" focussize="0,0"/>
                        <v:stroke weight="0.5pt" color="#000000" joinstyle="round"/>
                        <v:imagedata o:title=""/>
                        <o:lock v:ext="edit" aspectratio="f"/>
                        <v:textbox>
                          <w:txbxContent>
                            <w:p w14:paraId="2D08FB46">
                              <w:pPr>
                                <w:spacing w:line="240" w:lineRule="auto"/>
                                <w:ind w:firstLine="0" w:firstLineChars="0"/>
                                <w:jc w:val="center"/>
                                <w:rPr>
                                  <w:rFonts w:hint="eastAsia" w:eastAsia="宋体"/>
                                  <w:sz w:val="21"/>
                                  <w:szCs w:val="21"/>
                                  <w:lang w:eastAsia="zh-CN"/>
                                </w:rPr>
                              </w:pPr>
                              <w:r>
                                <w:rPr>
                                  <w:rFonts w:hint="eastAsia"/>
                                  <w:sz w:val="21"/>
                                  <w:szCs w:val="21"/>
                                  <w:lang w:eastAsia="zh-CN"/>
                                </w:rPr>
                                <w:t>黑膜厌氧池</w:t>
                              </w:r>
                            </w:p>
                          </w:txbxContent>
                        </v:textbox>
                      </v:shape>
                      <v:shape id="_x0000_s1026" o:spid="_x0000_s1026" o:spt="202" type="#_x0000_t202" style="position:absolute;left:1034415;top:505460;height:287020;width:55181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gbqZ9gAAAAGAQAADwAAAAAAAAABACAA&#10;AAAiAAAAZHJzL2Rvd25yZXYueG1sUEsBAhQAFAAAAAgAh07iQG8FWtlGAgAAdAQAAA4AAAAAAAAA&#10;AQAgAAAAJwEAAGRycy9lMm9Eb2MueG1sUEsFBgAAAAAGAAYAWQEAAN8FAAAAAA==&#10;">
                        <v:fill on="f" focussize="0,0"/>
                        <v:stroke on="f" weight="0.5pt"/>
                        <v:imagedata o:title=""/>
                        <o:lock v:ext="edit" aspectratio="f"/>
                        <v:textbox>
                          <w:txbxContent>
                            <w:p w14:paraId="556D65FD">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384</w:t>
                              </w:r>
                            </w:p>
                          </w:txbxContent>
                        </v:textbox>
                      </v:shape>
                      <v:shape id="_x0000_s1026" o:spid="_x0000_s1026" o:spt="202" type="#_x0000_t202" style="position:absolute;left:3245485;top:529590;height:287020;width:55181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IG6mfYAAAABgEAAA8AAAAAAAAAAQAg&#10;AAAAIgAAAGRycy9kb3ducmV2LnhtbFBLAQIUABQAAAAIAIdO4kD6Fk5RRwIAAHQEAAAOAAAAAAAA&#10;AAEAIAAAACcBAABkcnMvZTJvRG9jLnhtbFBLBQYAAAAABgAGAFkBAADgBQAAAAA=&#10;">
                        <v:fill on="f" focussize="0,0"/>
                        <v:stroke on="f" weight="0.5pt"/>
                        <v:imagedata o:title=""/>
                        <o:lock v:ext="edit" aspectratio="f"/>
                        <v:textbox>
                          <w:txbxContent>
                            <w:p w14:paraId="364CA392">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326.4</w:t>
                              </w:r>
                            </w:p>
                          </w:txbxContent>
                        </v:textbox>
                      </v:shape>
                      <v:shape id="_x0000_s1026" o:spid="_x0000_s1026" o:spt="202" type="#_x0000_t202" style="position:absolute;left:584200;top:1249045;height:287020;width:55181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iBupn2AAAAAYBAAAPAAAAAAAAAAEA&#10;IAAAACIAAABkcnMvZG93bnJldi54bWxQSwECFAAUAAAACACHTuJACMwhNkgCAAB0BAAADgAAAAAA&#10;AAABACAAAAAnAQAAZHJzL2Uyb0RvYy54bWxQSwUGAAAAAAYABgBZAQAA4QUAAAAA&#10;">
                        <v:fill on="f" focussize="0,0"/>
                        <v:stroke on="f" weight="0.5pt"/>
                        <v:imagedata o:title=""/>
                        <o:lock v:ext="edit" aspectratio="f"/>
                        <v:textbox>
                          <w:txbxContent>
                            <w:p w14:paraId="7083C693">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600</w:t>
                              </w:r>
                            </w:p>
                          </w:txbxContent>
                        </v:textbox>
                      </v:shape>
                      <v:shape id="_x0000_s1026" o:spid="_x0000_s1026" o:spt="202" type="#_x0000_t202" style="position:absolute;left:1294130;top:1931035;height:287020;width:75120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IG6mfYAAAABgEAAA8AAAAAAAAA&#10;AQAgAAAAIgAAAGRycy9kb3ducmV2LnhtbFBLAQIUABQAAAAIAIdO4kB3QrhISgIAAHUEAAAOAAAA&#10;AAAAAAEAIAAAACcBAABkcnMvZTJvRG9jLnhtbFBLBQYAAAAABgAGAFkBAADjBQAAAAA=&#10;">
                        <v:fill on="f" focussize="0,0"/>
                        <v:stroke on="f" weight="0.5pt"/>
                        <v:imagedata o:title=""/>
                        <o:lock v:ext="edit" aspectratio="f"/>
                        <v:textbox>
                          <w:txbxContent>
                            <w:p w14:paraId="013093A7">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6048.052</w:t>
                              </w:r>
                            </w:p>
                          </w:txbxContent>
                        </v:textbox>
                      </v:shape>
                      <v:shape id="_x0000_s1026" o:spid="_x0000_s1026" o:spt="202" type="#_x0000_t202" style="position:absolute;left:3179445;top:1287780;height:287020;width:55181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IG6mfYAAAABgEAAA8AAAAAAAAAAQAg&#10;AAAAIgAAAGRycy9kb3ducmV2LnhtbFBLAQIUABQAAAAIAIdO4kDnUiCURwIAAHUEAAAOAAAAAAAA&#10;AAEAIAAAACcBAABkcnMvZTJvRG9jLnhtbFBLBQYAAAAABgAGAFkBAADgBQAAAAA=&#10;">
                        <v:fill on="f" focussize="0,0"/>
                        <v:stroke on="f" weight="0.5pt"/>
                        <v:imagedata o:title=""/>
                        <o:lock v:ext="edit" aspectratio="f"/>
                        <v:textbox>
                          <w:txbxContent>
                            <w:p w14:paraId="740A73E5">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510</w:t>
                              </w:r>
                            </w:p>
                          </w:txbxContent>
                        </v:textbox>
                      </v:shape>
                      <v:shape id="_x0000_s1026" o:spid="_x0000_s1026" o:spt="202" type="#_x0000_t202" style="position:absolute;left:1799590;top:5946140;height:287020;width:1072515;" fillcolor="#FFFFFF [3201]" filled="t" stroked="t" coordsize="21600,21600" o:gfxdata="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6q5C49QAAAAGAQAADwAAAAAAAAABACAAAAAiAAAAZHJzL2Rvd25yZXYueG1sUEsBAhQAFAAA&#10;AAgAh07iQIb71vllAgAAwwQAAA4AAAAAAAAAAQAgAAAAIwEAAGRycy9lMm9Eb2MueG1sUEsFBgAA&#10;AAAGAAYAWQEAAPoFAAAAAA==&#10;">
                        <v:fill on="t" focussize="0,0"/>
                        <v:stroke weight="0.5pt" color="#000000" joinstyle="round"/>
                        <v:imagedata o:title=""/>
                        <o:lock v:ext="edit" aspectratio="f"/>
                        <v:textbox>
                          <w:txbxContent>
                            <w:p w14:paraId="2001B336">
                              <w:pPr>
                                <w:spacing w:line="240" w:lineRule="auto"/>
                                <w:ind w:firstLine="0" w:firstLineChars="0"/>
                                <w:jc w:val="center"/>
                                <w:rPr>
                                  <w:rFonts w:hint="eastAsia"/>
                                  <w:sz w:val="21"/>
                                  <w:szCs w:val="21"/>
                                  <w:lang w:eastAsia="zh-CN"/>
                                </w:rPr>
                              </w:pPr>
                              <w:r>
                                <w:rPr>
                                  <w:rFonts w:hint="eastAsia"/>
                                  <w:sz w:val="21"/>
                                  <w:szCs w:val="21"/>
                                  <w:lang w:eastAsia="zh-CN"/>
                                </w:rPr>
                                <w:t>冷却循环用水</w:t>
                              </w:r>
                            </w:p>
                          </w:txbxContent>
                        </v:textbox>
                      </v:shape>
                      <v:shape id="_x0000_s1026" o:spid="_x0000_s1026" o:spt="202" type="#_x0000_t202" style="position:absolute;left:1807210;top:6624320;height:287020;width:1072515;" fillcolor="#FFFFFF [3201]" filled="t" stroked="t" coordsize="21600,21600" o:gfxdata="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quQuPUAAAABgEAAA8AAAAAAAAAAQAgAAAAIgAAAGRycy9kb3ducmV2LnhtbFBLAQIUABQAAAAI&#10;AIdO4kDQ/3r5YwIAAMMEAAAOAAAAAAAAAAEAIAAAACMBAABkcnMvZTJvRG9jLnhtbFBLBQYAAAAA&#10;BgAGAFkBAAD4BQAAAAA=&#10;">
                        <v:fill on="t" focussize="0,0"/>
                        <v:stroke weight="0.5pt" color="#000000" joinstyle="round"/>
                        <v:imagedata o:title=""/>
                        <o:lock v:ext="edit" aspectratio="f"/>
                        <v:textbox>
                          <w:txbxContent>
                            <w:p w14:paraId="6B993064">
                              <w:pPr>
                                <w:spacing w:line="240" w:lineRule="auto"/>
                                <w:ind w:firstLine="0" w:firstLineChars="0"/>
                                <w:jc w:val="center"/>
                                <w:rPr>
                                  <w:sz w:val="21"/>
                                  <w:szCs w:val="21"/>
                                </w:rPr>
                              </w:pPr>
                              <w:r>
                                <w:rPr>
                                  <w:rFonts w:hint="eastAsia"/>
                                  <w:sz w:val="21"/>
                                  <w:szCs w:val="21"/>
                                  <w:lang w:eastAsia="zh-CN"/>
                                </w:rPr>
                                <w:t>道路喷洒</w:t>
                              </w:r>
                              <w:r>
                                <w:rPr>
                                  <w:rFonts w:hint="eastAsia"/>
                                  <w:sz w:val="21"/>
                                  <w:szCs w:val="21"/>
                                </w:rPr>
                                <w:t>用水</w:t>
                              </w:r>
                            </w:p>
                            <w:p w14:paraId="6E032C0D"/>
                          </w:txbxContent>
                        </v:textbox>
                      </v:shape>
                      <v:shape id="_x0000_s1026" o:spid="_x0000_s1026" o:spt="202" type="#_x0000_t202" style="position:absolute;left:1798320;top:7334885;height:287020;width:1072515;" fillcolor="#FFFFFF [3201]" filled="t" stroked="t" coordsize="21600,21600" o:gfxdata="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quQuPUAAAABgEAAA8AAAAAAAAAAQAgAAAAIgAAAGRycy9kb3ducmV2LnhtbFBLAQIUABQAAAAI&#10;AIdO4kCt8A+hYwIAAMMEAAAOAAAAAAAAAAEAIAAAACMBAABkcnMvZTJvRG9jLnhtbFBLBQYAAAAA&#10;BgAGAFkBAAD4BQAAAAA=&#10;">
                        <v:fill on="t" focussize="0,0"/>
                        <v:stroke weight="0.5pt" color="#000000" joinstyle="round"/>
                        <v:imagedata o:title=""/>
                        <o:lock v:ext="edit" aspectratio="f"/>
                        <v:textbox>
                          <w:txbxContent>
                            <w:p w14:paraId="0EB27516">
                              <w:pPr>
                                <w:spacing w:line="240" w:lineRule="auto"/>
                                <w:ind w:firstLine="0" w:firstLineChars="0"/>
                                <w:jc w:val="center"/>
                                <w:rPr>
                                  <w:sz w:val="21"/>
                                  <w:szCs w:val="21"/>
                                </w:rPr>
                              </w:pPr>
                              <w:r>
                                <w:rPr>
                                  <w:rFonts w:hint="eastAsia"/>
                                  <w:sz w:val="21"/>
                                  <w:szCs w:val="21"/>
                                  <w:lang w:eastAsia="zh-CN"/>
                                </w:rPr>
                                <w:t>蒸汽冷凝</w:t>
                              </w:r>
                              <w:r>
                                <w:rPr>
                                  <w:rFonts w:hint="eastAsia"/>
                                  <w:sz w:val="21"/>
                                  <w:szCs w:val="21"/>
                                </w:rPr>
                                <w:t>水</w:t>
                              </w:r>
                            </w:p>
                            <w:p w14:paraId="588F4B21"/>
                          </w:txbxContent>
                        </v:textbox>
                      </v:shape>
                      <v:shape id="_x0000_s1026" o:spid="_x0000_s1026" o:spt="202" type="#_x0000_t202" style="position:absolute;left:1790700;top:7938770;height:287020;width:1072515;" fillcolor="#FFFFFF [3201]" filled="t" stroked="t" coordsize="21600,21600" o:gfxdata="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qrkLj1AAAAAYBAAAPAAAAAAAAAAEAIAAAACIAAABkcnMvZG93bnJldi54bWxQSwECFAAUAAAA&#10;CACHTuJAh0frJmQCAADDBAAADgAAAAAAAAABACAAAAAjAQAAZHJzL2Uyb0RvYy54bWxQSwUGAAAA&#10;AAYABgBZAQAA+QUAAAAA&#10;">
                        <v:fill on="t" focussize="0,0"/>
                        <v:stroke weight="0.5pt" color="#000000" joinstyle="round"/>
                        <v:imagedata o:title=""/>
                        <o:lock v:ext="edit" aspectratio="f"/>
                        <v:textbox>
                          <w:txbxContent>
                            <w:p w14:paraId="3DC30800">
                              <w:pPr>
                                <w:spacing w:line="240" w:lineRule="auto"/>
                                <w:ind w:firstLine="0" w:firstLineChars="0"/>
                                <w:jc w:val="center"/>
                                <w:rPr>
                                  <w:rFonts w:hint="eastAsia" w:eastAsia="宋体"/>
                                  <w:sz w:val="21"/>
                                  <w:szCs w:val="21"/>
                                  <w:lang w:eastAsia="zh-CN"/>
                                </w:rPr>
                              </w:pPr>
                              <w:r>
                                <w:rPr>
                                  <w:rFonts w:hint="eastAsia"/>
                                  <w:sz w:val="21"/>
                                  <w:szCs w:val="21"/>
                                  <w:lang w:eastAsia="zh-CN"/>
                                </w:rPr>
                                <w:t>软</w:t>
                              </w:r>
                              <w:r>
                                <w:rPr>
                                  <w:rFonts w:hint="eastAsia"/>
                                  <w:sz w:val="21"/>
                                  <w:szCs w:val="21"/>
                                </w:rPr>
                                <w:t>水</w:t>
                              </w:r>
                              <w:r>
                                <w:rPr>
                                  <w:rFonts w:hint="eastAsia"/>
                                  <w:sz w:val="21"/>
                                  <w:szCs w:val="21"/>
                                  <w:lang w:eastAsia="zh-CN"/>
                                </w:rPr>
                                <w:t>制备</w:t>
                              </w:r>
                            </w:p>
                            <w:p w14:paraId="2E53D482"/>
                          </w:txbxContent>
                        </v:textbox>
                      </v:shape>
                      <v:line id="_x0000_s1026" o:spid="_x0000_s1026" o:spt="20" style="position:absolute;left:384175;top:379095;flip:x;height:7696200;width:1270;" filled="f" stroked="t" coordsize="21600,21600" o:gfxdata="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IbAZdQAAAAGAQAADwAAAAAAAAABACAAAAAiAAAAZHJzL2Rv&#10;d25yZXYueG1sUEsBAhQAFAAAAAgAh07iQC4GrkMFAgAA8QMAAA4AAAAAAAAAAQAgAAAAIwEAAGRy&#10;cy9lMm9Eb2MueG1sUEsFBgAAAAAGAAYAWQEAAJoFAAAAAA==&#10;">
                        <v:fill on="f" focussize="0,0"/>
                        <v:stroke weight="1pt" color="#000000 [3213]" miterlimit="8" joinstyle="miter"/>
                        <v:imagedata o:title=""/>
                        <o:lock v:ext="edit" aspectratio="f"/>
                      </v:line>
                      <v:shape id="_x0000_s1026" o:spid="_x0000_s1026" o:spt="38" type="#_x0000_t38" style="position:absolute;left:2306955;top:487045;flip:x y;height:174625;width:201295;rotation:5898240f;" filled="f" stroked="t" coordsize="21600,21600" o:gfxdata="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jSjGtYAAAAGAQAADwAAAAAAAAABACAAAAAiAAAAZHJzL2Rv&#10;d25yZXYueG1sUEsBAhQAFAAAAAgAh07iQHLyi+I8AgAAOAQAAA4AAAAAAAAAAQAgAAAAJQEAAGRy&#10;cy9lMm9Eb2MueG1sUEsFBgAAAAAGAAYAWQEAANMFAAAAAA==&#10;" adj="10800">
                        <v:fill on="f" focussize="0,0"/>
                        <v:stroke weight="0.5pt" color="#000000 [3200]" miterlimit="8" joinstyle="miter" dashstyle="dash" endarrow="block"/>
                        <v:imagedata o:title=""/>
                        <o:lock v:ext="edit" aspectratio="f"/>
                      </v:shape>
                      <v:shape id="_x0000_s1026" o:spid="_x0000_s1026" o:spt="202" type="#_x0000_t202" style="position:absolute;left:2157730;top:5524500;height:287655;width:93408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gbqZ9gAAAAGAQAADwAAAAAAAAAB&#10;ACAAAAAiAAAAZHJzL2Rvd25yZXYueG1sUEsBAhQAFAAAAAgAh07iQBIBbslJAgAAcwQAAA4AAAAA&#10;AAAAAQAgAAAAJwEAAGRycy9lMm9Eb2MueG1sUEsFBgAAAAAGAAYAWQEAAOIFAAAAAA==&#10;">
                        <v:fill on="f" focussize="0,0"/>
                        <v:stroke on="f" weight="0.5pt"/>
                        <v:imagedata o:title=""/>
                        <o:lock v:ext="edit" aspectratio="f"/>
                        <v:textbox>
                          <w:txbxContent>
                            <w:p w14:paraId="235B4378">
                              <w:pPr>
                                <w:spacing w:line="240" w:lineRule="auto"/>
                                <w:ind w:firstLine="0" w:firstLineChars="0"/>
                                <w:jc w:val="center"/>
                                <w:rPr>
                                  <w:sz w:val="21"/>
                                  <w:szCs w:val="21"/>
                                </w:rPr>
                              </w:pPr>
                              <w:r>
                                <w:rPr>
                                  <w:sz w:val="21"/>
                                  <w:szCs w:val="21"/>
                                </w:rPr>
                                <w:t>损耗</w:t>
                              </w:r>
                              <w:r>
                                <w:rPr>
                                  <w:rFonts w:hint="eastAsia"/>
                                  <w:sz w:val="21"/>
                                  <w:szCs w:val="21"/>
                                </w:rPr>
                                <w:t>1</w:t>
                              </w:r>
                              <w:r>
                                <w:rPr>
                                  <w:rFonts w:hint="eastAsia"/>
                                  <w:sz w:val="21"/>
                                  <w:szCs w:val="21"/>
                                  <w:lang w:val="en-US" w:eastAsia="zh-CN"/>
                                </w:rPr>
                                <w:t>2</w:t>
                              </w:r>
                              <w:r>
                                <w:rPr>
                                  <w:rFonts w:hint="eastAsia"/>
                                  <w:sz w:val="21"/>
                                  <w:szCs w:val="21"/>
                                </w:rPr>
                                <w:t>00</w:t>
                              </w:r>
                            </w:p>
                          </w:txbxContent>
                        </v:textbox>
                      </v:shape>
                      <v:shape id="_x0000_s1026" o:spid="_x0000_s1026" o:spt="38" type="#_x0000_t38" style="position:absolute;left:2476500;top:5767705;flip:x y;height:174625;width:201295;rotation:5898240f;" filled="f" stroked="t" coordsize="21600,21600" o:gfxdata="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I0oxrWAAAABgEAAA8AAAAAAAAAAQAgAAAAIgAAAGRycy9kb3du&#10;cmV2LnhtbFBLAQIUABQAAAAIAIdO4kCvi+saOgIAADkEAAAOAAAAAAAAAAEAIAAAACUBAABkcnMv&#10;ZTJvRG9jLnhtbFBLBQYAAAAABgAGAFkBAADRBQAAAAA=&#10;" adj="10800">
                        <v:fill on="f" focussize="0,0"/>
                        <v:stroke weight="0.5pt" color="#000000 [3200]" miterlimit="8" joinstyle="miter" dashstyle="dash" endarrow="block"/>
                        <v:imagedata o:title=""/>
                        <o:lock v:ext="edit" aspectratio="f"/>
                      </v:shape>
                      <v:shape id="_x0000_s1026" o:spid="_x0000_s1026" o:spt="38" type="#_x0000_t38" style="position:absolute;left:2890520;top:6611620;flip:y;height:208915;width:239395;" filled="f" stroked="t" coordsize="21600,21600" o:gfxdata="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o31BLUAAAABgEAAA8AAAAAAAAAAQAgAAAAIgAAAGRycy9kb3ducmV2LnhtbFBLAQIU&#10;ABQAAAAIAIdO4kDHfIgFMAIAACEEAAAOAAAAAAAAAAEAIAAAACMBAABkcnMvZTJvRG9jLnhtbFBL&#10;BQYAAAAABgAGAFkBAADFBQAAAAA=&#10;" adj="10829">
                        <v:fill on="f" focussize="0,0"/>
                        <v:stroke weight="0.5pt" color="#000000 [3200]" miterlimit="8" joinstyle="miter" dashstyle="dash" endarrow="block"/>
                        <v:imagedata o:title=""/>
                        <o:lock v:ext="edit" aspectratio="f"/>
                      </v:shape>
                      <v:shape id="_x0000_s1026" o:spid="_x0000_s1026" o:spt="38" type="#_x0000_t38" style="position:absolute;left:2455545;top:7132955;flip:x y;height:174625;width:201295;rotation:5898240f;" filled="f" stroked="t" coordsize="21600,21600" o:gfxdata="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I0oxrWAAAABgEAAA8AAAAAAAAAAQAgAAAAIgAAAGRycy9k&#10;b3ducmV2LnhtbFBLAQIUABQAAAAIAIdO4kCQC6/QPQIAADkEAAAOAAAAAAAAAAEAIAAAACUBAABk&#10;cnMvZTJvRG9jLnhtbFBLBQYAAAAABgAGAFkBAADUBQAAAAA=&#10;" adj="10800">
                        <v:fill on="f" focussize="0,0"/>
                        <v:stroke weight="0.5pt" color="#000000 [3200]" miterlimit="8" joinstyle="miter" dashstyle="dash" endarrow="block"/>
                        <v:imagedata o:title=""/>
                        <o:lock v:ext="edit" aspectratio="f"/>
                      </v:shape>
                      <v:shape id="_x0000_s1026" o:spid="_x0000_s1026" o:spt="202" type="#_x0000_t202" style="position:absolute;left:3004820;top:6456045;height:287655;width:93408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gbqZ9gAAAAGAQAADwAAAAAAAAAB&#10;ACAAAAAiAAAAZHJzL2Rvd25yZXYueG1sUEsBAhQAFAAAAAgAh07iQEieg0BJAgAAcwQAAA4AAAAA&#10;AAAAAQAgAAAAJwEAAGRycy9lMm9Eb2MueG1sUEsFBgAAAAAGAAYAWQEAAOIFAAAAAA==&#10;">
                        <v:fill on="f" focussize="0,0"/>
                        <v:stroke on="f" weight="0.5pt"/>
                        <v:imagedata o:title=""/>
                        <o:lock v:ext="edit" aspectratio="f"/>
                        <v:textbox>
                          <w:txbxContent>
                            <w:p w14:paraId="34CAB78A">
                              <w:pPr>
                                <w:spacing w:line="240" w:lineRule="auto"/>
                                <w:ind w:firstLine="0" w:firstLineChars="0"/>
                                <w:jc w:val="center"/>
                                <w:rPr>
                                  <w:rFonts w:hint="default" w:eastAsia="宋体"/>
                                  <w:sz w:val="21"/>
                                  <w:szCs w:val="21"/>
                                  <w:lang w:val="en-US" w:eastAsia="zh-CN"/>
                                </w:rPr>
                              </w:pPr>
                              <w:r>
                                <w:rPr>
                                  <w:sz w:val="21"/>
                                  <w:szCs w:val="21"/>
                                </w:rPr>
                                <w:t>损耗</w:t>
                              </w:r>
                              <w:r>
                                <w:rPr>
                                  <w:rFonts w:hint="eastAsia"/>
                                  <w:sz w:val="21"/>
                                  <w:szCs w:val="21"/>
                                  <w:lang w:val="en-US" w:eastAsia="zh-CN"/>
                                </w:rPr>
                                <w:t>348</w:t>
                              </w:r>
                            </w:p>
                          </w:txbxContent>
                        </v:textbox>
                      </v:shape>
                      <v:shape id="_x0000_s1026" o:spid="_x0000_s1026" o:spt="202" type="#_x0000_t202" style="position:absolute;left:2159000;top:6889115;height:287655;width:93408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IG6mfYAAAABgEAAA8AAAAAAAAA&#10;AQAgAAAAIgAAAGRycy9kb3ducmV2LnhtbFBLAQIUABQAAAAIAIdO4kBWuX9uSgIAAHMEAAAOAAAA&#10;AAAAAAEAIAAAACcBAABkcnMvZTJvRG9jLnhtbFBLBQYAAAAABgAGAFkBAADjBQAAAAA=&#10;">
                        <v:fill on="f" focussize="0,0"/>
                        <v:stroke on="f" weight="0.5pt"/>
                        <v:imagedata o:title=""/>
                        <o:lock v:ext="edit" aspectratio="f"/>
                        <v:textbox>
                          <w:txbxContent>
                            <w:p w14:paraId="26750F92">
                              <w:pPr>
                                <w:spacing w:line="240" w:lineRule="auto"/>
                                <w:ind w:firstLine="0" w:firstLineChars="0"/>
                                <w:jc w:val="center"/>
                                <w:rPr>
                                  <w:rFonts w:hint="default" w:eastAsia="宋体"/>
                                  <w:sz w:val="21"/>
                                  <w:szCs w:val="21"/>
                                  <w:lang w:val="en-US" w:eastAsia="zh-CN"/>
                                </w:rPr>
                              </w:pPr>
                              <w:r>
                                <w:rPr>
                                  <w:sz w:val="21"/>
                                  <w:szCs w:val="21"/>
                                </w:rPr>
                                <w:t>损耗</w:t>
                              </w:r>
                              <w:r>
                                <w:rPr>
                                  <w:rFonts w:hint="eastAsia"/>
                                  <w:sz w:val="21"/>
                                  <w:szCs w:val="21"/>
                                  <w:lang w:val="en-US" w:eastAsia="zh-CN"/>
                                </w:rPr>
                                <w:t>480</w:t>
                              </w:r>
                            </w:p>
                          </w:txbxContent>
                        </v:textbox>
                      </v:shape>
                      <v:shape id="_x0000_s1026" o:spid="_x0000_s1026" o:spt="202" type="#_x0000_t202" style="position:absolute;left:464820;top:1894840;height:509270;width:934085;" filled="f" stroked="t" coordsize="21600,21600" o:gfxdata="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T&#10;XdcAAAAGAQAADwAAAAAAAAABACAAAAAiAAAAZHJzL2Rvd25yZXYueG1sUEsBAhQAFAAAAAgAh07i&#10;QJrShWNcAgAAmwQAAA4AAAAAAAAAAQAgAAAAJgEAAGRycy9lMm9Eb2MueG1sUEsFBgAAAAAGAAYA&#10;WQEAAPQFAAAAAA==&#10;">
                        <v:fill on="f" focussize="0,0"/>
                        <v:stroke weight="0.5pt" color="#000000 [3213]" joinstyle="round"/>
                        <v:imagedata o:title=""/>
                        <o:lock v:ext="edit" aspectratio="f"/>
                        <v:textbox>
                          <w:txbxContent>
                            <w:p w14:paraId="34B4B8F9">
                              <w:pPr>
                                <w:spacing w:line="240" w:lineRule="auto"/>
                                <w:ind w:firstLine="0" w:firstLineChars="0"/>
                                <w:jc w:val="center"/>
                                <w:rPr>
                                  <w:rFonts w:hint="eastAsia" w:eastAsia="宋体"/>
                                  <w:sz w:val="21"/>
                                  <w:szCs w:val="21"/>
                                  <w:lang w:eastAsia="zh-CN"/>
                                </w:rPr>
                              </w:pPr>
                              <w:r>
                                <w:rPr>
                                  <w:rFonts w:hint="eastAsia"/>
                                  <w:sz w:val="21"/>
                                  <w:szCs w:val="21"/>
                                  <w:lang w:eastAsia="zh-CN"/>
                                </w:rPr>
                                <w:t>物料自身携带油水</w:t>
                              </w:r>
                            </w:p>
                          </w:txbxContent>
                        </v:textbox>
                      </v:shape>
                      <v:shape id="_x0000_s1026" o:spid="_x0000_s1026" o:spt="32" type="#_x0000_t32" style="position:absolute;left:405130;top:779780;flip:y;height:635;width:1386840;" filled="f" stroked="t" coordsize="21600,21600" o:gfxdata="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eP18vUAAAABgEAAA8A&#10;AAAAAAAAAQAgAAAAIgAAAGRycy9kb3ducmV2LnhtbFBLAQIUABQAAAAIAIdO4kApN53GGwIAAPoD&#10;AAAOAAAAAAAAAAEAIAAAACMBAABkcnMvZTJvRG9jLnhtbFBLBQYAAAAABgAGAFkBAACwBQAAAAA=&#10;">
                        <v:fill on="f" focussize="0,0"/>
                        <v:stroke weight="1pt" color="#000000 [3213]" miterlimit="8" joinstyle="miter" endarrow="block"/>
                        <v:imagedata o:title=""/>
                        <o:lock v:ext="edit" aspectratio="f"/>
                      </v:shape>
                      <v:shape id="_x0000_s1026" o:spid="_x0000_s1026" o:spt="33" type="#_x0000_t33" style="position:absolute;left:2848610;top:813435;height:535940;width:2184400;" filled="f" stroked="t" coordsize="21600,21600" o:gfxdata="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qvdANQAAAAGAQAADwAAAAAAAAABACAAAAAiAAAAZHJzL2Rvd25yZXYueG1sUEsBAhQAFAAA&#10;AAgAh07iQM48FT4sAgAALAQAAA4AAAAAAAAAAQAgAAAAIwEAAGRycy9lMm9Eb2MueG1sUEsFBgAA&#10;AAAGAAYAWQEAAMEFAAAAAA==&#10;">
                        <v:fill on="f" focussize="0,0"/>
                        <v:stroke weight="1pt" color="#000000 [3213]" miterlimit="8" joinstyle="miter" endarrow="block"/>
                        <v:imagedata o:title=""/>
                        <o:lock v:ext="edit" aspectratio="f"/>
                      </v:shape>
                      <v:shape id="_x0000_s1026" o:spid="_x0000_s1026" o:spt="32" type="#_x0000_t32" style="position:absolute;left:391795;top:1503045;flip:y;height:635;width:999490;" filled="f" stroked="t" coordsize="21600,21600" o:gfxdata="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3j9fL1AAAAAYBAAAP&#10;AAAAAAAAAAEAIAAAACIAAABkcnMvZG93bnJldi54bWxQSwECFAAUAAAACACHTuJA/8eOGhwCAAD6&#10;AwAADgAAAAAAAAABACAAAAAjAQAAZHJzL2Uyb0RvYy54bWxQSwUGAAAAAAYABgBZAQAAsQUAAAAA&#10;">
                        <v:fill on="f" focussize="0,0"/>
                        <v:stroke weight="1pt" color="#000000 [3213]" miterlimit="8" joinstyle="miter" endarrow="block"/>
                        <v:imagedata o:title=""/>
                        <o:lock v:ext="edit" aspectratio="f"/>
                      </v:shape>
                      <v:line id="_x0000_s1026" o:spid="_x0000_s1026" o:spt="20" style="position:absolute;left:2445385;top:2317115;height:761365;width:2540;" filled="f" stroked="t" coordsize="21600,21600" o:gfxdata="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bhhQq1wAAAAYBAAAPAAAAAAAAAAEAIAAAACIAAABkcnMvZG93&#10;bnJldi54bWxQSwECFAAUAAAACACHTuJAqVd0gAECAADpAwAADgAAAAAAAAABACAAAAAmAQAAZHJz&#10;L2Uyb0RvYy54bWxQSwUGAAAAAAYABgBZAQAAmQUAAAAA&#10;">
                        <v:fill on="f" focussize="0,0"/>
                        <v:stroke weight="1pt" color="#000000 [3213]" miterlimit="8" joinstyle="miter"/>
                        <v:imagedata o:title=""/>
                        <o:lock v:ext="edit" aspectratio="f"/>
                      </v:line>
                      <v:shape id="_x0000_s1026" o:spid="_x0000_s1026" o:spt="32" type="#_x0000_t32" style="position:absolute;left:2454910;top:2708910;height:0;width:603250;" filled="f" stroked="t" coordsize="21600,21600" o:gfxdata="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FAXcbVAAAABgEAAA8AAAAAAAAAAQAg&#10;AAAAIgAAAGRycy9kb3ducmV2LnhtbFBLAQIUABQAAAAIAIdO4kDUH3zFEQIAAO8DAAAOAAAAAAAA&#10;AAEAIAAAACQBAABkcnMvZTJvRG9jLnhtbFBLBQYAAAAABgAGAFkBAACnBQAAAAA=&#10;">
                        <v:fill on="f" focussize="0,0"/>
                        <v:stroke weight="1pt" color="#000000 [3213]" miterlimit="8" joinstyle="miter" endarrow="block"/>
                        <v:imagedata o:title=""/>
                        <o:lock v:ext="edit" aspectratio="f"/>
                      </v:shape>
                      <v:shape id="_x0000_s1026" o:spid="_x0000_s1026" o:spt="32" type="#_x0000_t32" style="position:absolute;left:2454910;top:3068955;height:0;width:603250;" filled="f" stroked="t" coordsize="21600,21600" o:gfxdata="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UBdxtUAAAAGAQAADwAAAAAA&#10;AAABACAAAAAiAAAAZHJzL2Rvd25yZXYueG1sUEsBAhQAFAAAAAgAh07iQGTYQRwWAgAA7wMAAA4A&#10;AAAAAAAAAQAgAAAAJAEAAGRycy9lMm9Eb2MueG1sUEsFBgAAAAAGAAYAWQEAAKwFAAAAAA==&#10;">
                        <v:fill on="f" focussize="0,0"/>
                        <v:stroke weight="1pt" color="#000000 [3213]" miterlimit="8" joinstyle="miter" endarrow="block"/>
                        <v:imagedata o:title=""/>
                        <o:lock v:ext="edit" aspectratio="f"/>
                      </v:shape>
                      <v:shape id="_x0000_s1026" o:spid="_x0000_s1026" o:spt="202" type="#_x0000_t202" style="position:absolute;left:3079115;top:2550795;height:287020;width:55181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IG6mfYAAAABgEAAA8AAAAAAAAAAQAg&#10;AAAAIgAAAGRycy9kb3ducmV2LnhtbFBLAQIUABQAAAAIAIdO4kCDO8+bRwIAAHMEAAAOAAAAAAAA&#10;AAEAIAAAACcBAABkcnMvZTJvRG9jLnhtbFBLBQYAAAAABgAGAFkBAADgBQAAAAA=&#10;">
                        <v:fill on="f" focussize="0,0"/>
                        <v:stroke on="f" weight="0.5pt"/>
                        <v:imagedata o:title=""/>
                        <o:lock v:ext="edit" aspectratio="f"/>
                        <v:textbox>
                          <w:txbxContent>
                            <w:p w14:paraId="19A0F60F">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产品</w:t>
                              </w:r>
                            </w:p>
                          </w:txbxContent>
                        </v:textbox>
                      </v:shape>
                      <v:shape id="_x0000_s1026" o:spid="_x0000_s1026" o:spt="202" type="#_x0000_t202" style="position:absolute;left:3100705;top:2899410;height:287020;width:678180;"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IG6mfYAAAABgEAAA8AAAAAAAAAAQAg&#10;AAAAIgAAAGRycy9kb3ducmV2LnhtbFBLAQIUABQAAAAIAIdO4kCugS6WRwIAAHMEAAAOAAAAAAAA&#10;AAEAIAAAACcBAABkcnMvZTJvRG9jLnhtbFBLBQYAAAAABgAGAFkBAADgBQAAAAA=&#10;">
                        <v:fill on="f" focussize="0,0"/>
                        <v:stroke on="f" weight="0.5pt"/>
                        <v:imagedata o:title=""/>
                        <o:lock v:ext="edit" aspectratio="f"/>
                        <v:textbox>
                          <w:txbxContent>
                            <w:p w14:paraId="460C6689">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不凝气</w:t>
                              </w:r>
                            </w:p>
                          </w:txbxContent>
                        </v:textbox>
                      </v:shape>
                      <v:shape id="_x0000_s1026" o:spid="_x0000_s1026" o:spt="202" type="#_x0000_t202" style="position:absolute;left:2409825;top:2456180;height:287020;width:65595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IG6mfYAAAABgEAAA8AAAAAAAAAAQAg&#10;AAAAIgAAAGRycy9kb3ducmV2LnhtbFBLAQIUABQAAAAIAIdO4kA7sa/HRwIAAHMEAAAOAAAAAAAA&#10;AAEAIAAAACcBAABkcnMvZTJvRG9jLnhtbFBLBQYAAAAABgAGAFkBAADgBQAAAAA=&#10;">
                        <v:fill on="f" focussize="0,0"/>
                        <v:stroke on="f" weight="0.5pt"/>
                        <v:imagedata o:title=""/>
                        <o:lock v:ext="edit" aspectratio="f"/>
                        <v:textbox>
                          <w:txbxContent>
                            <w:p w14:paraId="371DD944">
                              <w:pPr>
                                <w:spacing w:line="240" w:lineRule="auto"/>
                                <w:ind w:firstLine="0" w:firstLineChars="0"/>
                                <w:jc w:val="center"/>
                                <w:rPr>
                                  <w:rFonts w:hint="default"/>
                                  <w:sz w:val="21"/>
                                  <w:szCs w:val="21"/>
                                  <w:lang w:val="en-US" w:eastAsia="zh-CN"/>
                                </w:rPr>
                              </w:pPr>
                              <w:r>
                                <w:rPr>
                                  <w:rFonts w:hint="eastAsia"/>
                                  <w:sz w:val="21"/>
                                  <w:szCs w:val="21"/>
                                  <w:lang w:val="en-US" w:eastAsia="zh-CN"/>
                                </w:rPr>
                                <w:t>938.12</w:t>
                              </w:r>
                            </w:p>
                          </w:txbxContent>
                        </v:textbox>
                      </v:shape>
                      <v:shape id="_x0000_s1026" o:spid="_x0000_s1026" o:spt="202" type="#_x0000_t202" style="position:absolute;left:2475865;top:2825750;height:287020;width:608330;"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iBupn2AAAAAYBAAAPAAAAAAAAAAEAIAAA&#10;ACIAAABkcnMvZG93bnJldi54bWxQSwECFAAUAAAACACHTuJAtWM5y0UCAABzBAAADgAAAAAAAAAB&#10;ACAAAAAnAQAAZHJzL2Uyb0RvYy54bWxQSwUGAAAAAAYABgBZAQAA3gUAAAAA&#10;">
                        <v:fill on="f" focussize="0,0"/>
                        <v:stroke on="f" weight="0.5pt"/>
                        <v:imagedata o:title=""/>
                        <o:lock v:ext="edit" aspectratio="f"/>
                        <v:textbox>
                          <w:txbxContent>
                            <w:p w14:paraId="4AD5C8C4">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51.102</w:t>
                              </w:r>
                            </w:p>
                          </w:txbxContent>
                        </v:textbox>
                      </v:shape>
                      <v:shape id="_x0000_s1026" o:spid="_x0000_s1026" o:spt="32" type="#_x0000_t32" style="position:absolute;left:2913380;top:2185035;height:0;width:720090;" filled="f" stroked="t" coordsize="21600,21600" o:gfxdata="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UBdxtUAAAAGAQAADwAAAAAAAAAB&#10;ACAAAAAiAAAAZHJzL2Rvd25yZXYueG1sUEsBAhQAFAAAAAgAh07iQEedj/4TAgAA7wMAAA4AAAAA&#10;AAAAAQAgAAAAJAEAAGRycy9lMm9Eb2MueG1sUEsFBgAAAAAGAAYAWQEAAKkFAAAAAA==&#10;">
                        <v:fill on="f" focussize="0,0"/>
                        <v:stroke weight="1pt" color="#000000 [3213]" miterlimit="8" joinstyle="miter" endarrow="block"/>
                        <v:imagedata o:title=""/>
                        <o:lock v:ext="edit" aspectratio="f"/>
                      </v:shape>
                      <v:shape id="_x0000_s1026" o:spid="_x0000_s1026" o:spt="202" type="#_x0000_t202" style="position:absolute;left:2872105;top:1945005;height:306070;width:770890;"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iBupn2AAAAAYBAAAPAAAAAAAAAAEA&#10;IAAAACIAAABkcnMvZG93bnJldi54bWxQSwECFAAUAAAACACHTuJAd0fs5kgCAABzBAAADgAAAAAA&#10;AAABACAAAAAnAQAAZHJzL2Uyb0RvYy54bWxQSwUGAAAAAAYABgBZAQAA4QUAAAAA&#10;">
                        <v:fill on="f" focussize="0,0"/>
                        <v:stroke on="f" weight="0.5pt"/>
                        <v:imagedata o:title=""/>
                        <o:lock v:ext="edit" aspectratio="f"/>
                        <v:textbox>
                          <w:txbxContent>
                            <w:p w14:paraId="2409DC46">
                              <w:pPr>
                                <w:spacing w:line="240" w:lineRule="auto"/>
                                <w:ind w:firstLine="0" w:firstLineChars="0"/>
                                <w:jc w:val="center"/>
                                <w:rPr>
                                  <w:rFonts w:hint="default"/>
                                  <w:sz w:val="21"/>
                                  <w:szCs w:val="21"/>
                                  <w:lang w:val="en-US" w:eastAsia="zh-CN"/>
                                </w:rPr>
                              </w:pPr>
                              <w:r>
                                <w:rPr>
                                  <w:rFonts w:hint="eastAsia"/>
                                  <w:sz w:val="21"/>
                                  <w:szCs w:val="21"/>
                                  <w:lang w:val="en-US" w:eastAsia="zh-CN"/>
                                </w:rPr>
                                <w:t>5058.83</w:t>
                              </w:r>
                            </w:p>
                          </w:txbxContent>
                        </v:textbox>
                      </v:shape>
                      <v:shape id="_x0000_s1026" o:spid="_x0000_s1026" o:spt="32" type="#_x0000_t32" style="position:absolute;left:380365;top:3746500;flip:y;height:635;width:1386840;" filled="f" stroked="t" coordsize="21600,21600" o:gfxdata="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4/Xy9QAAAAGAQAA&#10;DwAAAAAAAAABACAAAAAiAAAAZHJzL2Rvd25yZXYueG1sUEsBAhQAFAAAAAgAh07iQM56FJwdAgAA&#10;+wMAAA4AAAAAAAAAAQAgAAAAIwEAAGRycy9lMm9Eb2MueG1sUEsFBgAAAAAGAAYAWQEAALIFAAAA&#10;AA==&#10;">
                        <v:fill on="f" focussize="0,0"/>
                        <v:stroke weight="1pt" color="#000000 [3213]" miterlimit="8" joinstyle="miter" endarrow="block"/>
                        <v:imagedata o:title=""/>
                        <o:lock v:ext="edit" aspectratio="f"/>
                      </v:shape>
                      <v:shape id="_x0000_s1026" o:spid="_x0000_s1026" o:spt="32" type="#_x0000_t32" style="position:absolute;left:401955;top:4773295;flip:y;height:635;width:1386840;" filled="f" stroked="t" coordsize="21600,21600" o:gfxdata="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4/Xy9QAAAAGAQAA&#10;DwAAAAAAAAABACAAAAAiAAAAZHJzL2Rvd25yZXYueG1sUEsBAhQAFAAAAAgAh07iQEirf3kdAgAA&#10;+wMAAA4AAAAAAAAAAQAgAAAAIwEAAGRycy9lMm9Eb2MueG1sUEsFBgAAAAAGAAYAWQEAALIFAAAA&#10;AA==&#10;">
                        <v:fill on="f" focussize="0,0"/>
                        <v:stroke weight="1pt" color="#000000 [3213]" miterlimit="8" joinstyle="miter" endarrow="block"/>
                        <v:imagedata o:title=""/>
                        <o:lock v:ext="edit" aspectratio="f"/>
                      </v:shape>
                      <v:shape id="_x0000_s1026" o:spid="_x0000_s1026" o:spt="32" type="#_x0000_t32" style="position:absolute;left:381000;top:5450205;flip:y;height:635;width:1386840;" filled="f" stroked="t" coordsize="21600,21600" o:gfxdata="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4/Xy9QAAAAGAQAA&#10;DwAAAAAAAAABACAAAAAiAAAAZHJzL2Rvd25yZXYueG1sUEsBAhQAFAAAAAgAh07iQOTOELcdAgAA&#10;+wMAAA4AAAAAAAAAAQAgAAAAIwEAAGRycy9lMm9Eb2MueG1sUEsFBgAAAAAGAAYAWQEAALIFAAAA&#10;AA==&#10;">
                        <v:fill on="f" focussize="0,0"/>
                        <v:stroke weight="1pt" color="#000000 [3213]" miterlimit="8" joinstyle="miter" endarrow="block"/>
                        <v:imagedata o:title=""/>
                        <o:lock v:ext="edit" aspectratio="f"/>
                      </v:shape>
                      <v:shape id="_x0000_s1026" o:spid="_x0000_s1026" o:spt="32" type="#_x0000_t32" style="position:absolute;left:401955;top:6106160;flip:y;height:635;width:1386840;" filled="f" stroked="t" coordsize="21600,21600" o:gfxdata="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4/Xy9QAAAAGAQAA&#10;DwAAAAAAAAABACAAAAAiAAAAZHJzL2Rvd25yZXYueG1sUEsBAhQAFAAAAAgAh07iQGOm+K8dAgAA&#10;+wMAAA4AAAAAAAAAAQAgAAAAIwEAAGRycy9lMm9Eb2MueG1sUEsFBgAAAAAGAAYAWQEAALIFAAAA&#10;AA==&#10;">
                        <v:fill on="f" focussize="0,0"/>
                        <v:stroke weight="1pt" color="#000000 [3213]" miterlimit="8" joinstyle="miter" endarrow="block"/>
                        <v:imagedata o:title=""/>
                        <o:lock v:ext="edit" aspectratio="f"/>
                      </v:shape>
                      <v:shape id="_x0000_s1026" o:spid="_x0000_s1026" o:spt="32" type="#_x0000_t32" style="position:absolute;left:391795;top:6772910;flip:y;height:635;width:1386840;" filled="f" stroked="t" coordsize="21600,21600" o:gfxdata="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4/Xy9QAAAAGAQAA&#10;DwAAAAAAAAABACAAAAAiAAAAZHJzL2Rvd25yZXYueG1sUEsBAhQAFAAAAAgAh07iQJT04IYdAgAA&#10;+wMAAA4AAAAAAAAAAQAgAAAAIwEAAGRycy9lMm9Eb2MueG1sUEsFBgAAAAAGAAYAWQEAALIFAAAA&#10;AA==&#10;">
                        <v:fill on="f" focussize="0,0"/>
                        <v:stroke weight="1pt" color="#000000 [3213]" miterlimit="8" joinstyle="miter" endarrow="block"/>
                        <v:imagedata o:title=""/>
                        <o:lock v:ext="edit" aspectratio="f"/>
                      </v:shape>
                      <v:shape id="_x0000_s1026" o:spid="_x0000_s1026" o:spt="32" type="#_x0000_t32" style="position:absolute;left:391160;top:8075295;flip:y;height:635;width:1386840;" filled="f" stroked="t" coordsize="21600,21600" o:gfxdata="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3j9fL1AAAAAYBAAAP&#10;AAAAAAAAAAEAIAAAACIAAABkcnMvZG93bnJldi54bWxQSwECFAAUAAAACACHTuJA+8/ZZBwCAAD7&#10;AwAADgAAAAAAAAABACAAAAAjAQAAZHJzL2Uyb0RvYy54bWxQSwUGAAAAAAYABgBZAQAAsQUAAAAA&#10;">
                        <v:fill on="f" focussize="0,0"/>
                        <v:stroke weight="1pt" color="#000000 [3213]" miterlimit="8" joinstyle="miter" endarrow="block"/>
                        <v:imagedata o:title=""/>
                        <o:lock v:ext="edit" aspectratio="f"/>
                      </v:shape>
                      <v:shape id="_x0000_s1026" o:spid="_x0000_s1026" o:spt="32" type="#_x0000_t32" style="position:absolute;left:5050790;top:1646555;height:5217795;width:0;" filled="f" stroked="t" coordsize="21600,21600" o:gfxdata="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FAXcbVAAAABgEAAA8AAAAAAAAA&#10;AQAgAAAAIgAAAGRycy9kb3ducmV2LnhtbFBLAQIUABQAAAAIAIdO4kBQB/FWFAIAAPIDAAAOAAAA&#10;AAAAAAEAIAAAACQBAABkcnMvZTJvRG9jLnhtbFBLBQYAAAAABgAGAFkBAACqBQAAAAA=&#10;">
                        <v:fill on="f" focussize="0,0"/>
                        <v:stroke weight="1pt" color="#000000 [3213]" miterlimit="8" joinstyle="miter" endarrow="block"/>
                        <v:imagedata o:title=""/>
                        <o:lock v:ext="edit" aspectratio="f"/>
                      </v:shape>
                      <v:shape id="_x0000_s1026" o:spid="_x0000_s1026" o:spt="35" type="#_x0000_t35" style="position:absolute;left:2487930;top:3537585;flip:x y;height:535940;width:143510;rotation:5898240f;" filled="f" stroked="t" coordsize="21600,21600" o:gfxdata="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68TOKdYAAAAGAQAADwAAAAAAAAABACAAAAAiAAAAZHJzL2Rvd25yZXYueG1sUEsB&#10;AhQAFAAAAAgAh07iQJE0s+tpAgAApAQAAA4AAAAAAAAAAQAgAAAAJQEAAGRycy9lMm9Eb2MueG1s&#10;UEsFBgAAAAAGAAYAWQEAAAAGAAAAAA==&#10;" adj="-35841,31197">
                        <v:fill on="f" focussize="0,0"/>
                        <v:stroke weight="1pt" color="#000000 [3213]" miterlimit="8" joinstyle="miter" endarrow="block"/>
                        <v:imagedata o:title=""/>
                        <o:lock v:ext="edit" aspectratio="f"/>
                      </v:shape>
                      <v:shape id="_x0000_s1026" o:spid="_x0000_s1026" o:spt="202" type="#_x0000_t202" style="position:absolute;left:2984500;top:3798570;height:287020;width:1010920;"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IG6mfYAAAABgEAAA8AAAAAAAAAAQAg&#10;AAAAIgAAAGRycy9kb3ducmV2LnhtbFBLAQIUABQAAAAIAIdO4kCBClrLRwIAAHYEAAAOAAAAAAAA&#10;AAEAIAAAACcBAABkcnMvZTJvRG9jLnhtbFBLBQYAAAAABgAGAFkBAADgBQAAAAA=&#10;">
                        <v:fill on="f" focussize="0,0"/>
                        <v:stroke on="f" weight="0.5pt"/>
                        <v:imagedata o:title=""/>
                        <o:lock v:ext="edit" aspectratio="f"/>
                        <v:textbox>
                          <w:txbxContent>
                            <w:p w14:paraId="2B7B6303">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循环用水3000</w:t>
                              </w:r>
                            </w:p>
                          </w:txbxContent>
                        </v:textbox>
                      </v:shape>
                      <v:shape id="_x0000_s1026" o:spid="_x0000_s1026" o:spt="202" type="#_x0000_t202" style="position:absolute;left:984250;top:3503295;height:287020;width:55181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gbqZ9gAAAAGAQAADwAAAAAAAAAB&#10;ACAAAAAiAAAAZHJzL2Rvd25yZXYueG1sUEsBAhQAFAAAAAgAh07iQFaIseJJAgAAdAQAAA4AAAAA&#10;AAAAAQAgAAAAJwEAAGRycy9lMm9Eb2MueG1sUEsFBgAAAAAGAAYAWQEAAOIFAAAAAA==&#10;">
                        <v:fill on="f" focussize="0,0"/>
                        <v:stroke on="f" weight="0.5pt"/>
                        <v:imagedata o:title=""/>
                        <o:lock v:ext="edit" aspectratio="f"/>
                        <v:textbox>
                          <w:txbxContent>
                            <w:p w14:paraId="4B95D308">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450</w:t>
                              </w:r>
                            </w:p>
                          </w:txbxContent>
                        </v:textbox>
                      </v:shape>
                      <v:shape id="_x0000_s1026" o:spid="_x0000_s1026" o:spt="32" type="#_x0000_t32" style="position:absolute;left:2857500;top:4762500;height:0;width:2211705;" filled="f" stroked="t" coordsize="21600,21600" o:gfxdata="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UBdxtUAAAAGAQAADwAAAAAAAAAB&#10;ACAAAAAiAAAAZHJzL2Rvd25yZXYueG1sUEsBAhQAFAAAAAgAh07iQMvJUncTAgAA8gMAAA4AAAAA&#10;AAAAAQAgAAAAJAEAAGRycy9lMm9Eb2MueG1sUEsFBgAAAAAGAAYAWQEAAKkFAAAAAA==&#10;">
                        <v:fill on="f" focussize="0,0"/>
                        <v:stroke weight="1pt" color="#000000 [3213]" miterlimit="8" joinstyle="miter" endarrow="block"/>
                        <v:imagedata o:title=""/>
                        <o:lock v:ext="edit" aspectratio="f"/>
                      </v:shape>
                      <v:shape id="_x0000_s1026" o:spid="_x0000_s1026" o:spt="202" type="#_x0000_t202" style="position:absolute;left:3206115;top:4508500;height:287020;width:55181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gbqZ9gAAAAGAQAADwAAAAAAAAAB&#10;ACAAAAAiAAAAZHJzL2Rvd25yZXYueG1sUEsBAhQAFAAAAAgAh07iQESy57dJAgAAdQQAAA4AAAAA&#10;AAAAAQAgAAAAJwEAAGRycy9lMm9Eb2MueG1sUEsFBgAAAAAGAAYAWQEAAOIFAAAAAA==&#10;">
                        <v:fill on="f" focussize="0,0"/>
                        <v:stroke on="f" weight="0.5pt"/>
                        <v:imagedata o:title=""/>
                        <o:lock v:ext="edit" aspectratio="f"/>
                        <v:textbox>
                          <w:txbxContent>
                            <w:p w14:paraId="79F43AF3">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288</w:t>
                              </w:r>
                            </w:p>
                          </w:txbxContent>
                        </v:textbox>
                      </v:shape>
                      <v:shape id="_x0000_s1026" o:spid="_x0000_s1026" o:spt="202" type="#_x0000_t202" style="position:absolute;left:1005205;top:4519295;height:287020;width:55181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IG6mfYAAAABgEAAA8AAAAAAAAA&#10;AQAgAAAAIgAAAGRycy9kb3ducmV2LnhtbFBLAQIUABQAAAAIAIdO4kA6hxaPSgIAAHUEAAAOAAAA&#10;AAAAAAEAIAAAACcBAABkcnMvZTJvRG9jLnhtbFBLBQYAAAAABgAGAFkBAADjBQAAAAA=&#10;">
                        <v:fill on="f" focussize="0,0"/>
                        <v:stroke on="f" weight="0.5pt"/>
                        <v:imagedata o:title=""/>
                        <o:lock v:ext="edit" aspectratio="f"/>
                        <v:textbox>
                          <w:txbxContent>
                            <w:p w14:paraId="79388A31">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360</w:t>
                              </w:r>
                            </w:p>
                          </w:txbxContent>
                        </v:textbox>
                      </v:shape>
                      <v:shape id="_x0000_s1026" o:spid="_x0000_s1026" o:spt="202" type="#_x0000_t202" style="position:absolute;left:1015365;top:5196205;height:287020;width:55181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IG6mfYAAAABgEAAA8AAAAAAAAA&#10;AQAgAAAAIgAAAGRycy9kb3ducmV2LnhtbFBLAQIUABQAAAAIAIdO4kCnF6cCSgIAAHUEAAAOAAAA&#10;AAAAAAEAIAAAACcBAABkcnMvZTJvRG9jLnhtbFBLBQYAAAAABgAGAFkBAADjBQAAAAA=&#10;">
                        <v:fill on="f" focussize="0,0"/>
                        <v:stroke on="f" weight="0.5pt"/>
                        <v:imagedata o:title=""/>
                        <o:lock v:ext="edit" aspectratio="f"/>
                        <v:textbox>
                          <w:txbxContent>
                            <w:p w14:paraId="0451B35D">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1290</w:t>
                              </w:r>
                            </w:p>
                          </w:txbxContent>
                        </v:textbox>
                      </v:shape>
                      <v:shape id="_x0000_s1026" o:spid="_x0000_s1026" o:spt="35" type="#_x0000_t35" style="position:absolute;left:2532380;top:5893435;flip:x y;height:535940;width:143510;rotation:5898240f;" filled="f" stroked="t" coordsize="21600,21600" o:gfxdata="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68TOKdYAAAAGAQAADwAAAAAAAAABACAAAAAiAAAAZHJzL2Rvd25yZXYueG1sUEsBAhQA&#10;FAAAAAgAh07iQHDrVkxmAgAAogQAAA4AAAAAAAAAAQAgAAAAJQEAAGRycy9lMm9Eb2MueG1sUEsF&#10;BgAAAAAGAAYAWQEAAP0FAAAAAA==&#10;" adj="-35841,31197">
                        <v:fill on="f" focussize="0,0"/>
                        <v:stroke weight="1pt" color="#000000 [3213]" miterlimit="8" joinstyle="miter" endarrow="block"/>
                        <v:imagedata o:title=""/>
                        <o:lock v:ext="edit" aspectratio="f"/>
                      </v:shape>
                      <v:shape id="_x0000_s1026" o:spid="_x0000_s1026" o:spt="202" type="#_x0000_t202" style="position:absolute;left:2989580;top:6087745;height:287020;width:1209040;"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IG6mfYAAAABgEAAA8AAAAAAAAA&#10;AQAgAAAAIgAAAGRycy9kb3ducmV2LnhtbFBLAQIUABQAAAAIAIdO4kBQ5e2ySgIAAHYEAAAOAAAA&#10;AAAAAAEAIAAAACcBAABkcnMvZTJvRG9jLnhtbFBLBQYAAAAABgAGAFkBAADjBQAAAAA=&#10;">
                        <v:fill on="f" focussize="0,0"/>
                        <v:stroke on="f" weight="0.5pt"/>
                        <v:imagedata o:title=""/>
                        <o:lock v:ext="edit" aspectratio="f"/>
                        <v:textbox>
                          <w:txbxContent>
                            <w:p w14:paraId="5ED39F55">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循环用水24000</w:t>
                              </w:r>
                            </w:p>
                          </w:txbxContent>
                        </v:textbox>
                      </v:shape>
                      <v:shape id="_x0000_s1026" o:spid="_x0000_s1026" o:spt="202" type="#_x0000_t202" style="position:absolute;left:772160;top:5831205;height:287020;width:900430;"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gbqZ9gAAAAGAQAADwAAAAAAAAAB&#10;ACAAAAAiAAAAZHJzL2Rvd25yZXYueG1sUEsBAhQAFAAAAAgAh07iQDkLadFJAgAAdAQAAA4AAAAA&#10;AAAAAQAgAAAAJwEAAGRycy9lMm9Eb2MueG1sUEsFBgAAAAAGAAYAWQEAAOIFAAAAAA==&#10;">
                        <v:fill on="f" focussize="0,0"/>
                        <v:stroke on="f" weight="0.5pt"/>
                        <v:imagedata o:title=""/>
                        <o:lock v:ext="edit" aspectratio="f"/>
                        <v:textbox>
                          <w:txbxContent>
                            <w:p w14:paraId="51D02755">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1200</w:t>
                              </w:r>
                            </w:p>
                          </w:txbxContent>
                        </v:textbox>
                      </v:shape>
                      <v:shape id="_x0000_s1026" o:spid="_x0000_s1026" o:spt="202" type="#_x0000_t202" style="position:absolute;left:962660;top:6518910;height:287020;width:50990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iBupn2AAAAAYBAAAPAAAAAAAAAAEA&#10;IAAAACIAAABkcnMvZG93bnJldi54bWxQSwECFAAUAAAACACHTuJA+UYomkgCAAB0BAAADgAAAAAA&#10;AAABACAAAAAnAQAAZHJzL2Uyb0RvYy54bWxQSwUGAAAAAAYABgBZAQAA4QUAAAAA&#10;">
                        <v:fill on="f" focussize="0,0"/>
                        <v:stroke on="f" weight="0.5pt"/>
                        <v:imagedata o:title=""/>
                        <o:lock v:ext="edit" aspectratio="f"/>
                        <v:textbox>
                          <w:txbxContent>
                            <w:p w14:paraId="4E58F977">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348</w:t>
                              </w:r>
                            </w:p>
                          </w:txbxContent>
                        </v:textbox>
                      </v:shape>
                      <v:shape id="_x0000_s1026" o:spid="_x0000_s1026" o:spt="35" type="#_x0000_t35" style="position:absolute;left:2531110;top:7282180;flip:x y;height:535940;width:143510;rotation:5898240f;" filled="f" stroked="t" coordsize="21600,21600" o:gfxdata="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68TOKdYAAAAGAQAADwAAAAAAAAABACAAAAAiAAAAZHJzL2Rvd25yZXYueG1sUEsBAhQA&#10;FAAAAAgAh07iQNaaDUhmAgAAogQAAA4AAAAAAAAAAQAgAAAAJQEAAGRycy9lMm9Eb2MueG1sUEsF&#10;BgAAAAAGAAYAWQEAAP0FAAAAAA==&#10;" adj="-35841,31197">
                        <v:fill on="f" focussize="0,0"/>
                        <v:stroke weight="1pt" color="#000000 [3213]" miterlimit="8" joinstyle="miter" endarrow="block"/>
                        <v:imagedata o:title=""/>
                        <o:lock v:ext="edit" aspectratio="f"/>
                      </v:shape>
                      <v:shape id="_x0000_s1026" o:spid="_x0000_s1026" o:spt="202" type="#_x0000_t202" style="position:absolute;left:2865120;top:7220585;height:287020;width:1033780;"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IG6mfYAAAABgEAAA8AAAAAAAAAAQAg&#10;AAAAIgAAAGRycy9kb3ducmV2LnhtbFBLAQIUABQAAAAIAIdO4kCJC4TqRwIAAHYEAAAOAAAAAAAA&#10;AAEAIAAAACcBAABkcnMvZTJvRG9jLnhtbFBLBQYAAAAABgAGAFkBAADgBQAAAAA=&#10;">
                        <v:fill on="f" focussize="0,0"/>
                        <v:stroke on="f" weight="0.5pt"/>
                        <v:imagedata o:title=""/>
                        <o:lock v:ext="edit" aspectratio="f"/>
                        <v:textbox>
                          <w:txbxContent>
                            <w:p w14:paraId="6DC98371">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循环用水9600</w:t>
                              </w:r>
                            </w:p>
                          </w:txbxContent>
                        </v:textbox>
                      </v:shape>
                      <v:shape id="_x0000_s1026" o:spid="_x0000_s1026" o:spt="202" type="#_x0000_t202" style="position:absolute;left:909955;top:7820660;height:287020;width:551180;"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gbqZ9gAAAAGAQAADwAAAAAAAAAB&#10;ACAAAAAiAAAAZHJzL2Rvd25yZXYueG1sUEsBAhQAFAAAAAgAh07iQFsW+pVJAgAAdAQAAA4AAAAA&#10;AAAAAQAgAAAAJwEAAGRycy9lMm9Eb2MueG1sUEsFBgAAAAAGAAYAWQEAAOIFAAAAAA==&#10;">
                        <v:fill on="f" focussize="0,0"/>
                        <v:stroke on="f" weight="0.5pt"/>
                        <v:imagedata o:title=""/>
                        <o:lock v:ext="edit" aspectratio="f"/>
                        <v:textbox>
                          <w:txbxContent>
                            <w:p w14:paraId="2B63DBD3">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581.3</w:t>
                              </w:r>
                            </w:p>
                          </w:txbxContent>
                        </v:textbox>
                      </v:shape>
                      <v:shape id="_x0000_s1026" o:spid="_x0000_s1026" o:spt="32" type="#_x0000_t32" style="position:absolute;left:2013585;top:7630795;flip:x y;height:306705;width:10795;" filled="f" stroked="t" coordsize="21600,21600" o:gfxdata="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N+iJXX&#10;AAAABgEAAA8AAAAAAAAAAQAgAAAAIgAAAGRycy9kb3ducmV2LnhtbFBLAQIUABQAAAAIAIdO4kCD&#10;bKpIIQIAAAkEAAAOAAAAAAAAAAEAIAAAACYBAABkcnMvZTJvRG9jLnhtbFBLBQYAAAAABgAGAFkB&#10;AAC5BQAAAAA=&#10;">
                        <v:fill on="f" focussize="0,0"/>
                        <v:stroke weight="1pt" color="#000000 [3213]" miterlimit="8" joinstyle="miter" endarrow="block"/>
                        <v:imagedata o:title=""/>
                        <o:lock v:ext="edit" aspectratio="f"/>
                      </v:shape>
                      <v:shape id="_x0000_s1026" o:spid="_x0000_s1026" o:spt="34" type="#_x0000_t34" style="position:absolute;left:2863215;top:7018655;flip:y;height:1063625;width:1588770;" filled="f" stroked="t" coordsize="21600,21600" o:gfxdata="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iYq8X1QAAAAYBAAAPAAAAAAAA&#10;AAEAIAAAACIAAABkcnMvZG93bnJldi54bWxQSwECFAAUAAAACACHTuJA5jAI1U4CAABmBAAADgAA&#10;AAAAAAABACAAAAAkAQAAZHJzL2Uyb0RvYy54bWxQSwUGAAAAAAYABgBZAQAA5AUAAAAA&#10;" adj="15980">
                        <v:fill on="f" focussize="0,0"/>
                        <v:stroke weight="1pt" color="#000000 [3213]" miterlimit="8" joinstyle="miter" endarrow="block"/>
                        <v:imagedata o:title=""/>
                        <o:lock v:ext="edit" aspectratio="f"/>
                      </v:shape>
                      <v:shape id="_x0000_s1026" o:spid="_x0000_s1026" o:spt="202" type="#_x0000_t202" style="position:absolute;left:3185160;top:7821295;height:287020;width:551180;"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iBupn2AAAAAYBAAAPAAAAAAAA&#10;AAEAIAAAACIAAABkcnMvZG93bnJldi54bWxQSwECFAAUAAAACACHTuJAIrP1pEsCAAB1BAAADgAA&#10;AAAAAAABACAAAAAnAQAAZHJzL2Uyb0RvYy54bWxQSwUGAAAAAAYABgBZAQAA5AUAAAAA&#10;">
                        <v:fill on="f" focussize="0,0"/>
                        <v:stroke on="f" weight="0.5pt"/>
                        <v:imagedata o:title=""/>
                        <o:lock v:ext="edit" aspectratio="f"/>
                        <v:textbox>
                          <w:txbxContent>
                            <w:p w14:paraId="5E9B68CA">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48</w:t>
                              </w:r>
                            </w:p>
                          </w:txbxContent>
                        </v:textbox>
                      </v:shape>
                      <v:shape id="_x0000_s1026" o:spid="_x0000_s1026" o:spt="202" type="#_x0000_t202" style="position:absolute;left:592455;top:106045;height:287020;width:608330;"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iBupn2AAAAAYBAAAPAAAAAAAAAAEA&#10;IAAAACIAAABkcnMvZG93bnJldi54bWxQSwECFAAUAAAACACHTuJAZUsrgkgCAABzBAAADgAAAAAA&#10;AAABACAAAAAnAQAAZHJzL2Uyb0RvYy54bWxQSwUGAAAAAAYABgBZAQAA4QUAAAAA&#10;">
                        <v:fill on="f" focussize="0,0"/>
                        <v:stroke on="f" weight="0.5pt"/>
                        <v:imagedata o:title=""/>
                        <o:lock v:ext="edit" aspectratio="f"/>
                        <v:textbox>
                          <w:txbxContent>
                            <w:p w14:paraId="2A374494">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5213.3</w:t>
                              </w:r>
                            </w:p>
                          </w:txbxContent>
                        </v:textbox>
                      </v:shape>
                      <v:shape id="_x0000_s1026" o:spid="_x0000_s1026" o:spt="202" type="#_x0000_t202" style="position:absolute;left:4465955;top:7620000;height:520065;width:900430;"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IG6mfYAAAABgEAAA8AAAAAAAAAAQAg&#10;AAAAIgAAAGRycy9kb3ducmV2LnhtbFBLAQIUABQAAAAIAIdO4kAUFZjtRwIAAHUEAAAOAAAAAAAA&#10;AAEAIAAAACcBAABkcnMvZTJvRG9jLnhtbFBLBQYAAAAABgAGAFkBAADgBQAAAAA=&#10;">
                        <v:fill on="f" focussize="0,0"/>
                        <v:stroke on="f" weight="0.5pt"/>
                        <v:imagedata o:title=""/>
                        <o:lock v:ext="edit" aspectratio="f"/>
                        <v:textbox>
                          <w:txbxContent>
                            <w:p w14:paraId="73A9C018">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制成沼液，绿化、灌溉</w:t>
                              </w:r>
                            </w:p>
                          </w:txbxContent>
                        </v:textbox>
                      </v:shape>
                      <v:shape id="_x0000_s1026" o:spid="_x0000_s1026" o:spt="202" type="#_x0000_t202" style="position:absolute;left:4411980;top:7228205;height:287020;width:73977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gbqZ9gAAAAGAQAADwAAAAAA&#10;AAABACAAAAAiAAAAZHJzL2Rvd25yZXYueG1sUEsBAhQAFAAAAAgAh07iQBb6LEpMAgAAdQQAAA4A&#10;AAAAAAAAAQAgAAAAJwEAAGRycy9lMm9Eb2MueG1sUEsFBgAAAAAGAAYAWQEAAOUFAAAAAA==&#10;">
                        <v:fill on="f" focussize="0,0"/>
                        <v:stroke on="f" weight="0.5pt"/>
                        <v:imagedata o:title=""/>
                        <o:lock v:ext="edit" aspectratio="f"/>
                        <v:textbox>
                          <w:txbxContent>
                            <w:p w14:paraId="35423DFF">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6231.23</w:t>
                              </w:r>
                            </w:p>
                          </w:txbxContent>
                        </v:textbox>
                      </v:shape>
                      <v:shape id="_x0000_s1026" o:spid="_x0000_s1026" o:spt="202" type="#_x0000_t202" style="position:absolute;left:2789555;top:8180705;height:287655;width:934085;" filled="f" stroked="f" coordsize="21600,21600" o:gfxdata="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IG6mfYAAAABgEAAA8AAAAAAAAA&#10;AQAgAAAAIgAAAGRycy9kb3ducmV2LnhtbFBLAQIUABQAAAAIAIdO4kBQ/lXISgIAAHMEAAAOAAAA&#10;AAAAAAEAIAAAACcBAABkcnMvZTJvRG9jLnhtbFBLBQYAAAAABgAGAFkBAADjBQAAAAA=&#10;">
                        <v:fill on="f" focussize="0,0"/>
                        <v:stroke on="f" weight="0.5pt"/>
                        <v:imagedata o:title=""/>
                        <o:lock v:ext="edit" aspectratio="f"/>
                        <v:textbox>
                          <w:txbxContent>
                            <w:p w14:paraId="1B17D0F0">
                              <w:pPr>
                                <w:spacing w:line="240" w:lineRule="auto"/>
                                <w:ind w:firstLine="0" w:firstLineChars="0"/>
                                <w:jc w:val="center"/>
                                <w:rPr>
                                  <w:rFonts w:hint="default" w:eastAsia="宋体"/>
                                  <w:sz w:val="21"/>
                                  <w:szCs w:val="21"/>
                                  <w:lang w:val="en-US" w:eastAsia="zh-CN"/>
                                </w:rPr>
                              </w:pPr>
                              <w:r>
                                <w:rPr>
                                  <w:sz w:val="21"/>
                                  <w:szCs w:val="21"/>
                                </w:rPr>
                                <w:t>损耗</w:t>
                              </w:r>
                              <w:r>
                                <w:rPr>
                                  <w:rFonts w:hint="eastAsia"/>
                                  <w:sz w:val="21"/>
                                  <w:szCs w:val="21"/>
                                  <w:lang w:val="en-US" w:eastAsia="zh-CN"/>
                                </w:rPr>
                                <w:t>53.3</w:t>
                              </w:r>
                            </w:p>
                          </w:txbxContent>
                        </v:textbox>
                      </v:shape>
                      <w10:wrap type="none"/>
                      <w10:anchorlock/>
                    </v:group>
                  </w:pict>
                </mc:Fallback>
              </mc:AlternateContent>
            </w:r>
          </w:p>
          <w:p w14:paraId="499669CE">
            <w:pPr>
              <w:pStyle w:val="9"/>
              <w:numPr>
                <w:ilvl w:val="6"/>
                <w:numId w:val="0"/>
              </w:numPr>
              <w:ind w:left="0" w:leftChars="0" w:firstLine="480" w:firstLineChars="200"/>
            </w:pPr>
            <w:r>
              <w:rPr>
                <w:rFonts w:hint="default" w:ascii="Times New Roman" w:hAnsi="Times New Roman" w:eastAsia="宋体" w:cs="Times New Roman"/>
                <w:b/>
                <w:i w:val="0"/>
                <w:kern w:val="2"/>
                <w:sz w:val="24"/>
                <w:szCs w:val="24"/>
                <w:shd w:val="clear" w:fill="FFFFFF"/>
                <w:lang w:val="en-US" w:eastAsia="zh-CN" w:bidi="ar-SA"/>
              </w:rPr>
              <w:t>图2-1</w:t>
            </w:r>
            <w:r>
              <w:rPr>
                <w:rFonts w:hint="eastAsia"/>
              </w:rPr>
              <w:t>项目水平衡图  单位：m</w:t>
            </w:r>
            <w:r>
              <w:rPr>
                <w:rFonts w:hint="eastAsia"/>
                <w:vertAlign w:val="superscript"/>
              </w:rPr>
              <w:t>3</w:t>
            </w:r>
            <w:r>
              <w:rPr>
                <w:rFonts w:hint="eastAsia"/>
              </w:rPr>
              <w:t>/a</w:t>
            </w:r>
          </w:p>
          <w:p w14:paraId="2A65DBA7">
            <w:pPr>
              <w:pStyle w:val="4"/>
              <w:numPr>
                <w:ilvl w:val="1"/>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2.</w:t>
            </w:r>
            <w:r>
              <w:rPr>
                <w:rFonts w:hint="eastAsia" w:cs="Times New Roman"/>
                <w:b/>
                <w:i w:val="0"/>
                <w:kern w:val="2"/>
                <w:sz w:val="24"/>
                <w:szCs w:val="24"/>
                <w:lang w:val="en-US" w:eastAsia="zh-CN" w:bidi="ar-SA"/>
              </w:rPr>
              <w:t>8</w:t>
            </w:r>
            <w:r>
              <w:rPr>
                <w:rFonts w:hint="default" w:ascii="Times New Roman" w:hAnsi="Times New Roman" w:eastAsia="宋体" w:cs="Times New Roman"/>
                <w:b/>
                <w:i w:val="0"/>
                <w:kern w:val="2"/>
                <w:sz w:val="24"/>
                <w:szCs w:val="24"/>
                <w:lang w:val="en-US" w:eastAsia="zh-CN" w:bidi="ar-SA"/>
              </w:rPr>
              <w:t>、</w:t>
            </w:r>
            <w:r>
              <w:rPr>
                <w:rFonts w:hint="eastAsia"/>
              </w:rPr>
              <w:t>供电</w:t>
            </w:r>
          </w:p>
          <w:p w14:paraId="20A86B03">
            <w:pPr>
              <w:ind w:firstLine="480"/>
              <w:rPr>
                <w:rFonts w:hint="eastAsia"/>
              </w:rPr>
            </w:pPr>
            <w:r>
              <w:rPr>
                <w:rFonts w:hint="eastAsia"/>
              </w:rPr>
              <w:t>本项目用电由附近市政电网接入，由供电公司供给。</w:t>
            </w:r>
          </w:p>
          <w:p w14:paraId="14160967">
            <w:pPr>
              <w:pStyle w:val="4"/>
              <w:numPr>
                <w:ilvl w:val="1"/>
                <w:numId w:val="0"/>
              </w:numPr>
              <w:bidi w:val="0"/>
              <w:ind w:left="0" w:leftChars="0" w:firstLine="0" w:firstLineChars="0"/>
              <w:rPr>
                <w:rFonts w:hint="eastAsia"/>
              </w:rPr>
            </w:pPr>
            <w:r>
              <w:rPr>
                <w:rFonts w:hint="default" w:ascii="Times New Roman" w:hAnsi="Times New Roman" w:eastAsia="宋体" w:cs="Times New Roman"/>
                <w:b/>
                <w:i w:val="0"/>
                <w:kern w:val="2"/>
                <w:sz w:val="24"/>
                <w:szCs w:val="24"/>
                <w:lang w:val="en-US" w:eastAsia="zh-CN" w:bidi="ar-SA"/>
              </w:rPr>
              <w:t>2.</w:t>
            </w:r>
            <w:r>
              <w:rPr>
                <w:rFonts w:hint="eastAsia" w:cs="Times New Roman"/>
                <w:b/>
                <w:i w:val="0"/>
                <w:kern w:val="2"/>
                <w:sz w:val="24"/>
                <w:szCs w:val="24"/>
                <w:lang w:val="en-US" w:eastAsia="zh-CN" w:bidi="ar-SA"/>
              </w:rPr>
              <w:t>9</w:t>
            </w:r>
            <w:r>
              <w:rPr>
                <w:rFonts w:hint="default" w:ascii="Times New Roman" w:hAnsi="Times New Roman" w:eastAsia="宋体" w:cs="Times New Roman"/>
                <w:b/>
                <w:i w:val="0"/>
                <w:kern w:val="2"/>
                <w:sz w:val="24"/>
                <w:szCs w:val="24"/>
                <w:lang w:val="en-US" w:eastAsia="zh-CN" w:bidi="ar-SA"/>
              </w:rPr>
              <w:t>、</w:t>
            </w:r>
            <w:r>
              <w:rPr>
                <w:rFonts w:hint="eastAsia"/>
                <w:lang w:eastAsia="zh-CN"/>
              </w:rPr>
              <w:t>供热</w:t>
            </w:r>
          </w:p>
          <w:p w14:paraId="3B6EE57D">
            <w:pPr>
              <w:bidi w:val="0"/>
              <w:rPr>
                <w:rFonts w:hint="eastAsia" w:eastAsia="宋体"/>
                <w:lang w:eastAsia="zh-CN"/>
              </w:rPr>
            </w:pPr>
            <w:r>
              <w:rPr>
                <w:rFonts w:hint="eastAsia"/>
              </w:rPr>
              <w:t>项目采取蒸汽加热，项目</w:t>
            </w:r>
            <w:r>
              <w:rPr>
                <w:rFonts w:hint="eastAsia"/>
                <w:lang w:eastAsia="zh-CN"/>
              </w:rPr>
              <w:t>拟</w:t>
            </w:r>
            <w:r>
              <w:rPr>
                <w:rFonts w:hint="eastAsia"/>
              </w:rPr>
              <w:t>设</w:t>
            </w:r>
            <w:r>
              <w:rPr>
                <w:rFonts w:hint="eastAsia"/>
                <w:lang w:eastAsia="zh-CN"/>
              </w:rPr>
              <w:t>一台</w:t>
            </w:r>
            <w:r>
              <w:rPr>
                <w:rFonts w:hint="eastAsia"/>
                <w:lang w:val="en-US" w:eastAsia="zh-CN"/>
              </w:rPr>
              <w:t>4t/h</w:t>
            </w:r>
            <w:r>
              <w:rPr>
                <w:rFonts w:hint="eastAsia"/>
                <w:lang w:eastAsia="zh-CN"/>
              </w:rPr>
              <w:t>生物质颗粒</w:t>
            </w:r>
            <w:r>
              <w:rPr>
                <w:rFonts w:hint="eastAsia"/>
              </w:rPr>
              <w:t>锅炉，锅炉工作时间为</w:t>
            </w:r>
            <w:r>
              <w:rPr>
                <w:rFonts w:hint="eastAsia"/>
                <w:lang w:val="en-US" w:eastAsia="zh-CN"/>
              </w:rPr>
              <w:t>8</w:t>
            </w:r>
            <w:r>
              <w:rPr>
                <w:rFonts w:hint="eastAsia"/>
              </w:rPr>
              <w:t>h/d，年运行300d</w:t>
            </w:r>
            <w:r>
              <w:rPr>
                <w:rFonts w:hint="eastAsia"/>
                <w:lang w:eastAsia="zh-CN"/>
              </w:rPr>
              <w:t>。</w:t>
            </w:r>
          </w:p>
          <w:p w14:paraId="781E27A8">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2.</w:t>
            </w:r>
            <w:r>
              <w:rPr>
                <w:rFonts w:hint="eastAsia" w:cs="Times New Roman"/>
                <w:b/>
                <w:i w:val="0"/>
                <w:kern w:val="2"/>
                <w:sz w:val="24"/>
                <w:szCs w:val="24"/>
                <w:lang w:val="en-US" w:eastAsia="zh-CN" w:bidi="ar-SA"/>
              </w:rPr>
              <w:t>10</w:t>
            </w:r>
            <w:r>
              <w:rPr>
                <w:rFonts w:hint="default" w:ascii="Times New Roman" w:hAnsi="Times New Roman" w:eastAsia="宋体" w:cs="Times New Roman"/>
                <w:b/>
                <w:i w:val="0"/>
                <w:kern w:val="2"/>
                <w:sz w:val="24"/>
                <w:szCs w:val="24"/>
                <w:lang w:val="en-US" w:eastAsia="zh-CN" w:bidi="ar-SA"/>
              </w:rPr>
              <w:t>、</w:t>
            </w:r>
            <w:r>
              <w:rPr>
                <w:rFonts w:hint="eastAsia"/>
              </w:rPr>
              <w:t>项目平面布置简述</w:t>
            </w:r>
          </w:p>
          <w:p w14:paraId="0239120B">
            <w:pPr>
              <w:bidi w:val="0"/>
              <w:rPr>
                <w:rFonts w:hint="eastAsia"/>
              </w:rPr>
            </w:pPr>
            <w:r>
              <w:rPr>
                <w:rFonts w:hint="eastAsia"/>
                <w:highlight w:val="none"/>
              </w:rPr>
              <w:t>本项目</w:t>
            </w:r>
            <w:r>
              <w:rPr>
                <w:rFonts w:hint="eastAsia" w:ascii="Times New Roman" w:hAnsi="Times New Roman" w:cs="Times New Roman"/>
                <w:kern w:val="2"/>
                <w:sz w:val="24"/>
                <w:szCs w:val="24"/>
                <w:highlight w:val="none"/>
                <w:lang w:val="en-US" w:bidi="ar-SA"/>
              </w:rPr>
              <w:t>桂林市全州县工业集中区综合产业园城西片区</w:t>
            </w:r>
            <w:r>
              <w:rPr>
                <w:rFonts w:hint="eastAsia"/>
                <w:highlight w:val="none"/>
              </w:rPr>
              <w:t>，项目</w:t>
            </w:r>
            <w:r>
              <w:rPr>
                <w:rFonts w:hint="eastAsia"/>
                <w:highlight w:val="none"/>
                <w:lang w:eastAsia="zh-CN"/>
              </w:rPr>
              <w:t>厂区北部为除尘设施，西北部为生产车间，中部为厂区绿化带，东北部为库房和黑膜池，南部为办公楼和机动车停车场</w:t>
            </w:r>
            <w:r>
              <w:rPr>
                <w:rFonts w:hint="eastAsia"/>
                <w:highlight w:val="none"/>
              </w:rPr>
              <w:t>。从总平面布置上来看，该项目功能区划分比较明确，厂区布置紧凑合理，厂区运输顺畅，平面布置较为合理。</w:t>
            </w:r>
          </w:p>
        </w:tc>
      </w:tr>
      <w:tr w14:paraId="346C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438CAC9">
            <w:pPr>
              <w:spacing w:line="276" w:lineRule="auto"/>
              <w:ind w:firstLine="0" w:firstLineChars="0"/>
              <w:jc w:val="center"/>
            </w:pPr>
            <w:r>
              <w:t>工艺流程和产排污环节</w:t>
            </w:r>
          </w:p>
        </w:tc>
        <w:tc>
          <w:tcPr>
            <w:tcW w:w="8363" w:type="dxa"/>
          </w:tcPr>
          <w:p w14:paraId="61C83DB6">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2.1</w:t>
            </w:r>
            <w:r>
              <w:rPr>
                <w:rFonts w:hint="eastAsia" w:cs="Times New Roman"/>
                <w:b/>
                <w:i w:val="0"/>
                <w:kern w:val="2"/>
                <w:sz w:val="24"/>
                <w:szCs w:val="24"/>
                <w:lang w:val="en-US" w:eastAsia="zh-CN" w:bidi="ar-SA"/>
              </w:rPr>
              <w:t>1</w:t>
            </w:r>
            <w:r>
              <w:rPr>
                <w:rFonts w:hint="default" w:ascii="Times New Roman" w:hAnsi="Times New Roman" w:eastAsia="宋体" w:cs="Times New Roman"/>
                <w:b/>
                <w:i w:val="0"/>
                <w:kern w:val="2"/>
                <w:sz w:val="24"/>
                <w:szCs w:val="24"/>
                <w:lang w:val="en-US" w:eastAsia="zh-CN" w:bidi="ar-SA"/>
              </w:rPr>
              <w:t>、</w:t>
            </w:r>
            <w:r>
              <w:rPr>
                <w:rFonts w:hint="eastAsia"/>
              </w:rPr>
              <w:t>建设项目施工期工艺</w:t>
            </w:r>
          </w:p>
          <w:p w14:paraId="59F44DE6">
            <w:pPr>
              <w:ind w:firstLine="480"/>
            </w:pPr>
            <w:r>
              <w:rPr>
                <w:rFonts w:hint="eastAsia"/>
              </w:rPr>
              <w:t>根据项目实际情况，施工期的工程内容主要为场地平整、结构施工、装修工程及其他辅助设施建设及设备安装。施工期主要污染物是施工过程中产生的扬尘、施工车辆尾气、施工废水、固体废物（包括建筑垃圾和施工人员生活垃圾）、噪声等。</w:t>
            </w:r>
          </w:p>
          <w:p w14:paraId="0C5D6825">
            <w:pPr>
              <w:ind w:firstLine="0" w:firstLineChars="0"/>
            </w:pPr>
            <w:r>
              <mc:AlternateContent>
                <mc:Choice Requires="wpc">
                  <w:drawing>
                    <wp:inline distT="0" distB="0" distL="0" distR="0">
                      <wp:extent cx="5274310" cy="1053465"/>
                      <wp:effectExtent l="0" t="0" r="0" b="0"/>
                      <wp:docPr id="62" name="画布 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 name="文本框 50"/>
                              <wps:cNvSpPr txBox="1"/>
                              <wps:spPr>
                                <a:xfrm>
                                  <a:off x="96960" y="372"/>
                                  <a:ext cx="759125" cy="301924"/>
                                </a:xfrm>
                                <a:prstGeom prst="rect">
                                  <a:avLst/>
                                </a:prstGeom>
                                <a:solidFill>
                                  <a:schemeClr val="lt1"/>
                                </a:solidFill>
                                <a:ln w="6350">
                                  <a:solidFill>
                                    <a:prstClr val="black"/>
                                  </a:solidFill>
                                </a:ln>
                              </wps:spPr>
                              <wps:txbx>
                                <w:txbxContent>
                                  <w:p w14:paraId="1F73C334">
                                    <w:pPr>
                                      <w:spacing w:line="240" w:lineRule="auto"/>
                                      <w:ind w:firstLine="0" w:firstLineChars="0"/>
                                      <w:jc w:val="center"/>
                                    </w:pPr>
                                    <w:r>
                                      <w:rPr>
                                        <w:rFonts w:hint="eastAsia"/>
                                        <w:sz w:val="21"/>
                                        <w:szCs w:val="21"/>
                                      </w:rPr>
                                      <w:t>场地平整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 name="直接箭头连接符 51"/>
                              <wps:cNvCnPr/>
                              <wps:spPr>
                                <a:xfrm flipV="1">
                                  <a:off x="856085" y="151067"/>
                                  <a:ext cx="446021" cy="2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 name="文本框 52"/>
                              <wps:cNvSpPr txBox="1"/>
                              <wps:spPr>
                                <a:xfrm>
                                  <a:off x="3257127" y="372"/>
                                  <a:ext cx="759125" cy="301924"/>
                                </a:xfrm>
                                <a:prstGeom prst="rect">
                                  <a:avLst/>
                                </a:prstGeom>
                                <a:solidFill>
                                  <a:schemeClr val="lt1"/>
                                </a:solidFill>
                                <a:ln w="6350">
                                  <a:solidFill>
                                    <a:prstClr val="black"/>
                                  </a:solidFill>
                                </a:ln>
                              </wps:spPr>
                              <wps:txbx>
                                <w:txbxContent>
                                  <w:p w14:paraId="228BE3C7">
                                    <w:pPr>
                                      <w:spacing w:line="240" w:lineRule="auto"/>
                                      <w:ind w:firstLine="0" w:firstLineChars="0"/>
                                      <w:jc w:val="center"/>
                                      <w:rPr>
                                        <w:sz w:val="21"/>
                                        <w:szCs w:val="21"/>
                                      </w:rPr>
                                    </w:pPr>
                                    <w:r>
                                      <w:rPr>
                                        <w:rFonts w:hint="eastAsia"/>
                                        <w:sz w:val="21"/>
                                        <w:szCs w:val="21"/>
                                      </w:rPr>
                                      <w:t>设备安装</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 name="文本框 53"/>
                              <wps:cNvSpPr txBox="1"/>
                              <wps:spPr>
                                <a:xfrm>
                                  <a:off x="4376351" y="372"/>
                                  <a:ext cx="759125" cy="301924"/>
                                </a:xfrm>
                                <a:prstGeom prst="rect">
                                  <a:avLst/>
                                </a:prstGeom>
                                <a:solidFill>
                                  <a:schemeClr val="lt1"/>
                                </a:solidFill>
                                <a:ln w="6350">
                                  <a:solidFill>
                                    <a:prstClr val="black"/>
                                  </a:solidFill>
                                </a:ln>
                              </wps:spPr>
                              <wps:txbx>
                                <w:txbxContent>
                                  <w:p w14:paraId="115E8E59">
                                    <w:pPr>
                                      <w:spacing w:line="240" w:lineRule="auto"/>
                                      <w:ind w:firstLine="0" w:firstLineChars="0"/>
                                      <w:jc w:val="center"/>
                                      <w:rPr>
                                        <w:sz w:val="21"/>
                                        <w:szCs w:val="21"/>
                                      </w:rPr>
                                    </w:pPr>
                                    <w:r>
                                      <w:rPr>
                                        <w:rFonts w:hint="eastAsia"/>
                                        <w:sz w:val="21"/>
                                        <w:szCs w:val="21"/>
                                      </w:rPr>
                                      <w:t>场地清理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 name="文本框 54"/>
                              <wps:cNvSpPr txBox="1"/>
                              <wps:spPr>
                                <a:xfrm>
                                  <a:off x="1302106" y="124"/>
                                  <a:ext cx="1528877" cy="301924"/>
                                </a:xfrm>
                                <a:prstGeom prst="rect">
                                  <a:avLst/>
                                </a:prstGeom>
                                <a:solidFill>
                                  <a:schemeClr val="lt1"/>
                                </a:solidFill>
                                <a:ln w="6350">
                                  <a:solidFill>
                                    <a:prstClr val="black"/>
                                  </a:solidFill>
                                </a:ln>
                              </wps:spPr>
                              <wps:txbx>
                                <w:txbxContent>
                                  <w:p w14:paraId="355B1640">
                                    <w:pPr>
                                      <w:spacing w:line="240" w:lineRule="auto"/>
                                      <w:ind w:firstLine="0" w:firstLineChars="0"/>
                                      <w:jc w:val="center"/>
                                    </w:pPr>
                                    <w:r>
                                      <w:rPr>
                                        <w:rFonts w:hint="eastAsia"/>
                                        <w:sz w:val="21"/>
                                        <w:szCs w:val="21"/>
                                      </w:rPr>
                                      <w:t>生</w:t>
                                    </w:r>
                                    <w:r>
                                      <w:rPr>
                                        <w:sz w:val="21"/>
                                        <w:szCs w:val="21"/>
                                      </w:rPr>
                                      <w:t>产</w:t>
                                    </w:r>
                                    <w:r>
                                      <w:rPr>
                                        <w:rFonts w:hint="eastAsia"/>
                                        <w:sz w:val="21"/>
                                        <w:szCs w:val="21"/>
                                      </w:rPr>
                                      <w:t>区</w:t>
                                    </w:r>
                                    <w:r>
                                      <w:rPr>
                                        <w:rFonts w:hint="eastAsia"/>
                                      </w:rPr>
                                      <w:t>建设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 name="直接箭头连接符 55"/>
                              <wps:cNvCnPr/>
                              <wps:spPr>
                                <a:xfrm>
                                  <a:off x="2830983" y="151067"/>
                                  <a:ext cx="426144" cy="2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6" name="直接箭头连接符 56"/>
                              <wps:cNvCnPr/>
                              <wps:spPr>
                                <a:xfrm>
                                  <a:off x="4016252" y="151334"/>
                                  <a:ext cx="36009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文本框 57"/>
                              <wps:cNvSpPr txBox="1"/>
                              <wps:spPr>
                                <a:xfrm>
                                  <a:off x="96960" y="716359"/>
                                  <a:ext cx="5038516" cy="301924"/>
                                </a:xfrm>
                                <a:prstGeom prst="rect">
                                  <a:avLst/>
                                </a:prstGeom>
                                <a:solidFill>
                                  <a:schemeClr val="lt1"/>
                                </a:solidFill>
                                <a:ln w="6350">
                                  <a:solidFill>
                                    <a:prstClr val="black"/>
                                  </a:solidFill>
                                  <a:prstDash val="dash"/>
                                </a:ln>
                              </wps:spPr>
                              <wps:txbx>
                                <w:txbxContent>
                                  <w:p w14:paraId="54A89810">
                                    <w:pPr>
                                      <w:spacing w:line="240" w:lineRule="auto"/>
                                      <w:ind w:firstLine="0" w:firstLineChars="0"/>
                                      <w:jc w:val="center"/>
                                      <w:rPr>
                                        <w:sz w:val="21"/>
                                        <w:szCs w:val="21"/>
                                      </w:rPr>
                                    </w:pPr>
                                    <w:r>
                                      <w:rPr>
                                        <w:rFonts w:hint="eastAsia"/>
                                        <w:sz w:val="21"/>
                                        <w:szCs w:val="21"/>
                                      </w:rPr>
                                      <w:t>废气、</w:t>
                                    </w:r>
                                    <w:r>
                                      <w:rPr>
                                        <w:sz w:val="21"/>
                                        <w:szCs w:val="21"/>
                                      </w:rPr>
                                      <w:t>噪声</w:t>
                                    </w:r>
                                    <w:r>
                                      <w:rPr>
                                        <w:rFonts w:hint="eastAsia"/>
                                        <w:sz w:val="21"/>
                                        <w:szCs w:val="21"/>
                                      </w:rPr>
                                      <w:t>、</w:t>
                                    </w:r>
                                    <w:r>
                                      <w:rPr>
                                        <w:sz w:val="21"/>
                                        <w:szCs w:val="21"/>
                                      </w:rPr>
                                      <w:t>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 name="直接箭头连接符 58"/>
                              <wps:cNvCnPr/>
                              <wps:spPr>
                                <a:xfrm>
                                  <a:off x="476523" y="302158"/>
                                  <a:ext cx="0" cy="42204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59" name="直接箭头连接符 59"/>
                              <wps:cNvCnPr/>
                              <wps:spPr>
                                <a:xfrm>
                                  <a:off x="2093182" y="302158"/>
                                  <a:ext cx="0" cy="42204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60" name="直接箭头连接符 60"/>
                              <wps:cNvCnPr/>
                              <wps:spPr>
                                <a:xfrm>
                                  <a:off x="3651319" y="302158"/>
                                  <a:ext cx="0" cy="42204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61" name="直接箭头连接符 61"/>
                              <wps:cNvCnPr/>
                              <wps:spPr>
                                <a:xfrm>
                                  <a:off x="4785175" y="302158"/>
                                  <a:ext cx="0" cy="42204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_x0000_s1026" o:spid="_x0000_s1026" o:spt="203" style="height:82.95pt;width:415.3pt;" coordsize="5274310,1053465" editas="canvas" o:gfxdata="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">
                      <o:lock v:ext="edit" aspectratio="f"/>
                      <v:shape id="_x0000_s1026" o:spid="_x0000_s1026" style="position:absolute;left:0;top:0;height:1053465;width:5274310;" filled="f" stroked="f" coordsize="21600,21600" o:gfxdata="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h5stO9cAAAAFAQAADwAAAAAAAAABACAAAAAiAAAAZHJzL2Rvd25y&#10;ZXYueG1sUEsBAhQAFAAAAAgAh07iQCZTRbirBAAASh8AAA4AAAAAAAAAAQAgAAAAJgEAAGRycy9l&#10;Mm9Eb2MueG1sUEsFBgAAAAAGAAYAWQEAAEMIAAAAAA==&#10;">
                        <v:fill on="f" focussize="0,0"/>
                        <v:stroke on="f"/>
                        <v:imagedata o:title=""/>
                        <o:lock v:ext="edit" aspectratio="t"/>
                      </v:shape>
                      <v:shape id="_x0000_s1026" o:spid="_x0000_s1026" o:spt="202" type="#_x0000_t202" style="position:absolute;left:96960;top:372;height:301924;width:759125;" fillcolor="#FFFFFF [3201]" filled="t" stroked="t" coordsize="21600,21600" o:gfxdata="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8yMBo9MA&#10;AAAFAQAADwAAAAAAAAABACAAAAAiAAAAZHJzL2Rvd25yZXYueG1sUEsBAhQAFAAAAAgAh07iQBG7&#10;44tdAgAAvgQAAA4AAAAAAAAAAQAgAAAAIgEAAGRycy9lMm9Eb2MueG1sUEsFBgAAAAAGAAYAWQEA&#10;APEFAAAAAA==&#10;">
                        <v:fill on="t" focussize="0,0"/>
                        <v:stroke weight="0.5pt" color="#000000" joinstyle="round"/>
                        <v:imagedata o:title=""/>
                        <o:lock v:ext="edit" aspectratio="f"/>
                        <v:textbox>
                          <w:txbxContent>
                            <w:p w14:paraId="1F73C334">
                              <w:pPr>
                                <w:spacing w:line="240" w:lineRule="auto"/>
                                <w:ind w:firstLine="0" w:firstLineChars="0"/>
                                <w:jc w:val="center"/>
                              </w:pPr>
                              <w:r>
                                <w:rPr>
                                  <w:rFonts w:hint="eastAsia"/>
                                  <w:sz w:val="21"/>
                                  <w:szCs w:val="21"/>
                                </w:rPr>
                                <w:t>场地平整</w:t>
                              </w:r>
                            </w:p>
                          </w:txbxContent>
                        </v:textbox>
                      </v:shape>
                      <v:shape id="_x0000_s1026" o:spid="_x0000_s1026" o:spt="32" type="#_x0000_t32" style="position:absolute;left:856085;top:151067;flip:y;height:267;width:446021;" filled="f" stroked="t" coordsize="21600,21600" o:gfxdata="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bX0tUAAAAFAQAADwAA&#10;AAAAAAABACAAAAAiAAAAZHJzL2Rvd25yZXYueG1sUEsBAhQAFAAAAAgAh07iQF/uDKcZAgAA+AMA&#10;AA4AAAAAAAAAAQAgAAAAJAEAAGRycy9lMm9Eb2MueG1sUEsFBgAAAAAGAAYAWQEAAK8FAAAAAA==&#10;">
                        <v:fill on="f" focussize="0,0"/>
                        <v:stroke weight="0.5pt" color="#000000 [3200]" miterlimit="8" joinstyle="miter" endarrow="block"/>
                        <v:imagedata o:title=""/>
                        <o:lock v:ext="edit" aspectratio="f"/>
                      </v:shape>
                      <v:shape id="_x0000_s1026" o:spid="_x0000_s1026" o:spt="202" type="#_x0000_t202" style="position:absolute;left:3257127;top:372;height:301924;width:759125;" fillcolor="#FFFFFF [3201]" filled="t" stroked="t" coordsize="21600,21600" o:gfxdata="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Mj&#10;AaPTAAAABQEAAA8AAAAAAAAAAQAgAAAAIgAAAGRycy9kb3ducmV2LnhtbFBLAQIUABQAAAAIAIdO&#10;4kCIqB1gYQIAAMAEAAAOAAAAAAAAAAEAIAAAACIBAABkcnMvZTJvRG9jLnhtbFBLBQYAAAAABgAG&#10;AFkBAAD1BQAAAAA=&#10;">
                        <v:fill on="t" focussize="0,0"/>
                        <v:stroke weight="0.5pt" color="#000000" joinstyle="round"/>
                        <v:imagedata o:title=""/>
                        <o:lock v:ext="edit" aspectratio="f"/>
                        <v:textbox>
                          <w:txbxContent>
                            <w:p w14:paraId="228BE3C7">
                              <w:pPr>
                                <w:spacing w:line="240" w:lineRule="auto"/>
                                <w:ind w:firstLine="0" w:firstLineChars="0"/>
                                <w:jc w:val="center"/>
                                <w:rPr>
                                  <w:sz w:val="21"/>
                                  <w:szCs w:val="21"/>
                                </w:rPr>
                              </w:pPr>
                              <w:r>
                                <w:rPr>
                                  <w:rFonts w:hint="eastAsia"/>
                                  <w:sz w:val="21"/>
                                  <w:szCs w:val="21"/>
                                </w:rPr>
                                <w:t>设备安装</w:t>
                              </w:r>
                            </w:p>
                          </w:txbxContent>
                        </v:textbox>
                      </v:shape>
                      <v:shape id="_x0000_s1026" o:spid="_x0000_s1026" o:spt="202" type="#_x0000_t202" style="position:absolute;left:4376351;top:372;height:301924;width:759125;" fillcolor="#FFFFFF [3201]" filled="t" stroked="t" coordsize="21600,21600" o:gfxdata="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yMB&#10;o9MAAAAFAQAADwAAAAAAAAABACAAAAAiAAAAZHJzL2Rvd25yZXYueG1sUEsBAhQAFAAAAAgAh07i&#10;QObqWZhgAgAAwAQAAA4AAAAAAAAAAQAgAAAAIgEAAGRycy9lMm9Eb2MueG1sUEsFBgAAAAAGAAYA&#10;WQEAAPQFAAAAAA==&#10;">
                        <v:fill on="t" focussize="0,0"/>
                        <v:stroke weight="0.5pt" color="#000000" joinstyle="round"/>
                        <v:imagedata o:title=""/>
                        <o:lock v:ext="edit" aspectratio="f"/>
                        <v:textbox>
                          <w:txbxContent>
                            <w:p w14:paraId="115E8E59">
                              <w:pPr>
                                <w:spacing w:line="240" w:lineRule="auto"/>
                                <w:ind w:firstLine="0" w:firstLineChars="0"/>
                                <w:jc w:val="center"/>
                                <w:rPr>
                                  <w:sz w:val="21"/>
                                  <w:szCs w:val="21"/>
                                </w:rPr>
                              </w:pPr>
                              <w:r>
                                <w:rPr>
                                  <w:rFonts w:hint="eastAsia"/>
                                  <w:sz w:val="21"/>
                                  <w:szCs w:val="21"/>
                                </w:rPr>
                                <w:t>场地清理</w:t>
                              </w:r>
                            </w:p>
                          </w:txbxContent>
                        </v:textbox>
                      </v:shape>
                      <v:shape id="_x0000_s1026" o:spid="_x0000_s1026" o:spt="202" type="#_x0000_t202" style="position:absolute;left:1302106;top:124;height:301924;width:1528877;" fillcolor="#FFFFFF [3201]" filled="t" stroked="t" coordsize="21600,21600" o:gfxdata="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Mj&#10;AaPTAAAABQEAAA8AAAAAAAAAAQAgAAAAIgAAAGRycy9kb3ducmV2LnhtbFBLAQIUABQAAAAIAIdO&#10;4kAWgRnhYQIAAMEEAAAOAAAAAAAAAAEAIAAAACIBAABkcnMvZTJvRG9jLnhtbFBLBQYAAAAABgAG&#10;AFkBAAD1BQAAAAA=&#10;">
                        <v:fill on="t" focussize="0,0"/>
                        <v:stroke weight="0.5pt" color="#000000" joinstyle="round"/>
                        <v:imagedata o:title=""/>
                        <o:lock v:ext="edit" aspectratio="f"/>
                        <v:textbox>
                          <w:txbxContent>
                            <w:p w14:paraId="355B1640">
                              <w:pPr>
                                <w:spacing w:line="240" w:lineRule="auto"/>
                                <w:ind w:firstLine="0" w:firstLineChars="0"/>
                                <w:jc w:val="center"/>
                              </w:pPr>
                              <w:r>
                                <w:rPr>
                                  <w:rFonts w:hint="eastAsia"/>
                                  <w:sz w:val="21"/>
                                  <w:szCs w:val="21"/>
                                </w:rPr>
                                <w:t>生</w:t>
                              </w:r>
                              <w:r>
                                <w:rPr>
                                  <w:sz w:val="21"/>
                                  <w:szCs w:val="21"/>
                                </w:rPr>
                                <w:t>产</w:t>
                              </w:r>
                              <w:r>
                                <w:rPr>
                                  <w:rFonts w:hint="eastAsia"/>
                                  <w:sz w:val="21"/>
                                  <w:szCs w:val="21"/>
                                </w:rPr>
                                <w:t>区</w:t>
                              </w:r>
                              <w:r>
                                <w:rPr>
                                  <w:rFonts w:hint="eastAsia"/>
                                </w:rPr>
                                <w:t>建设</w:t>
                              </w:r>
                            </w:p>
                          </w:txbxContent>
                        </v:textbox>
                      </v:shape>
                      <v:shape id="_x0000_s1026" o:spid="_x0000_s1026" o:spt="32" type="#_x0000_t32" style="position:absolute;left:2830983;top:151067;height:267;width:426144;" filled="f" stroked="t" coordsize="21600,21600" o:gfxdata="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KIOydMAAAAFAQAADwAAAAAAAAAB&#10;ACAAAAAiAAAAZHJzL2Rvd25yZXYueG1sUEsBAhQAFAAAAAgAh07iQOg9nz4VAgAA7wMAAA4AAAAA&#10;AAAAAQAgAAAAIgEAAGRycy9lMm9Eb2MueG1sUEsFBgAAAAAGAAYAWQEAAKkFAAAAAA==&#10;">
                        <v:fill on="f" focussize="0,0"/>
                        <v:stroke weight="0.5pt" color="#000000 [3200]" miterlimit="8" joinstyle="miter" endarrow="block"/>
                        <v:imagedata o:title=""/>
                        <o:lock v:ext="edit" aspectratio="f"/>
                      </v:shape>
                      <v:shape id="_x0000_s1026" o:spid="_x0000_s1026" o:spt="32" type="#_x0000_t32" style="position:absolute;left:4016252;top:151334;height:0;width:360099;" filled="f" stroked="t" coordsize="21600,21600" o:gfxdata="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og7J0wAAAAUBAAAPAAAAAAAAAAEA&#10;IAAAACIAAABkcnMvZG93bnJldi54bWxQSwECFAAUAAAACACHTuJA0aJgnxQCAADtAwAADgAAAAAA&#10;AAABACAAAAAiAQAAZHJzL2Uyb0RvYy54bWxQSwUGAAAAAAYABgBZAQAAqAUAAAAA&#10;">
                        <v:fill on="f" focussize="0,0"/>
                        <v:stroke weight="0.5pt" color="#000000 [3200]" miterlimit="8" joinstyle="miter" endarrow="block"/>
                        <v:imagedata o:title=""/>
                        <o:lock v:ext="edit" aspectratio="f"/>
                      </v:shape>
                      <v:shape id="_x0000_s1026" o:spid="_x0000_s1026" o:spt="202" type="#_x0000_t202" style="position:absolute;left:96960;top:716359;height:301924;width:5038516;" fillcolor="#FFFFFF [3201]" filled="t" stroked="t" coordsize="21600,21600" o:gfxdata="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La+D7NMAAAAFAQAADwAAAAAAAAABACAAAAAiAAAAZHJzL2Rvd25yZXYueG1sUEsB&#10;AhQAFAAAAAgAh07iQFJWRtJsAgAA2gQAAA4AAAAAAAAAAQAgAAAAIgEAAGRycy9lMm9Eb2MueG1s&#10;UEsFBgAAAAAGAAYAWQEAAAAGAAAAAA==&#10;">
                        <v:fill on="t" focussize="0,0"/>
                        <v:stroke weight="0.5pt" color="#000000" joinstyle="round" dashstyle="dash"/>
                        <v:imagedata o:title=""/>
                        <o:lock v:ext="edit" aspectratio="f"/>
                        <v:textbox>
                          <w:txbxContent>
                            <w:p w14:paraId="54A89810">
                              <w:pPr>
                                <w:spacing w:line="240" w:lineRule="auto"/>
                                <w:ind w:firstLine="0" w:firstLineChars="0"/>
                                <w:jc w:val="center"/>
                                <w:rPr>
                                  <w:sz w:val="21"/>
                                  <w:szCs w:val="21"/>
                                </w:rPr>
                              </w:pPr>
                              <w:r>
                                <w:rPr>
                                  <w:rFonts w:hint="eastAsia"/>
                                  <w:sz w:val="21"/>
                                  <w:szCs w:val="21"/>
                                </w:rPr>
                                <w:t>废气、</w:t>
                              </w:r>
                              <w:r>
                                <w:rPr>
                                  <w:sz w:val="21"/>
                                  <w:szCs w:val="21"/>
                                </w:rPr>
                                <w:t>噪声</w:t>
                              </w:r>
                              <w:r>
                                <w:rPr>
                                  <w:rFonts w:hint="eastAsia"/>
                                  <w:sz w:val="21"/>
                                  <w:szCs w:val="21"/>
                                </w:rPr>
                                <w:t>、</w:t>
                              </w:r>
                              <w:r>
                                <w:rPr>
                                  <w:sz w:val="21"/>
                                  <w:szCs w:val="21"/>
                                </w:rPr>
                                <w:t>固废</w:t>
                              </w:r>
                            </w:p>
                          </w:txbxContent>
                        </v:textbox>
                      </v:shape>
                      <v:shape id="_x0000_s1026" o:spid="_x0000_s1026" o:spt="32" type="#_x0000_t32" style="position:absolute;left:476523;top:302158;height:422047;width:0;" filled="f" stroked="t" coordsize="21600,21600" o:gfxdata="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oBsE3UAAAABQEAAA8AAAAAAAAAAQAg&#10;AAAAIgAAAGRycy9kb3ducmV2LnhtbFBLAQIUABQAAAAIAIdO4kA/9lNLEgIAAOsDAAAOAAAAAAAA&#10;AAEAIAAAACMBAABkcnMvZTJvRG9jLnhtbFBLBQYAAAAABgAGAFkBAACnBQAAAAA=&#10;">
                        <v:fill on="f" focussize="0,0"/>
                        <v:stroke weight="0.5pt" color="#000000 [3200]" miterlimit="8" joinstyle="miter" dashstyle="dash" endarrow="block"/>
                        <v:imagedata o:title=""/>
                        <o:lock v:ext="edit" aspectratio="f"/>
                      </v:shape>
                      <v:shape id="_x0000_s1026" o:spid="_x0000_s1026" o:spt="32" type="#_x0000_t32" style="position:absolute;left:2093182;top:302158;height:422047;width:0;" filled="f" stroked="t" coordsize="21600,21600" o:gfxdata="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aAbBN1AAAAAUBAAAPAAAAAAAAAAEA&#10;IAAAACIAAABkcnMvZG93bnJldi54bWxQSwECFAAUAAAACACHTuJAWW8LGhMCAADsAwAADgAAAAAA&#10;AAABACAAAAAjAQAAZHJzL2Uyb0RvYy54bWxQSwUGAAAAAAYABgBZAQAAqAUAAAAA&#10;">
                        <v:fill on="f" focussize="0,0"/>
                        <v:stroke weight="0.5pt" color="#000000 [3200]" miterlimit="8" joinstyle="miter" dashstyle="dash" endarrow="block"/>
                        <v:imagedata o:title=""/>
                        <o:lock v:ext="edit" aspectratio="f"/>
                      </v:shape>
                      <v:shape id="_x0000_s1026" o:spid="_x0000_s1026" o:spt="32" type="#_x0000_t32" style="position:absolute;left:3651319;top:302158;height:422047;width:0;" filled="f" stroked="t" coordsize="21600,21600" o:gfxdata="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AbBN1AAAAAUBAAAPAAAAAAAAAAEAIAAA&#10;ACIAAABkcnMvZG93bnJldi54bWxQSwECFAAUAAAACACHTuJA2r6PBRACAADsAwAADgAAAAAAAAAB&#10;ACAAAAAjAQAAZHJzL2Uyb0RvYy54bWxQSwUGAAAAAAYABgBZAQAApQUAAAAA&#10;">
                        <v:fill on="f" focussize="0,0"/>
                        <v:stroke weight="0.5pt" color="#000000 [3200]" miterlimit="8" joinstyle="miter" dashstyle="dash" endarrow="block"/>
                        <v:imagedata o:title=""/>
                        <o:lock v:ext="edit" aspectratio="f"/>
                      </v:shape>
                      <v:shape id="_x0000_s1026" o:spid="_x0000_s1026" o:spt="32" type="#_x0000_t32" style="position:absolute;left:4785175;top:302158;height:422047;width:0;" filled="f" stroked="t" coordsize="21600,21600" o:gfxdata="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oBsE3UAAAABQEAAA8AAAAAAAAAAQAg&#10;AAAAIgAAAGRycy9kb3ducmV2LnhtbFBLAQIUABQAAAAIAIdO4kAs3uJ/EgIAAOwDAAAOAAAAAAAA&#10;AAEAIAAAACMBAABkcnMvZTJvRG9jLnhtbFBLBQYAAAAABgAGAFkBAACnBQAAAAA=&#10;">
                        <v:fill on="f" focussize="0,0"/>
                        <v:stroke weight="0.5pt" color="#000000 [3200]" miterlimit="8" joinstyle="miter" dashstyle="dash" endarrow="block"/>
                        <v:imagedata o:title=""/>
                        <o:lock v:ext="edit" aspectratio="f"/>
                      </v:shape>
                      <w10:wrap type="none"/>
                      <w10:anchorlock/>
                    </v:group>
                  </w:pict>
                </mc:Fallback>
              </mc:AlternateContent>
            </w:r>
          </w:p>
          <w:p w14:paraId="76710305">
            <w:pPr>
              <w:pStyle w:val="9"/>
              <w:numPr>
                <w:ilvl w:val="6"/>
                <w:numId w:val="0"/>
              </w:numPr>
              <w:ind w:left="0" w:leftChars="0" w:firstLine="480" w:firstLineChars="200"/>
            </w:pPr>
            <w:r>
              <w:rPr>
                <w:rFonts w:hint="default" w:ascii="Times New Roman" w:hAnsi="Times New Roman" w:eastAsia="宋体" w:cs="Times New Roman"/>
                <w:b/>
                <w:i w:val="0"/>
                <w:kern w:val="2"/>
                <w:sz w:val="24"/>
                <w:szCs w:val="24"/>
                <w:shd w:val="clear" w:fill="FFFFFF"/>
                <w:lang w:val="en-US" w:eastAsia="zh-CN" w:bidi="ar-SA"/>
              </w:rPr>
              <w:t>图2-2</w:t>
            </w:r>
            <w:r>
              <w:rPr>
                <w:rFonts w:hint="eastAsia"/>
              </w:rPr>
              <w:t>施工期工艺流程及产污环节图</w:t>
            </w:r>
          </w:p>
          <w:p w14:paraId="688DBDC4">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2.1</w:t>
            </w:r>
            <w:r>
              <w:rPr>
                <w:rFonts w:hint="eastAsia" w:cs="Times New Roman"/>
                <w:b/>
                <w:i w:val="0"/>
                <w:kern w:val="2"/>
                <w:sz w:val="24"/>
                <w:szCs w:val="24"/>
                <w:lang w:val="en-US" w:eastAsia="zh-CN" w:bidi="ar-SA"/>
              </w:rPr>
              <w:t>2</w:t>
            </w:r>
            <w:r>
              <w:rPr>
                <w:rFonts w:hint="default" w:ascii="Times New Roman" w:hAnsi="Times New Roman" w:eastAsia="宋体" w:cs="Times New Roman"/>
                <w:b/>
                <w:i w:val="0"/>
                <w:kern w:val="2"/>
                <w:sz w:val="24"/>
                <w:szCs w:val="24"/>
                <w:lang w:val="en-US" w:eastAsia="zh-CN" w:bidi="ar-SA"/>
              </w:rPr>
              <w:t>、</w:t>
            </w:r>
            <w:r>
              <w:rPr>
                <w:rFonts w:hint="eastAsia"/>
              </w:rPr>
              <w:t>建设项目运营期生产工艺</w:t>
            </w:r>
          </w:p>
          <w:p w14:paraId="20B5F839">
            <w:pPr>
              <w:ind w:firstLine="480"/>
              <w:rPr>
                <w:rFonts w:hint="eastAsia"/>
              </w:rPr>
            </w:pPr>
            <w:r>
              <w:rPr>
                <w:rFonts w:hint="eastAsia"/>
              </w:rPr>
              <w:t>项目运营期工艺流程及主要产污位置见下图。</w:t>
            </w:r>
          </w:p>
          <w:p w14:paraId="0AE6AEF9">
            <w:pPr>
              <w:ind w:firstLine="480"/>
              <w:rPr>
                <w:rFonts w:hint="eastAsia"/>
              </w:rPr>
            </w:pPr>
          </w:p>
          <w:p w14:paraId="68B81B8A">
            <w:pPr>
              <w:ind w:firstLine="480"/>
              <w:rPr>
                <w:rFonts w:hint="eastAsia"/>
              </w:rPr>
            </w:pPr>
          </w:p>
          <w:p w14:paraId="7A0A0B5E">
            <w:pPr>
              <w:ind w:firstLine="480"/>
              <w:rPr>
                <w:rFonts w:hint="eastAsia"/>
              </w:rPr>
            </w:pPr>
          </w:p>
          <w:p w14:paraId="4405D722">
            <w:pPr>
              <w:ind w:firstLine="480"/>
              <w:rPr>
                <w:rFonts w:hint="eastAsia"/>
              </w:rPr>
            </w:pPr>
          </w:p>
          <w:p w14:paraId="7EBDB404">
            <w:pPr>
              <w:ind w:firstLine="480"/>
              <w:rPr>
                <w:rFonts w:hint="eastAsia"/>
              </w:rPr>
            </w:pPr>
          </w:p>
          <w:p w14:paraId="4B636339">
            <w:pPr>
              <w:ind w:firstLine="480"/>
              <w:rPr>
                <w:rFonts w:hint="eastAsia"/>
              </w:rPr>
            </w:pPr>
          </w:p>
          <w:p w14:paraId="34CC9F05">
            <w:pPr>
              <w:ind w:firstLine="480"/>
              <w:rPr>
                <w:rFonts w:hint="eastAsia"/>
              </w:rPr>
            </w:pPr>
          </w:p>
          <w:p w14:paraId="00006B64">
            <w:pPr>
              <w:ind w:firstLine="0" w:firstLineChars="0"/>
              <w:jc w:val="center"/>
              <w:rPr>
                <w:rFonts w:hint="eastAsia" w:eastAsia="宋体"/>
                <w:lang w:eastAsia="zh-CN"/>
              </w:rPr>
            </w:pPr>
            <w:r>
              <w:rPr>
                <w:sz w:val="24"/>
              </w:rPr>
              <mc:AlternateContent>
                <mc:Choice Requires="wps">
                  <w:drawing>
                    <wp:anchor distT="0" distB="0" distL="114300" distR="114300" simplePos="0" relativeHeight="251665408" behindDoc="0" locked="0" layoutInCell="1" allowOverlap="1">
                      <wp:simplePos x="0" y="0"/>
                      <wp:positionH relativeFrom="column">
                        <wp:posOffset>2218055</wp:posOffset>
                      </wp:positionH>
                      <wp:positionV relativeFrom="paragraph">
                        <wp:posOffset>2715895</wp:posOffset>
                      </wp:positionV>
                      <wp:extent cx="4445" cy="259715"/>
                      <wp:effectExtent l="36830" t="0" r="34925" b="6985"/>
                      <wp:wrapNone/>
                      <wp:docPr id="130" name="直接箭头连接符 130"/>
                      <wp:cNvGraphicFramePr/>
                      <a:graphic xmlns:a="http://schemas.openxmlformats.org/drawingml/2006/main">
                        <a:graphicData uri="http://schemas.microsoft.com/office/word/2010/wordprocessingShape">
                          <wps:wsp>
                            <wps:cNvCnPr/>
                            <wps:spPr>
                              <a:xfrm flipH="1">
                                <a:off x="0" y="0"/>
                                <a:ext cx="4445" cy="25971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74.65pt;margin-top:213.85pt;height:20.45pt;width:0.35pt;z-index:251665408;mso-width-relative:page;mso-height-relative:page;" filled="f" stroked="t" coordsize="21600,21600" o:gfxdata="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YR/eXYAAAACwEAAA8AAAAAAAAA&#10;AQAgAAAAIgAAAGRycy9kb3ducmV2LnhtbFBLAQIUABQAAAAIAIdO4kBpQCMqEQIAAPIDAAAOAAAA&#10;AAAAAAEAIAAAACcBAABkcnMvZTJvRG9jLnhtbFBLBQYAAAAABgAGAFkBAACqBQ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2193290</wp:posOffset>
                      </wp:positionH>
                      <wp:positionV relativeFrom="paragraph">
                        <wp:posOffset>2150745</wp:posOffset>
                      </wp:positionV>
                      <wp:extent cx="4445" cy="259715"/>
                      <wp:effectExtent l="36830" t="0" r="34925" b="6985"/>
                      <wp:wrapNone/>
                      <wp:docPr id="30" name="直接箭头连接符 30"/>
                      <wp:cNvGraphicFramePr/>
                      <a:graphic xmlns:a="http://schemas.openxmlformats.org/drawingml/2006/main">
                        <a:graphicData uri="http://schemas.microsoft.com/office/word/2010/wordprocessingShape">
                          <wps:wsp>
                            <wps:cNvCnPr/>
                            <wps:spPr>
                              <a:xfrm flipH="1">
                                <a:off x="0" y="0"/>
                                <a:ext cx="4445" cy="25971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72.7pt;margin-top:169.35pt;height:20.45pt;width:0.35pt;z-index:251664384;mso-width-relative:page;mso-height-relative:page;" filled="f" stroked="t" coordsize="21600,21600" o:gfxdata="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R4S5NcAAAALAQAADwAAAAAAAAAB&#10;ACAAAAAiAAAAZHJzL2Rvd25yZXYueG1sUEsBAhQAFAAAAAgAh07iQGqGQqMRAgAA8AMAAA4AAAAA&#10;AAAAAQAgAAAAJgEAAGRycy9lMm9Eb2MueG1sUEsFBgAAAAAGAAYAWQEAAKkFA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2161540</wp:posOffset>
                      </wp:positionH>
                      <wp:positionV relativeFrom="paragraph">
                        <wp:posOffset>833755</wp:posOffset>
                      </wp:positionV>
                      <wp:extent cx="0" cy="349885"/>
                      <wp:effectExtent l="38100" t="0" r="38100" b="12065"/>
                      <wp:wrapNone/>
                      <wp:docPr id="27" name="直接箭头连接符 27"/>
                      <wp:cNvGraphicFramePr/>
                      <a:graphic xmlns:a="http://schemas.openxmlformats.org/drawingml/2006/main">
                        <a:graphicData uri="http://schemas.microsoft.com/office/word/2010/wordprocessingShape">
                          <wps:wsp>
                            <wps:cNvCnPr/>
                            <wps:spPr>
                              <a:xfrm>
                                <a:off x="4949190" y="1867535"/>
                                <a:ext cx="0" cy="34988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70.2pt;margin-top:65.65pt;height:27.55pt;width:0pt;z-index:251663360;mso-width-relative:page;mso-height-relative:page;" filled="f" stroked="t" coordsize="21600,21600" o:gfxdata="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R3Q21gAAAAsBAAAPAAAAAAAA&#10;AAEAIAAAACIAAABkcnMvZG93bnJldi54bWxQSwECFAAUAAAACACHTuJAghpL8xQCAADvAwAADgAA&#10;AAAAAAABACAAAAAlAQAAZHJzL2Uyb0RvYy54bWxQSwUGAAAAAAYABgBZAQAAqwUAAAAA&#10;">
                      <v:fill on="f" focussize="0,0"/>
                      <v:stroke weight="1pt" color="#000000 [3213]" miterlimit="8" joinstyle="miter" endarrow="block"/>
                      <v:imagedata o:title=""/>
                      <o:lock v:ext="edit" aspectratio="f"/>
                    </v:shape>
                  </w:pict>
                </mc:Fallback>
              </mc:AlternateContent>
            </w:r>
            <w:r>
              <w:rPr>
                <w:sz w:val="24"/>
              </w:rPr>
              <mc:AlternateContent>
                <mc:Choice Requires="wpc">
                  <w:drawing>
                    <wp:inline distT="0" distB="0" distL="114300" distR="114300">
                      <wp:extent cx="5470525" cy="8075295"/>
                      <wp:effectExtent l="0" t="0" r="15875" b="0"/>
                      <wp:docPr id="7" name="画布 7"/>
                      <wp:cNvGraphicFramePr/>
                      <a:graphic xmlns:a="http://schemas.openxmlformats.org/drawingml/2006/main">
                        <a:graphicData uri="http://schemas.microsoft.com/office/word/2010/wordprocessingCanvas">
                          <wpc:wpc>
                            <wpc:bg/>
                            <wpc:whole/>
                            <wps:wsp>
                              <wps:cNvPr id="9" name="文本框 9"/>
                              <wps:cNvSpPr txBox="1"/>
                              <wps:spPr>
                                <a:xfrm>
                                  <a:off x="1800225" y="1746250"/>
                                  <a:ext cx="758825" cy="301625"/>
                                </a:xfrm>
                                <a:prstGeom prst="rect">
                                  <a:avLst/>
                                </a:prstGeom>
                                <a:solidFill>
                                  <a:schemeClr val="lt1"/>
                                </a:solidFill>
                                <a:ln w="6350">
                                  <a:solidFill>
                                    <a:prstClr val="black"/>
                                  </a:solidFill>
                                </a:ln>
                              </wps:spPr>
                              <wps:txbx>
                                <w:txbxContent>
                                  <w:p w14:paraId="18F6CC69">
                                    <w:pPr>
                                      <w:spacing w:line="240" w:lineRule="auto"/>
                                      <w:ind w:firstLine="0" w:firstLineChars="0"/>
                                      <w:jc w:val="center"/>
                                      <w:rPr>
                                        <w:rFonts w:hint="eastAsia" w:eastAsia="宋体"/>
                                        <w:lang w:eastAsia="zh-CN"/>
                                      </w:rPr>
                                    </w:pPr>
                                    <w:r>
                                      <w:rPr>
                                        <w:rFonts w:hint="eastAsia"/>
                                        <w:sz w:val="21"/>
                                        <w:szCs w:val="21"/>
                                        <w:lang w:eastAsia="zh-CN"/>
                                      </w:rPr>
                                      <w:t>冷库储存</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文本框 10"/>
                              <wps:cNvSpPr txBox="1"/>
                              <wps:spPr>
                                <a:xfrm>
                                  <a:off x="1587500" y="1078865"/>
                                  <a:ext cx="1191895" cy="301625"/>
                                </a:xfrm>
                                <a:prstGeom prst="rect">
                                  <a:avLst/>
                                </a:prstGeom>
                                <a:solidFill>
                                  <a:schemeClr val="lt1"/>
                                </a:solidFill>
                                <a:ln w="6350">
                                  <a:solidFill>
                                    <a:prstClr val="black"/>
                                  </a:solidFill>
                                </a:ln>
                              </wps:spPr>
                              <wps:txbx>
                                <w:txbxContent>
                                  <w:p w14:paraId="273C2161">
                                    <w:pPr>
                                      <w:spacing w:line="240" w:lineRule="auto"/>
                                      <w:ind w:firstLine="0" w:firstLineChars="0"/>
                                      <w:jc w:val="center"/>
                                      <w:rPr>
                                        <w:rFonts w:hint="eastAsia" w:eastAsia="宋体"/>
                                        <w:lang w:eastAsia="zh-CN"/>
                                      </w:rPr>
                                    </w:pPr>
                                    <w:r>
                                      <w:rPr>
                                        <w:rFonts w:hint="eastAsia"/>
                                        <w:sz w:val="21"/>
                                        <w:szCs w:val="21"/>
                                        <w:lang w:eastAsia="zh-CN"/>
                                      </w:rPr>
                                      <w:t>运输、记录、消毒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11"/>
                              <wps:cNvSpPr txBox="1"/>
                              <wps:spPr>
                                <a:xfrm>
                                  <a:off x="1830070" y="2878455"/>
                                  <a:ext cx="758825" cy="301625"/>
                                </a:xfrm>
                                <a:prstGeom prst="rect">
                                  <a:avLst/>
                                </a:prstGeom>
                                <a:solidFill>
                                  <a:schemeClr val="lt1"/>
                                </a:solidFill>
                                <a:ln w="6350">
                                  <a:solidFill>
                                    <a:prstClr val="black"/>
                                  </a:solidFill>
                                </a:ln>
                              </wps:spPr>
                              <wps:txbx>
                                <w:txbxContent>
                                  <w:p w14:paraId="1143FED3">
                                    <w:pPr>
                                      <w:spacing w:line="240" w:lineRule="auto"/>
                                      <w:ind w:firstLine="0" w:firstLineChars="0"/>
                                      <w:jc w:val="center"/>
                                      <w:rPr>
                                        <w:rFonts w:hint="eastAsia" w:eastAsia="宋体"/>
                                        <w:lang w:eastAsia="zh-CN"/>
                                      </w:rPr>
                                    </w:pPr>
                                    <w:r>
                                      <w:rPr>
                                        <w:rFonts w:hint="eastAsia"/>
                                        <w:sz w:val="21"/>
                                        <w:szCs w:val="21"/>
                                        <w:lang w:eastAsia="zh-CN"/>
                                      </w:rPr>
                                      <w:t>破碎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文本框 12"/>
                              <wps:cNvSpPr txBox="1"/>
                              <wps:spPr>
                                <a:xfrm>
                                  <a:off x="1813560" y="2310130"/>
                                  <a:ext cx="758825" cy="301625"/>
                                </a:xfrm>
                                <a:prstGeom prst="rect">
                                  <a:avLst/>
                                </a:prstGeom>
                                <a:solidFill>
                                  <a:schemeClr val="lt1"/>
                                </a:solidFill>
                                <a:ln w="6350">
                                  <a:solidFill>
                                    <a:prstClr val="black"/>
                                  </a:solidFill>
                                </a:ln>
                              </wps:spPr>
                              <wps:txbx>
                                <w:txbxContent>
                                  <w:p w14:paraId="486EAFCA">
                                    <w:pPr>
                                      <w:spacing w:line="240" w:lineRule="auto"/>
                                      <w:ind w:firstLine="0" w:firstLineChars="0"/>
                                      <w:jc w:val="center"/>
                                      <w:rPr>
                                        <w:rFonts w:hint="eastAsia" w:eastAsia="宋体"/>
                                        <w:lang w:eastAsia="zh-CN"/>
                                      </w:rPr>
                                    </w:pPr>
                                    <w:r>
                                      <w:rPr>
                                        <w:rFonts w:hint="eastAsia"/>
                                        <w:sz w:val="21"/>
                                        <w:szCs w:val="21"/>
                                        <w:lang w:eastAsia="zh-CN"/>
                                      </w:rPr>
                                      <w:t>尸体投放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文本框 13"/>
                              <wps:cNvSpPr txBox="1"/>
                              <wps:spPr>
                                <a:xfrm>
                                  <a:off x="1852295" y="3439795"/>
                                  <a:ext cx="758825" cy="301625"/>
                                </a:xfrm>
                                <a:prstGeom prst="rect">
                                  <a:avLst/>
                                </a:prstGeom>
                                <a:solidFill>
                                  <a:schemeClr val="lt1"/>
                                </a:solidFill>
                                <a:ln w="6350">
                                  <a:solidFill>
                                    <a:prstClr val="black"/>
                                  </a:solidFill>
                                </a:ln>
                              </wps:spPr>
                              <wps:txbx>
                                <w:txbxContent>
                                  <w:p w14:paraId="405AB084">
                                    <w:pPr>
                                      <w:spacing w:line="240" w:lineRule="auto"/>
                                      <w:ind w:firstLine="0" w:firstLineChars="0"/>
                                      <w:jc w:val="center"/>
                                      <w:rPr>
                                        <w:rFonts w:hint="eastAsia" w:eastAsia="宋体"/>
                                        <w:lang w:eastAsia="zh-CN"/>
                                      </w:rPr>
                                    </w:pPr>
                                    <w:r>
                                      <w:rPr>
                                        <w:rFonts w:hint="eastAsia"/>
                                        <w:sz w:val="21"/>
                                        <w:szCs w:val="21"/>
                                        <w:lang w:eastAsia="zh-CN"/>
                                      </w:rPr>
                                      <w:t>化制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1862455" y="4561205"/>
                                  <a:ext cx="758825" cy="301625"/>
                                </a:xfrm>
                                <a:prstGeom prst="rect">
                                  <a:avLst/>
                                </a:prstGeom>
                                <a:solidFill>
                                  <a:schemeClr val="lt1"/>
                                </a:solidFill>
                                <a:ln w="6350">
                                  <a:solidFill>
                                    <a:prstClr val="black"/>
                                  </a:solidFill>
                                </a:ln>
                              </wps:spPr>
                              <wps:txbx>
                                <w:txbxContent>
                                  <w:p w14:paraId="27DF18D8">
                                    <w:pPr>
                                      <w:spacing w:line="240" w:lineRule="auto"/>
                                      <w:ind w:firstLine="0" w:firstLineChars="0"/>
                                      <w:jc w:val="center"/>
                                      <w:rPr>
                                        <w:rFonts w:hint="eastAsia" w:eastAsia="宋体"/>
                                        <w:lang w:eastAsia="zh-CN"/>
                                      </w:rPr>
                                    </w:pPr>
                                    <w:r>
                                      <w:rPr>
                                        <w:rFonts w:hint="eastAsia"/>
                                        <w:sz w:val="21"/>
                                        <w:szCs w:val="21"/>
                                        <w:lang w:eastAsia="zh-CN"/>
                                      </w:rPr>
                                      <w:t>缓存</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1856105" y="4004310"/>
                                  <a:ext cx="758825" cy="301625"/>
                                </a:xfrm>
                                <a:prstGeom prst="rect">
                                  <a:avLst/>
                                </a:prstGeom>
                                <a:solidFill>
                                  <a:schemeClr val="lt1"/>
                                </a:solidFill>
                                <a:ln w="6350">
                                  <a:solidFill>
                                    <a:prstClr val="black"/>
                                  </a:solidFill>
                                </a:ln>
                              </wps:spPr>
                              <wps:txbx>
                                <w:txbxContent>
                                  <w:p w14:paraId="19E3DDB7">
                                    <w:pPr>
                                      <w:spacing w:line="240" w:lineRule="auto"/>
                                      <w:ind w:firstLine="0" w:firstLineChars="0"/>
                                      <w:jc w:val="center"/>
                                      <w:rPr>
                                        <w:rFonts w:hint="eastAsia" w:eastAsia="宋体"/>
                                        <w:lang w:eastAsia="zh-CN"/>
                                      </w:rPr>
                                    </w:pPr>
                                    <w:r>
                                      <w:rPr>
                                        <w:rFonts w:hint="eastAsia"/>
                                        <w:sz w:val="21"/>
                                        <w:szCs w:val="21"/>
                                        <w:lang w:eastAsia="zh-CN"/>
                                      </w:rPr>
                                      <w:t>烘干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文本框 18"/>
                              <wps:cNvSpPr txBox="1"/>
                              <wps:spPr>
                                <a:xfrm>
                                  <a:off x="1152525" y="507365"/>
                                  <a:ext cx="2065020" cy="287020"/>
                                </a:xfrm>
                                <a:prstGeom prst="rect">
                                  <a:avLst/>
                                </a:prstGeom>
                                <a:noFill/>
                                <a:ln w="6350">
                                  <a:noFill/>
                                </a:ln>
                              </wps:spPr>
                              <wps:txbx>
                                <w:txbxContent>
                                  <w:p w14:paraId="21A896DF">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无害化车辆运输畜禽尸体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1873250" y="73025"/>
                                  <a:ext cx="1619885" cy="287020"/>
                                </a:xfrm>
                                <a:prstGeom prst="rect">
                                  <a:avLst/>
                                </a:prstGeom>
                                <a:noFill/>
                                <a:ln w="6350">
                                  <a:noFill/>
                                </a:ln>
                              </wps:spPr>
                              <wps:txbx>
                                <w:txbxContent>
                                  <w:p w14:paraId="3CED89FD">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导入锅炉末端燃烧</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直接箭头连接符 28"/>
                              <wps:cNvCnPr/>
                              <wps:spPr>
                                <a:xfrm>
                                  <a:off x="2179955" y="1397635"/>
                                  <a:ext cx="0" cy="34988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9" name="文本框 29"/>
                              <wps:cNvSpPr txBox="1"/>
                              <wps:spPr>
                                <a:xfrm>
                                  <a:off x="1492250" y="1333500"/>
                                  <a:ext cx="784860" cy="287020"/>
                                </a:xfrm>
                                <a:prstGeom prst="rect">
                                  <a:avLst/>
                                </a:prstGeom>
                                <a:noFill/>
                                <a:ln w="6350">
                                  <a:noFill/>
                                </a:ln>
                              </wps:spPr>
                              <wps:txbx>
                                <w:txbxContent>
                                  <w:p w14:paraId="6F00F7DD">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畜禽尸体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31"/>
                              <wps:cNvSpPr txBox="1"/>
                              <wps:spPr>
                                <a:xfrm>
                                  <a:off x="1851660" y="5122545"/>
                                  <a:ext cx="758825" cy="301625"/>
                                </a:xfrm>
                                <a:prstGeom prst="rect">
                                  <a:avLst/>
                                </a:prstGeom>
                                <a:solidFill>
                                  <a:schemeClr val="lt1"/>
                                </a:solidFill>
                                <a:ln w="6350">
                                  <a:solidFill>
                                    <a:prstClr val="black"/>
                                  </a:solidFill>
                                </a:ln>
                              </wps:spPr>
                              <wps:txbx>
                                <w:txbxContent>
                                  <w:p w14:paraId="5CA0042F">
                                    <w:pPr>
                                      <w:spacing w:line="240" w:lineRule="auto"/>
                                      <w:ind w:firstLine="0" w:firstLineChars="0"/>
                                      <w:jc w:val="center"/>
                                      <w:rPr>
                                        <w:rFonts w:hint="eastAsia" w:eastAsia="宋体"/>
                                        <w:lang w:eastAsia="zh-CN"/>
                                      </w:rPr>
                                    </w:pPr>
                                    <w:r>
                                      <w:rPr>
                                        <w:rFonts w:hint="eastAsia"/>
                                        <w:sz w:val="21"/>
                                        <w:szCs w:val="21"/>
                                        <w:lang w:eastAsia="zh-CN"/>
                                      </w:rPr>
                                      <w:t>脱脂榨油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文本框 32"/>
                              <wps:cNvSpPr txBox="1"/>
                              <wps:spPr>
                                <a:xfrm>
                                  <a:off x="1090295" y="6858000"/>
                                  <a:ext cx="758825" cy="301625"/>
                                </a:xfrm>
                                <a:prstGeom prst="rect">
                                  <a:avLst/>
                                </a:prstGeom>
                                <a:solidFill>
                                  <a:schemeClr val="lt1"/>
                                </a:solidFill>
                                <a:ln w="6350">
                                  <a:solidFill>
                                    <a:prstClr val="black"/>
                                  </a:solidFill>
                                </a:ln>
                              </wps:spPr>
                              <wps:txbx>
                                <w:txbxContent>
                                  <w:p w14:paraId="0B374D06">
                                    <w:pPr>
                                      <w:spacing w:line="240" w:lineRule="auto"/>
                                      <w:ind w:firstLine="0" w:firstLineChars="0"/>
                                      <w:jc w:val="center"/>
                                      <w:rPr>
                                        <w:rFonts w:hint="eastAsia" w:eastAsia="宋体"/>
                                        <w:lang w:eastAsia="zh-CN"/>
                                      </w:rPr>
                                    </w:pPr>
                                    <w:r>
                                      <w:rPr>
                                        <w:rFonts w:hint="eastAsia"/>
                                        <w:sz w:val="21"/>
                                        <w:szCs w:val="21"/>
                                        <w:lang w:eastAsia="zh-CN"/>
                                      </w:rPr>
                                      <w:t>进储油罐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33"/>
                              <wps:cNvSpPr txBox="1"/>
                              <wps:spPr>
                                <a:xfrm>
                                  <a:off x="1104900" y="6279515"/>
                                  <a:ext cx="758825" cy="301625"/>
                                </a:xfrm>
                                <a:prstGeom prst="rect">
                                  <a:avLst/>
                                </a:prstGeom>
                                <a:solidFill>
                                  <a:schemeClr val="lt1"/>
                                </a:solidFill>
                                <a:ln w="6350">
                                  <a:solidFill>
                                    <a:prstClr val="black"/>
                                  </a:solidFill>
                                </a:ln>
                              </wps:spPr>
                              <wps:txbx>
                                <w:txbxContent>
                                  <w:p w14:paraId="381F34B4">
                                    <w:pPr>
                                      <w:spacing w:line="240" w:lineRule="auto"/>
                                      <w:ind w:firstLine="0" w:firstLineChars="0"/>
                                      <w:jc w:val="center"/>
                                      <w:rPr>
                                        <w:rFonts w:hint="eastAsia" w:eastAsia="宋体"/>
                                        <w:lang w:eastAsia="zh-CN"/>
                                      </w:rPr>
                                    </w:pPr>
                                    <w:r>
                                      <w:rPr>
                                        <w:rFonts w:hint="eastAsia"/>
                                        <w:sz w:val="21"/>
                                        <w:szCs w:val="21"/>
                                        <w:lang w:eastAsia="zh-CN"/>
                                      </w:rPr>
                                      <w:t>油脂净化</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文本框 34"/>
                              <wps:cNvSpPr txBox="1"/>
                              <wps:spPr>
                                <a:xfrm>
                                  <a:off x="2719705" y="6264275"/>
                                  <a:ext cx="758825" cy="301625"/>
                                </a:xfrm>
                                <a:prstGeom prst="rect">
                                  <a:avLst/>
                                </a:prstGeom>
                                <a:solidFill>
                                  <a:schemeClr val="lt1"/>
                                </a:solidFill>
                                <a:ln w="6350">
                                  <a:solidFill>
                                    <a:prstClr val="black"/>
                                  </a:solidFill>
                                </a:ln>
                              </wps:spPr>
                              <wps:txbx>
                                <w:txbxContent>
                                  <w:p w14:paraId="200C574E">
                                    <w:pPr>
                                      <w:spacing w:line="240" w:lineRule="auto"/>
                                      <w:ind w:firstLine="0" w:firstLineChars="0"/>
                                      <w:jc w:val="center"/>
                                      <w:rPr>
                                        <w:rFonts w:hint="eastAsia" w:eastAsia="宋体"/>
                                        <w:lang w:eastAsia="zh-CN"/>
                                      </w:rPr>
                                    </w:pPr>
                                    <w:r>
                                      <w:rPr>
                                        <w:rFonts w:hint="eastAsia"/>
                                        <w:sz w:val="21"/>
                                        <w:szCs w:val="21"/>
                                        <w:lang w:eastAsia="zh-CN"/>
                                      </w:rPr>
                                      <w:t>物料冷却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文本框 35"/>
                              <wps:cNvSpPr txBox="1"/>
                              <wps:spPr>
                                <a:xfrm>
                                  <a:off x="2730500" y="6836410"/>
                                  <a:ext cx="758825" cy="301625"/>
                                </a:xfrm>
                                <a:prstGeom prst="rect">
                                  <a:avLst/>
                                </a:prstGeom>
                                <a:solidFill>
                                  <a:schemeClr val="lt1"/>
                                </a:solidFill>
                                <a:ln w="6350">
                                  <a:solidFill>
                                    <a:prstClr val="black"/>
                                  </a:solidFill>
                                </a:ln>
                              </wps:spPr>
                              <wps:txbx>
                                <w:txbxContent>
                                  <w:p w14:paraId="05389AE8">
                                    <w:pPr>
                                      <w:spacing w:line="240" w:lineRule="auto"/>
                                      <w:ind w:firstLine="0" w:firstLineChars="0"/>
                                      <w:jc w:val="center"/>
                                      <w:rPr>
                                        <w:rFonts w:hint="eastAsia" w:eastAsia="宋体"/>
                                        <w:lang w:eastAsia="zh-CN"/>
                                      </w:rPr>
                                    </w:pPr>
                                    <w:r>
                                      <w:rPr>
                                        <w:rFonts w:hint="eastAsia"/>
                                        <w:sz w:val="21"/>
                                        <w:szCs w:val="21"/>
                                        <w:lang w:eastAsia="zh-CN"/>
                                      </w:rPr>
                                      <w:t>包装入库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1" name="直接箭头连接符 131"/>
                              <wps:cNvCnPr/>
                              <wps:spPr>
                                <a:xfrm flipH="1">
                                  <a:off x="2222500" y="3185160"/>
                                  <a:ext cx="4445" cy="25971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32" name="直接箭头连接符 132"/>
                              <wps:cNvCnPr/>
                              <wps:spPr>
                                <a:xfrm flipH="1">
                                  <a:off x="2233295" y="3746500"/>
                                  <a:ext cx="4445" cy="25971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33" name="文本框 133"/>
                              <wps:cNvSpPr txBox="1"/>
                              <wps:spPr>
                                <a:xfrm>
                                  <a:off x="349250" y="3566795"/>
                                  <a:ext cx="805815" cy="287020"/>
                                </a:xfrm>
                                <a:prstGeom prst="rect">
                                  <a:avLst/>
                                </a:prstGeom>
                                <a:noFill/>
                                <a:ln w="6350">
                                  <a:noFill/>
                                </a:ln>
                              </wps:spPr>
                              <wps:txbx>
                                <w:txbxContent>
                                  <w:p w14:paraId="4863558C">
                                    <w:pPr>
                                      <w:spacing w:line="240" w:lineRule="auto"/>
                                      <w:ind w:firstLine="0" w:firstLineChars="0"/>
                                      <w:jc w:val="center"/>
                                      <w:rPr>
                                        <w:rFonts w:hint="default" w:eastAsia="宋体"/>
                                        <w:sz w:val="21"/>
                                        <w:szCs w:val="21"/>
                                        <w:lang w:val="en-US" w:eastAsia="zh-CN"/>
                                      </w:rPr>
                                    </w:pPr>
                                    <w:r>
                                      <w:rPr>
                                        <w:rFonts w:hint="eastAsia"/>
                                        <w:sz w:val="18"/>
                                        <w:szCs w:val="18"/>
                                        <w:lang w:val="en-US" w:eastAsia="zh-CN"/>
                                      </w:rPr>
                                      <w:t>生物质锅炉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5" name="文本框 135"/>
                              <wps:cNvSpPr txBox="1"/>
                              <wps:spPr>
                                <a:xfrm>
                                  <a:off x="464820" y="3026410"/>
                                  <a:ext cx="584200" cy="287020"/>
                                </a:xfrm>
                                <a:prstGeom prst="rect">
                                  <a:avLst/>
                                </a:prstGeom>
                                <a:noFill/>
                                <a:ln w="6350">
                                  <a:noFill/>
                                </a:ln>
                              </wps:spPr>
                              <wps:txbx>
                                <w:txbxContent>
                                  <w:p w14:paraId="094A6265">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G1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6" name="文本框 136"/>
                              <wps:cNvSpPr txBox="1"/>
                              <wps:spPr>
                                <a:xfrm>
                                  <a:off x="391160" y="2212975"/>
                                  <a:ext cx="805815" cy="508000"/>
                                </a:xfrm>
                                <a:prstGeom prst="rect">
                                  <a:avLst/>
                                </a:prstGeom>
                                <a:noFill/>
                                <a:ln w="6350">
                                  <a:noFill/>
                                </a:ln>
                              </wps:spPr>
                              <wps:txbx>
                                <w:txbxContent>
                                  <w:p w14:paraId="1E28FD90">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排气筒DA001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直接箭头连接符 137"/>
                              <wps:cNvCnPr/>
                              <wps:spPr>
                                <a:xfrm flipH="1">
                                  <a:off x="2233295" y="4307205"/>
                                  <a:ext cx="4445" cy="25971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38" name="直接箭头连接符 138"/>
                              <wps:cNvCnPr/>
                              <wps:spPr>
                                <a:xfrm flipH="1">
                                  <a:off x="2232025" y="4878705"/>
                                  <a:ext cx="4445" cy="25971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39" name="肘形连接符 139"/>
                              <wps:cNvCnPr>
                                <a:stCxn id="133" idx="3"/>
                                <a:endCxn id="13" idx="1"/>
                              </wps:cNvCnPr>
                              <wps:spPr>
                                <a:xfrm flipV="1">
                                  <a:off x="1155065" y="3590925"/>
                                  <a:ext cx="697230" cy="119380"/>
                                </a:xfrm>
                                <a:prstGeom prst="bentConnector3">
                                  <a:avLst>
                                    <a:gd name="adj1" fmla="val 57559"/>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40" name="肘形连接符 140"/>
                              <wps:cNvCnPr>
                                <a:stCxn id="133" idx="3"/>
                                <a:endCxn id="15" idx="1"/>
                              </wps:cNvCnPr>
                              <wps:spPr>
                                <a:xfrm>
                                  <a:off x="1155065" y="3710305"/>
                                  <a:ext cx="701040" cy="445135"/>
                                </a:xfrm>
                                <a:prstGeom prst="bentConnector3">
                                  <a:avLst>
                                    <a:gd name="adj1" fmla="val 57518"/>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41" name="文本框 141"/>
                              <wps:cNvSpPr txBox="1"/>
                              <wps:spPr>
                                <a:xfrm>
                                  <a:off x="1005205" y="3459480"/>
                                  <a:ext cx="603885" cy="287020"/>
                                </a:xfrm>
                                <a:prstGeom prst="rect">
                                  <a:avLst/>
                                </a:prstGeom>
                                <a:noFill/>
                                <a:ln w="6350">
                                  <a:noFill/>
                                </a:ln>
                              </wps:spPr>
                              <wps:txbx>
                                <w:txbxContent>
                                  <w:p w14:paraId="40AAA14D">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水蒸气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2" name="文本框 142"/>
                              <wps:cNvSpPr txBox="1"/>
                              <wps:spPr>
                                <a:xfrm>
                                  <a:off x="3343910" y="3703955"/>
                                  <a:ext cx="887730" cy="301625"/>
                                </a:xfrm>
                                <a:prstGeom prst="rect">
                                  <a:avLst/>
                                </a:prstGeom>
                                <a:solidFill>
                                  <a:schemeClr val="lt1"/>
                                </a:solidFill>
                                <a:ln w="6350">
                                  <a:solidFill>
                                    <a:prstClr val="black"/>
                                  </a:solidFill>
                                </a:ln>
                              </wps:spPr>
                              <wps:txbx>
                                <w:txbxContent>
                                  <w:p w14:paraId="2F6A786C">
                                    <w:pPr>
                                      <w:spacing w:line="240" w:lineRule="auto"/>
                                      <w:ind w:firstLine="0" w:firstLineChars="0"/>
                                      <w:jc w:val="center"/>
                                      <w:rPr>
                                        <w:rFonts w:hint="eastAsia" w:eastAsia="宋体"/>
                                        <w:sz w:val="21"/>
                                        <w:szCs w:val="21"/>
                                        <w:lang w:eastAsia="zh-CN"/>
                                      </w:rPr>
                                    </w:pPr>
                                    <w:r>
                                      <w:rPr>
                                        <w:rFonts w:hint="eastAsia"/>
                                        <w:sz w:val="21"/>
                                        <w:szCs w:val="21"/>
                                        <w:lang w:eastAsia="zh-CN"/>
                                      </w:rPr>
                                      <w:t>冷凝器冷凝</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3" name="肘形连接符 143"/>
                              <wps:cNvCnPr>
                                <a:stCxn id="13" idx="3"/>
                                <a:endCxn id="142" idx="1"/>
                              </wps:cNvCnPr>
                              <wps:spPr>
                                <a:xfrm>
                                  <a:off x="2611120" y="3590925"/>
                                  <a:ext cx="732790" cy="264160"/>
                                </a:xfrm>
                                <a:prstGeom prst="bentConnector3">
                                  <a:avLst>
                                    <a:gd name="adj1" fmla="val 35615"/>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44" name="肘形连接符 144"/>
                              <wps:cNvCnPr>
                                <a:stCxn id="15" idx="3"/>
                                <a:endCxn id="142" idx="1"/>
                              </wps:cNvCnPr>
                              <wps:spPr>
                                <a:xfrm flipV="1">
                                  <a:off x="2614930" y="3855085"/>
                                  <a:ext cx="728980" cy="300355"/>
                                </a:xfrm>
                                <a:prstGeom prst="bentConnector3">
                                  <a:avLst>
                                    <a:gd name="adj1" fmla="val 35452"/>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45" name="文本框 145"/>
                              <wps:cNvSpPr txBox="1"/>
                              <wps:spPr>
                                <a:xfrm>
                                  <a:off x="2825750" y="3587115"/>
                                  <a:ext cx="603885" cy="287020"/>
                                </a:xfrm>
                                <a:prstGeom prst="rect">
                                  <a:avLst/>
                                </a:prstGeom>
                                <a:noFill/>
                                <a:ln w="6350">
                                  <a:noFill/>
                                </a:ln>
                              </wps:spPr>
                              <wps:txbx>
                                <w:txbxContent>
                                  <w:p w14:paraId="66DDC4CB">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污蒸气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6" name="肘形连接符 146"/>
                              <wps:cNvCnPr>
                                <a:stCxn id="142" idx="3"/>
                                <a:endCxn id="133" idx="1"/>
                              </wps:cNvCnPr>
                              <wps:spPr>
                                <a:xfrm flipH="1" flipV="1">
                                  <a:off x="349250" y="3710305"/>
                                  <a:ext cx="3882390" cy="144780"/>
                                </a:xfrm>
                                <a:prstGeom prst="bentConnector5">
                                  <a:avLst>
                                    <a:gd name="adj1" fmla="val -29031"/>
                                    <a:gd name="adj2" fmla="val 2454385"/>
                                    <a:gd name="adj3" fmla="val 106133"/>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47" name="文本框 147"/>
                              <wps:cNvSpPr txBox="1"/>
                              <wps:spPr>
                                <a:xfrm>
                                  <a:off x="4539615" y="3587115"/>
                                  <a:ext cx="603885" cy="287020"/>
                                </a:xfrm>
                                <a:prstGeom prst="rect">
                                  <a:avLst/>
                                </a:prstGeom>
                                <a:noFill/>
                                <a:ln w="6350">
                                  <a:noFill/>
                                </a:ln>
                              </wps:spPr>
                              <wps:txbx>
                                <w:txbxContent>
                                  <w:p w14:paraId="6BCDEBD8">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不凝气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8" name="文本框 148"/>
                              <wps:cNvSpPr txBox="1"/>
                              <wps:spPr>
                                <a:xfrm>
                                  <a:off x="4254500" y="3841115"/>
                                  <a:ext cx="1205865" cy="287020"/>
                                </a:xfrm>
                                <a:prstGeom prst="rect">
                                  <a:avLst/>
                                </a:prstGeom>
                                <a:noFill/>
                                <a:ln w="6350">
                                  <a:noFill/>
                                </a:ln>
                              </wps:spPr>
                              <wps:txbx>
                                <w:txbxContent>
                                  <w:p w14:paraId="3996BB00">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（密闭管道收集）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1" name="直接箭头连接符 151"/>
                              <wps:cNvCnPr/>
                              <wps:spPr>
                                <a:xfrm flipV="1">
                                  <a:off x="741045" y="3260090"/>
                                  <a:ext cx="10160" cy="35941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2" name="直接箭头连接符 152"/>
                              <wps:cNvCnPr/>
                              <wps:spPr>
                                <a:xfrm flipV="1">
                                  <a:off x="751205" y="2740660"/>
                                  <a:ext cx="10160" cy="35941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3" name="文本框 153"/>
                              <wps:cNvSpPr txBox="1"/>
                              <wps:spPr>
                                <a:xfrm>
                                  <a:off x="1163320" y="5746115"/>
                                  <a:ext cx="615315" cy="287020"/>
                                </a:xfrm>
                                <a:prstGeom prst="rect">
                                  <a:avLst/>
                                </a:prstGeom>
                                <a:noFill/>
                                <a:ln w="6350">
                                  <a:noFill/>
                                </a:ln>
                              </wps:spPr>
                              <wps:txbx>
                                <w:txbxContent>
                                  <w:p w14:paraId="0F062C57">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油脂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4" name="文本框 154"/>
                              <wps:cNvSpPr txBox="1"/>
                              <wps:spPr>
                                <a:xfrm>
                                  <a:off x="2762250" y="5736590"/>
                                  <a:ext cx="615315" cy="287020"/>
                                </a:xfrm>
                                <a:prstGeom prst="rect">
                                  <a:avLst/>
                                </a:prstGeom>
                                <a:noFill/>
                                <a:ln w="6350">
                                  <a:noFill/>
                                </a:ln>
                              </wps:spPr>
                              <wps:txbx>
                                <w:txbxContent>
                                  <w:p w14:paraId="053FCD07">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肉骨饼</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5" name="肘形连接符 155"/>
                              <wps:cNvCnPr>
                                <a:stCxn id="31" idx="2"/>
                                <a:endCxn id="153" idx="0"/>
                              </wps:cNvCnPr>
                              <wps:spPr>
                                <a:xfrm rot="5400000">
                                  <a:off x="1690370" y="5205095"/>
                                  <a:ext cx="321945" cy="760095"/>
                                </a:xfrm>
                                <a:prstGeom prst="bentConnector3">
                                  <a:avLst>
                                    <a:gd name="adj1" fmla="val 50099"/>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8" name="肘形连接符 158"/>
                              <wps:cNvCnPr>
                                <a:stCxn id="31" idx="2"/>
                                <a:endCxn id="154" idx="0"/>
                              </wps:cNvCnPr>
                              <wps:spPr>
                                <a:xfrm rot="5400000" flipV="1">
                                  <a:off x="2494280" y="5160645"/>
                                  <a:ext cx="312420" cy="838835"/>
                                </a:xfrm>
                                <a:prstGeom prst="bentConnector3">
                                  <a:avLst>
                                    <a:gd name="adj1" fmla="val 53150"/>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9" name="直接箭头连接符 159"/>
                              <wps:cNvCnPr/>
                              <wps:spPr>
                                <a:xfrm flipH="1">
                                  <a:off x="1471295" y="6010910"/>
                                  <a:ext cx="4445" cy="25971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0" name="直接箭头连接符 160"/>
                              <wps:cNvCnPr/>
                              <wps:spPr>
                                <a:xfrm flipH="1">
                                  <a:off x="3079750" y="5979795"/>
                                  <a:ext cx="4445" cy="25971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1" name="直接箭头连接符 161"/>
                              <wps:cNvCnPr/>
                              <wps:spPr>
                                <a:xfrm flipH="1">
                                  <a:off x="1471295" y="6593205"/>
                                  <a:ext cx="4445" cy="25971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2" name="直接箭头连接符 162"/>
                              <wps:cNvCnPr/>
                              <wps:spPr>
                                <a:xfrm flipH="1">
                                  <a:off x="3079750" y="6571615"/>
                                  <a:ext cx="4445" cy="25971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4" name="文本框 164"/>
                              <wps:cNvSpPr txBox="1"/>
                              <wps:spPr>
                                <a:xfrm>
                                  <a:off x="3227070" y="7302500"/>
                                  <a:ext cx="1028065" cy="287020"/>
                                </a:xfrm>
                                <a:prstGeom prst="rect">
                                  <a:avLst/>
                                </a:prstGeom>
                                <a:noFill/>
                                <a:ln w="6350">
                                  <a:noFill/>
                                </a:ln>
                              </wps:spPr>
                              <wps:txbx>
                                <w:txbxContent>
                                  <w:p w14:paraId="529FBE71">
                                    <w:pPr>
                                      <w:spacing w:line="240" w:lineRule="auto"/>
                                      <w:ind w:firstLine="0" w:firstLineChars="0"/>
                                      <w:jc w:val="center"/>
                                      <w:rPr>
                                        <w:rFonts w:hint="default" w:eastAsia="宋体"/>
                                        <w:color w:val="FF0000"/>
                                        <w:sz w:val="21"/>
                                        <w:szCs w:val="21"/>
                                        <w:lang w:val="en-US" w:eastAsia="zh-CN"/>
                                      </w:rPr>
                                    </w:pPr>
                                    <w:r>
                                      <w:rPr>
                                        <w:rFonts w:hint="eastAsia"/>
                                        <w:color w:val="FF0000"/>
                                        <w:sz w:val="21"/>
                                        <w:szCs w:val="21"/>
                                        <w:lang w:val="en-US" w:eastAsia="zh-CN"/>
                                      </w:rPr>
                                      <w:t>密闭负压车间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5" name="文本框 165"/>
                              <wps:cNvSpPr txBox="1"/>
                              <wps:spPr>
                                <a:xfrm>
                                  <a:off x="4169410" y="4370705"/>
                                  <a:ext cx="1056640" cy="603885"/>
                                </a:xfrm>
                                <a:prstGeom prst="rect">
                                  <a:avLst/>
                                </a:prstGeom>
                                <a:noFill/>
                                <a:ln w="6350">
                                  <a:noFill/>
                                </a:ln>
                              </wps:spPr>
                              <wps:txbx>
                                <w:txbxContent>
                                  <w:p w14:paraId="3837FE36">
                                    <w:pPr>
                                      <w:spacing w:line="240" w:lineRule="auto"/>
                                      <w:ind w:firstLine="0" w:firstLineChars="0"/>
                                      <w:jc w:val="center"/>
                                      <w:rPr>
                                        <w:rFonts w:hint="eastAsia"/>
                                        <w:sz w:val="21"/>
                                        <w:szCs w:val="21"/>
                                        <w:lang w:val="en-US" w:eastAsia="zh-CN"/>
                                      </w:rPr>
                                    </w:pPr>
                                    <w:r>
                                      <w:rPr>
                                        <w:rFonts w:hint="eastAsia"/>
                                        <w:sz w:val="21"/>
                                        <w:szCs w:val="21"/>
                                        <w:lang w:val="en-US" w:eastAsia="zh-CN"/>
                                      </w:rPr>
                                      <w:t>G2</w:t>
                                    </w:r>
                                  </w:p>
                                  <w:p w14:paraId="35468EFF">
                                    <w:pPr>
                                      <w:pStyle w:val="12"/>
                                      <w:ind w:left="0" w:leftChars="0" w:firstLine="0" w:firstLineChars="0"/>
                                      <w:jc w:val="center"/>
                                      <w:rPr>
                                        <w:rFonts w:hint="default"/>
                                        <w:sz w:val="18"/>
                                        <w:szCs w:val="18"/>
                                        <w:lang w:val="en-US" w:eastAsia="zh-CN"/>
                                      </w:rPr>
                                    </w:pPr>
                                    <w:r>
                                      <w:rPr>
                                        <w:rFonts w:hint="eastAsia"/>
                                        <w:sz w:val="18"/>
                                        <w:szCs w:val="18"/>
                                        <w:lang w:val="en-US" w:eastAsia="zh-CN"/>
                                      </w:rPr>
                                      <w:t>（车间负压收集）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6" name="文本框 166"/>
                              <wps:cNvSpPr txBox="1"/>
                              <wps:spPr>
                                <a:xfrm>
                                  <a:off x="4364355" y="5248910"/>
                                  <a:ext cx="1066165" cy="732155"/>
                                </a:xfrm>
                                <a:prstGeom prst="rect">
                                  <a:avLst/>
                                </a:prstGeom>
                                <a:noFill/>
                                <a:ln w="6350">
                                  <a:noFill/>
                                </a:ln>
                              </wps:spPr>
                              <wps:txbx>
                                <w:txbxContent>
                                  <w:p w14:paraId="01F27AEF">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除臭塔+二级活性炭吸附+排气筒DA002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7" name="肘形连接符 167"/>
                              <wps:cNvCnPr/>
                              <wps:spPr>
                                <a:xfrm rot="5400000" flipV="1">
                                  <a:off x="4244340" y="4307205"/>
                                  <a:ext cx="986790" cy="896620"/>
                                </a:xfrm>
                                <a:prstGeom prst="bentConnector3">
                                  <a:avLst>
                                    <a:gd name="adj1" fmla="val 180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8" name="文本框 168"/>
                              <wps:cNvSpPr txBox="1"/>
                              <wps:spPr>
                                <a:xfrm>
                                  <a:off x="3153410" y="1079500"/>
                                  <a:ext cx="875665" cy="301625"/>
                                </a:xfrm>
                                <a:prstGeom prst="rect">
                                  <a:avLst/>
                                </a:prstGeom>
                                <a:solidFill>
                                  <a:schemeClr val="lt1"/>
                                </a:solidFill>
                                <a:ln w="6350">
                                  <a:solidFill>
                                    <a:prstClr val="black"/>
                                  </a:solidFill>
                                </a:ln>
                              </wps:spPr>
                              <wps:txbx>
                                <w:txbxContent>
                                  <w:p w14:paraId="76C992E2">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车辆清洗</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9" name="直接箭头连接符 169"/>
                              <wps:cNvCnPr/>
                              <wps:spPr>
                                <a:xfrm>
                                  <a:off x="2786380" y="1235075"/>
                                  <a:ext cx="381000"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70" name="直接箭头连接符 170"/>
                              <wps:cNvCnPr/>
                              <wps:spPr>
                                <a:xfrm>
                                  <a:off x="4031615" y="1227455"/>
                                  <a:ext cx="381000"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71" name="文本框 171"/>
                              <wps:cNvSpPr txBox="1"/>
                              <wps:spPr>
                                <a:xfrm>
                                  <a:off x="4307205" y="1080135"/>
                                  <a:ext cx="603885" cy="287020"/>
                                </a:xfrm>
                                <a:prstGeom prst="rect">
                                  <a:avLst/>
                                </a:prstGeom>
                                <a:noFill/>
                                <a:ln w="6350">
                                  <a:noFill/>
                                </a:ln>
                              </wps:spPr>
                              <wps:txbx>
                                <w:txbxContent>
                                  <w:p w14:paraId="384837F9">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W1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2" name="直接箭头连接符 172"/>
                              <wps:cNvCnPr/>
                              <wps:spPr>
                                <a:xfrm>
                                  <a:off x="4254500" y="2000250"/>
                                  <a:ext cx="381000"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73" name="文本框 173"/>
                              <wps:cNvSpPr txBox="1"/>
                              <wps:spPr>
                                <a:xfrm>
                                  <a:off x="4497705" y="1831340"/>
                                  <a:ext cx="603885" cy="287020"/>
                                </a:xfrm>
                                <a:prstGeom prst="rect">
                                  <a:avLst/>
                                </a:prstGeom>
                                <a:noFill/>
                                <a:ln w="6350">
                                  <a:noFill/>
                                </a:ln>
                              </wps:spPr>
                              <wps:txbx>
                                <w:txbxContent>
                                  <w:p w14:paraId="48A68071">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W2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4" name="文本框 174"/>
                              <wps:cNvSpPr txBox="1"/>
                              <wps:spPr>
                                <a:xfrm>
                                  <a:off x="3693160" y="3259455"/>
                                  <a:ext cx="603885" cy="287020"/>
                                </a:xfrm>
                                <a:prstGeom prst="rect">
                                  <a:avLst/>
                                </a:prstGeom>
                                <a:noFill/>
                                <a:ln w="6350">
                                  <a:noFill/>
                                </a:ln>
                              </wps:spPr>
                              <wps:txbx>
                                <w:txbxContent>
                                  <w:p w14:paraId="69A0EC83">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W3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5" name="文本框 175"/>
                              <wps:cNvSpPr txBox="1"/>
                              <wps:spPr>
                                <a:xfrm>
                                  <a:off x="4278630" y="6227445"/>
                                  <a:ext cx="1191895" cy="1731645"/>
                                </a:xfrm>
                                <a:prstGeom prst="rect">
                                  <a:avLst/>
                                </a:prstGeom>
                                <a:solidFill>
                                  <a:schemeClr val="lt1"/>
                                </a:solidFill>
                                <a:ln w="6350">
                                  <a:solidFill>
                                    <a:prstClr val="black"/>
                                  </a:solidFill>
                                </a:ln>
                              </wps:spPr>
                              <wps:txbx>
                                <w:txbxContent>
                                  <w:p w14:paraId="2525A5A4">
                                    <w:pPr>
                                      <w:keepNext w:val="0"/>
                                      <w:keepLines w:val="0"/>
                                      <w:pageBreakBefore w:val="0"/>
                                      <w:widowControl w:val="0"/>
                                      <w:kinsoku/>
                                      <w:wordWrap/>
                                      <w:overflowPunct w:val="0"/>
                                      <w:topLinePunct w:val="0"/>
                                      <w:bidi w:val="0"/>
                                      <w:adjustRightInd/>
                                      <w:snapToGrid/>
                                      <w:spacing w:line="240" w:lineRule="auto"/>
                                      <w:ind w:left="0" w:leftChars="0" w:firstLine="0" w:firstLineChars="0"/>
                                      <w:textAlignment w:val="auto"/>
                                      <w:rPr>
                                        <w:rFonts w:hint="eastAsia"/>
                                        <w:sz w:val="21"/>
                                        <w:szCs w:val="21"/>
                                        <w:lang w:eastAsia="zh-CN"/>
                                      </w:rPr>
                                    </w:pPr>
                                    <w:r>
                                      <w:rPr>
                                        <w:rFonts w:hint="eastAsia"/>
                                        <w:sz w:val="21"/>
                                        <w:szCs w:val="21"/>
                                        <w:lang w:eastAsia="zh-CN"/>
                                      </w:rPr>
                                      <w:t>G1-锅炉废气</w:t>
                                    </w:r>
                                  </w:p>
                                  <w:p w14:paraId="5A34CD81">
                                    <w:pPr>
                                      <w:keepNext w:val="0"/>
                                      <w:keepLines w:val="0"/>
                                      <w:pageBreakBefore w:val="0"/>
                                      <w:widowControl w:val="0"/>
                                      <w:kinsoku/>
                                      <w:wordWrap/>
                                      <w:overflowPunct w:val="0"/>
                                      <w:topLinePunct w:val="0"/>
                                      <w:bidi w:val="0"/>
                                      <w:adjustRightInd/>
                                      <w:snapToGrid/>
                                      <w:spacing w:line="240" w:lineRule="auto"/>
                                      <w:ind w:left="0" w:leftChars="0" w:firstLine="0" w:firstLineChars="0"/>
                                      <w:textAlignment w:val="auto"/>
                                      <w:rPr>
                                        <w:rFonts w:hint="eastAsia"/>
                                        <w:sz w:val="21"/>
                                        <w:szCs w:val="21"/>
                                        <w:lang w:eastAsia="zh-CN"/>
                                      </w:rPr>
                                    </w:pPr>
                                    <w:r>
                                      <w:rPr>
                                        <w:rFonts w:hint="eastAsia"/>
                                        <w:sz w:val="21"/>
                                        <w:szCs w:val="21"/>
                                        <w:lang w:eastAsia="zh-CN"/>
                                      </w:rPr>
                                      <w:t>G2-车间负压收集废气</w:t>
                                    </w:r>
                                  </w:p>
                                  <w:p w14:paraId="3A4BCDE6">
                                    <w:pPr>
                                      <w:keepNext w:val="0"/>
                                      <w:keepLines w:val="0"/>
                                      <w:pageBreakBefore w:val="0"/>
                                      <w:widowControl w:val="0"/>
                                      <w:kinsoku/>
                                      <w:wordWrap/>
                                      <w:overflowPunct w:val="0"/>
                                      <w:topLinePunct w:val="0"/>
                                      <w:bidi w:val="0"/>
                                      <w:adjustRightInd/>
                                      <w:snapToGrid/>
                                      <w:spacing w:line="240" w:lineRule="auto"/>
                                      <w:ind w:left="0" w:leftChars="0" w:firstLine="0" w:firstLineChars="0"/>
                                      <w:textAlignment w:val="auto"/>
                                      <w:rPr>
                                        <w:rFonts w:hint="eastAsia"/>
                                        <w:sz w:val="21"/>
                                        <w:szCs w:val="21"/>
                                        <w:lang w:eastAsia="zh-CN"/>
                                      </w:rPr>
                                    </w:pPr>
                                    <w:r>
                                      <w:rPr>
                                        <w:rFonts w:hint="eastAsia"/>
                                        <w:sz w:val="21"/>
                                        <w:szCs w:val="21"/>
                                        <w:lang w:eastAsia="zh-CN"/>
                                      </w:rPr>
                                      <w:t>W1-车辆清洗废水</w:t>
                                    </w:r>
                                  </w:p>
                                  <w:p w14:paraId="79FF3A60">
                                    <w:pPr>
                                      <w:keepNext w:val="0"/>
                                      <w:keepLines w:val="0"/>
                                      <w:pageBreakBefore w:val="0"/>
                                      <w:widowControl w:val="0"/>
                                      <w:kinsoku/>
                                      <w:wordWrap/>
                                      <w:overflowPunct w:val="0"/>
                                      <w:topLinePunct w:val="0"/>
                                      <w:bidi w:val="0"/>
                                      <w:adjustRightInd/>
                                      <w:snapToGrid/>
                                      <w:spacing w:line="240" w:lineRule="auto"/>
                                      <w:ind w:left="0" w:leftChars="0" w:firstLine="0" w:firstLineChars="0"/>
                                      <w:textAlignment w:val="auto"/>
                                      <w:rPr>
                                        <w:rFonts w:hint="eastAsia"/>
                                        <w:sz w:val="21"/>
                                        <w:szCs w:val="21"/>
                                        <w:lang w:eastAsia="zh-CN"/>
                                      </w:rPr>
                                    </w:pPr>
                                    <w:r>
                                      <w:rPr>
                                        <w:rFonts w:hint="eastAsia"/>
                                        <w:sz w:val="21"/>
                                        <w:szCs w:val="21"/>
                                        <w:lang w:eastAsia="zh-CN"/>
                                      </w:rPr>
                                      <w:t>W2-车间冲洗废水</w:t>
                                    </w:r>
                                  </w:p>
                                  <w:p w14:paraId="32E1CAC3">
                                    <w:pPr>
                                      <w:keepNext w:val="0"/>
                                      <w:keepLines w:val="0"/>
                                      <w:pageBreakBefore w:val="0"/>
                                      <w:widowControl w:val="0"/>
                                      <w:kinsoku/>
                                      <w:wordWrap/>
                                      <w:overflowPunct w:val="0"/>
                                      <w:topLinePunct w:val="0"/>
                                      <w:bidi w:val="0"/>
                                      <w:adjustRightInd/>
                                      <w:snapToGrid/>
                                      <w:spacing w:line="240" w:lineRule="auto"/>
                                      <w:ind w:left="0" w:leftChars="0" w:firstLine="0" w:firstLineChars="0"/>
                                      <w:textAlignment w:val="auto"/>
                                      <w:rPr>
                                        <w:rFonts w:hint="eastAsia"/>
                                        <w:sz w:val="21"/>
                                        <w:szCs w:val="21"/>
                                        <w:lang w:eastAsia="zh-CN"/>
                                      </w:rPr>
                                    </w:pPr>
                                    <w:r>
                                      <w:rPr>
                                        <w:rFonts w:hint="eastAsia"/>
                                        <w:sz w:val="21"/>
                                        <w:szCs w:val="21"/>
                                        <w:lang w:eastAsia="zh-CN"/>
                                      </w:rPr>
                                      <w:t>W3-污冷凝水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3" name="文本框 163"/>
                              <wps:cNvSpPr txBox="1"/>
                              <wps:spPr>
                                <a:xfrm>
                                  <a:off x="151765" y="1630045"/>
                                  <a:ext cx="4114165" cy="5698490"/>
                                </a:xfrm>
                                <a:prstGeom prst="rect">
                                  <a:avLst/>
                                </a:prstGeom>
                                <a:noFill/>
                                <a:ln w="12700">
                                  <a:solidFill>
                                    <a:srgbClr val="FF0000"/>
                                  </a:solidFill>
                                </a:ln>
                              </wps:spPr>
                              <wps:txbx>
                                <w:txbxContent>
                                  <w:p w14:paraId="2C20A825">
                                    <w:pPr>
                                      <w:spacing w:line="240" w:lineRule="auto"/>
                                      <w:ind w:firstLine="0" w:firstLineChars="0"/>
                                      <w:jc w:val="center"/>
                                      <w:rPr>
                                        <w:rFonts w:hint="eastAsia" w:eastAsia="宋体"/>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635.85pt;width:430.75pt;" coordsize="5470525,8075295" editas="canvas" o:gfxdata="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">
                      <o:lock v:ext="edit" aspectratio="f"/>
                      <v:shape id="_x0000_s1026" o:spid="_x0000_s1026" style="position:absolute;left:0;top:0;height:8075295;width:5470525;" filled="f" stroked="f" coordsize="21600,21600" o:gfxdata="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">
                        <v:fill on="f" focussize="0,0"/>
                        <v:stroke on="f"/>
                        <v:imagedata o:title=""/>
                        <o:lock v:ext="edit" aspectratio="f"/>
                      </v:shape>
                      <v:shape id="_x0000_s1026" o:spid="_x0000_s1026" o:spt="202" type="#_x0000_t202" style="position:absolute;left:1800225;top:1746250;height:301625;width:758825;" fillcolor="#FFFFFF [3201]" filled="t" stroked="t" coordsize="21600,21600" o:gfxdata="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lzY&#10;/9QAAAAGAQAADwAAAAAAAAABACAAAAAiAAAAZHJzL2Rvd25yZXYueG1sUEsBAhQAFAAAAAgAh07i&#10;QO4UvFdfAgAAwgQAAA4AAAAAAAAAAQAgAAAAIwEAAGRycy9lMm9Eb2MueG1sUEsFBgAAAAAGAAYA&#10;WQEAAPQFAAAAAA==&#10;">
                        <v:fill on="t" focussize="0,0"/>
                        <v:stroke weight="0.5pt" color="#000000" joinstyle="round"/>
                        <v:imagedata o:title=""/>
                        <o:lock v:ext="edit" aspectratio="f"/>
                        <v:textbox>
                          <w:txbxContent>
                            <w:p w14:paraId="18F6CC69">
                              <w:pPr>
                                <w:spacing w:line="240" w:lineRule="auto"/>
                                <w:ind w:firstLine="0" w:firstLineChars="0"/>
                                <w:jc w:val="center"/>
                                <w:rPr>
                                  <w:rFonts w:hint="eastAsia" w:eastAsia="宋体"/>
                                  <w:lang w:eastAsia="zh-CN"/>
                                </w:rPr>
                              </w:pPr>
                              <w:r>
                                <w:rPr>
                                  <w:rFonts w:hint="eastAsia"/>
                                  <w:sz w:val="21"/>
                                  <w:szCs w:val="21"/>
                                  <w:lang w:eastAsia="zh-CN"/>
                                </w:rPr>
                                <w:t>冷库储存</w:t>
                              </w:r>
                            </w:p>
                          </w:txbxContent>
                        </v:textbox>
                      </v:shape>
                      <v:shape id="_x0000_s1026" o:spid="_x0000_s1026" o:spt="202" type="#_x0000_t202" style="position:absolute;left:1587500;top:1078865;height:301625;width:1191895;" fillcolor="#FFFFFF [3201]" filled="t" stroked="t" coordsize="21600,21600" o:gfxdata="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lzY/9QAAAAGAQAADwAAAAAAAAABACAAAAAiAAAAZHJzL2Rvd25yZXYueG1sUEsBAhQAFAAA&#10;AAgAh07iQPluL7RlAgAAxQQAAA4AAAAAAAAAAQAgAAAAIwEAAGRycy9lMm9Eb2MueG1sUEsFBgAA&#10;AAAGAAYAWQEAAPoFAAAAAA==&#10;">
                        <v:fill on="t" focussize="0,0"/>
                        <v:stroke weight="0.5pt" color="#000000" joinstyle="round"/>
                        <v:imagedata o:title=""/>
                        <o:lock v:ext="edit" aspectratio="f"/>
                        <v:textbox>
                          <w:txbxContent>
                            <w:p w14:paraId="273C2161">
                              <w:pPr>
                                <w:spacing w:line="240" w:lineRule="auto"/>
                                <w:ind w:firstLine="0" w:firstLineChars="0"/>
                                <w:jc w:val="center"/>
                                <w:rPr>
                                  <w:rFonts w:hint="eastAsia" w:eastAsia="宋体"/>
                                  <w:lang w:eastAsia="zh-CN"/>
                                </w:rPr>
                              </w:pPr>
                              <w:r>
                                <w:rPr>
                                  <w:rFonts w:hint="eastAsia"/>
                                  <w:sz w:val="21"/>
                                  <w:szCs w:val="21"/>
                                  <w:lang w:eastAsia="zh-CN"/>
                                </w:rPr>
                                <w:t>运输、记录、消毒</w:t>
                              </w:r>
                            </w:p>
                          </w:txbxContent>
                        </v:textbox>
                      </v:shape>
                      <v:shape id="_x0000_s1026" o:spid="_x0000_s1026" o:spt="202" type="#_x0000_t202" style="position:absolute;left:1830070;top:2878455;height:301625;width:758825;" fillcolor="#FFFFFF [3201]" filled="t" stroked="t" coordsize="21600,21600" o:gfxdata="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yXNj/1AAAAAYBAAAPAAAAAAAAAAEAIAAAACIAAABkcnMvZG93bnJldi54bWxQSwECFAAUAAAA&#10;CACHTuJA40qhIWQCAADEBAAADgAAAAAAAAABACAAAAAjAQAAZHJzL2Uyb0RvYy54bWxQSwUGAAAA&#10;AAYABgBZAQAA+QUAAAAA&#10;">
                        <v:fill on="t" focussize="0,0"/>
                        <v:stroke weight="0.5pt" color="#000000" joinstyle="round"/>
                        <v:imagedata o:title=""/>
                        <o:lock v:ext="edit" aspectratio="f"/>
                        <v:textbox>
                          <w:txbxContent>
                            <w:p w14:paraId="1143FED3">
                              <w:pPr>
                                <w:spacing w:line="240" w:lineRule="auto"/>
                                <w:ind w:firstLine="0" w:firstLineChars="0"/>
                                <w:jc w:val="center"/>
                                <w:rPr>
                                  <w:rFonts w:hint="eastAsia" w:eastAsia="宋体"/>
                                  <w:lang w:eastAsia="zh-CN"/>
                                </w:rPr>
                              </w:pPr>
                              <w:r>
                                <w:rPr>
                                  <w:rFonts w:hint="eastAsia"/>
                                  <w:sz w:val="21"/>
                                  <w:szCs w:val="21"/>
                                  <w:lang w:eastAsia="zh-CN"/>
                                </w:rPr>
                                <w:t>破碎</w:t>
                              </w:r>
                            </w:p>
                          </w:txbxContent>
                        </v:textbox>
                      </v:shape>
                      <v:shape id="_x0000_s1026" o:spid="_x0000_s1026" o:spt="202" type="#_x0000_t202" style="position:absolute;left:1813560;top:2310130;height:301625;width:758825;" fillcolor="#FFFFFF [3201]" filled="t" stroked="t" coordsize="21600,21600" o:gfxdata="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Jc2P/UAAAABgEAAA8AAAAAAAAAAQAgAAAAIgAAAGRycy9kb3ducmV2LnhtbFBLAQIUABQAAAAI&#10;AIdO4kCAq8GSYwIAAMQEAAAOAAAAAAAAAAEAIAAAACMBAABkcnMvZTJvRG9jLnhtbFBLBQYAAAAA&#10;BgAGAFkBAAD4BQAAAAA=&#10;">
                        <v:fill on="t" focussize="0,0"/>
                        <v:stroke weight="0.5pt" color="#000000" joinstyle="round"/>
                        <v:imagedata o:title=""/>
                        <o:lock v:ext="edit" aspectratio="f"/>
                        <v:textbox>
                          <w:txbxContent>
                            <w:p w14:paraId="486EAFCA">
                              <w:pPr>
                                <w:spacing w:line="240" w:lineRule="auto"/>
                                <w:ind w:firstLine="0" w:firstLineChars="0"/>
                                <w:jc w:val="center"/>
                                <w:rPr>
                                  <w:rFonts w:hint="eastAsia" w:eastAsia="宋体"/>
                                  <w:lang w:eastAsia="zh-CN"/>
                                </w:rPr>
                              </w:pPr>
                              <w:r>
                                <w:rPr>
                                  <w:rFonts w:hint="eastAsia"/>
                                  <w:sz w:val="21"/>
                                  <w:szCs w:val="21"/>
                                  <w:lang w:eastAsia="zh-CN"/>
                                </w:rPr>
                                <w:t>尸体投放</w:t>
                              </w:r>
                            </w:p>
                          </w:txbxContent>
                        </v:textbox>
                      </v:shape>
                      <v:shape id="_x0000_s1026" o:spid="_x0000_s1026" o:spt="202" type="#_x0000_t202" style="position:absolute;left:1852295;top:3439795;height:301625;width:758825;" fillcolor="#FFFFFF [3201]" filled="t" stroked="t" coordsize="21600,21600" o:gfxdata="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clzY/9QAAAAGAQAADwAAAAAAAAABACAAAAAiAAAAZHJzL2Rvd25yZXYueG1sUEsBAhQAFAAAAAgA&#10;h07iQO0jRPhiAgAAxAQAAA4AAAAAAAAAAQAgAAAAIwEAAGRycy9lMm9Eb2MueG1sUEsFBgAAAAAG&#10;AAYAWQEAAPcFAAAAAA==&#10;">
                        <v:fill on="t" focussize="0,0"/>
                        <v:stroke weight="0.5pt" color="#000000" joinstyle="round"/>
                        <v:imagedata o:title=""/>
                        <o:lock v:ext="edit" aspectratio="f"/>
                        <v:textbox>
                          <w:txbxContent>
                            <w:p w14:paraId="405AB084">
                              <w:pPr>
                                <w:spacing w:line="240" w:lineRule="auto"/>
                                <w:ind w:firstLine="0" w:firstLineChars="0"/>
                                <w:jc w:val="center"/>
                                <w:rPr>
                                  <w:rFonts w:hint="eastAsia" w:eastAsia="宋体"/>
                                  <w:lang w:eastAsia="zh-CN"/>
                                </w:rPr>
                              </w:pPr>
                              <w:r>
                                <w:rPr>
                                  <w:rFonts w:hint="eastAsia"/>
                                  <w:sz w:val="21"/>
                                  <w:szCs w:val="21"/>
                                  <w:lang w:eastAsia="zh-CN"/>
                                </w:rPr>
                                <w:t>化制</w:t>
                              </w:r>
                            </w:p>
                          </w:txbxContent>
                        </v:textbox>
                      </v:shape>
                      <v:shape id="_x0000_s1026" o:spid="_x0000_s1026" o:spt="202" type="#_x0000_t202" style="position:absolute;left:1862455;top:4561205;height:301625;width:758825;" fillcolor="#FFFFFF [3201]" filled="t" stroked="t" coordsize="21600,21600" o:gfxdata="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Jc2P/UAAAABgEAAA8AAAAAAAAAAQAgAAAAIgAAAGRycy9kb3ducmV2LnhtbFBLAQIUABQAAAAI&#10;AIdO4kAFcQsUYwIAAMQEAAAOAAAAAAAAAAEAIAAAACMBAABkcnMvZTJvRG9jLnhtbFBLBQYAAAAA&#10;BgAGAFkBAAD4BQAAAAA=&#10;">
                        <v:fill on="t" focussize="0,0"/>
                        <v:stroke weight="0.5pt" color="#000000" joinstyle="round"/>
                        <v:imagedata o:title=""/>
                        <o:lock v:ext="edit" aspectratio="f"/>
                        <v:textbox>
                          <w:txbxContent>
                            <w:p w14:paraId="27DF18D8">
                              <w:pPr>
                                <w:spacing w:line="240" w:lineRule="auto"/>
                                <w:ind w:firstLine="0" w:firstLineChars="0"/>
                                <w:jc w:val="center"/>
                                <w:rPr>
                                  <w:rFonts w:hint="eastAsia" w:eastAsia="宋体"/>
                                  <w:lang w:eastAsia="zh-CN"/>
                                </w:rPr>
                              </w:pPr>
                              <w:r>
                                <w:rPr>
                                  <w:rFonts w:hint="eastAsia"/>
                                  <w:sz w:val="21"/>
                                  <w:szCs w:val="21"/>
                                  <w:lang w:eastAsia="zh-CN"/>
                                </w:rPr>
                                <w:t>缓存</w:t>
                              </w:r>
                            </w:p>
                          </w:txbxContent>
                        </v:textbox>
                      </v:shape>
                      <v:shape id="_x0000_s1026" o:spid="_x0000_s1026" o:spt="202" type="#_x0000_t202" style="position:absolute;left:1856105;top:4004310;height:301625;width:758825;" fillcolor="#FFFFFF [3201]" filled="t" stroked="t" coordsize="21600,21600" o:gfxdata="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clzY/9QAAAAGAQAADwAAAAAAAAABACAAAAAiAAAAZHJzL2Rvd25yZXYueG1sUEsBAhQAFAAAAAgA&#10;h07iQFTEbH9iAgAAxAQAAA4AAAAAAAAAAQAgAAAAIwEAAGRycy9lMm9Eb2MueG1sUEsFBgAAAAAG&#10;AAYAWQEAAPcFAAAAAA==&#10;">
                        <v:fill on="t" focussize="0,0"/>
                        <v:stroke weight="0.5pt" color="#000000" joinstyle="round"/>
                        <v:imagedata o:title=""/>
                        <o:lock v:ext="edit" aspectratio="f"/>
                        <v:textbox>
                          <w:txbxContent>
                            <w:p w14:paraId="19E3DDB7">
                              <w:pPr>
                                <w:spacing w:line="240" w:lineRule="auto"/>
                                <w:ind w:firstLine="0" w:firstLineChars="0"/>
                                <w:jc w:val="center"/>
                                <w:rPr>
                                  <w:rFonts w:hint="eastAsia" w:eastAsia="宋体"/>
                                  <w:lang w:eastAsia="zh-CN"/>
                                </w:rPr>
                              </w:pPr>
                              <w:r>
                                <w:rPr>
                                  <w:rFonts w:hint="eastAsia"/>
                                  <w:sz w:val="21"/>
                                  <w:szCs w:val="21"/>
                                  <w:lang w:eastAsia="zh-CN"/>
                                </w:rPr>
                                <w:t>烘干</w:t>
                              </w:r>
                            </w:p>
                          </w:txbxContent>
                        </v:textbox>
                      </v:shape>
                      <v:shape id="_x0000_s1026" o:spid="_x0000_s1026" o:spt="202" type="#_x0000_t202" style="position:absolute;left:1152525;top:507365;height:287020;width:2065020;" filled="f" stroked="f" coordsize="21600,21600" o:gfxdata="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vRwe9gAAAAGAQAADwAAAAAAAAABACAA&#10;AAAiAAAAZHJzL2Rvd25yZXYueG1sUEsBAhQAFAAAAAgAh07iQGKH/1pGAgAAcwQAAA4AAAAAAAAA&#10;AQAgAAAAJwEAAGRycy9lMm9Eb2MueG1sUEsFBgAAAAAGAAYAWQEAAN8FAAAAAA==&#10;">
                        <v:fill on="f" focussize="0,0"/>
                        <v:stroke on="f" weight="0.5pt"/>
                        <v:imagedata o:title=""/>
                        <o:lock v:ext="edit" aspectratio="f"/>
                        <v:textbox>
                          <w:txbxContent>
                            <w:p w14:paraId="21A896DF">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无害化车辆运输畜禽尸体</w:t>
                              </w:r>
                            </w:p>
                          </w:txbxContent>
                        </v:textbox>
                      </v:shape>
                      <v:shape id="_x0000_s1026" o:spid="_x0000_s1026" o:spt="202" type="#_x0000_t202" style="position:absolute;left:1873250;top:73025;height:287020;width:1619885;" filled="f" stroked="f" coordsize="21600,21600" o:gfxdata="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vRwe9gAAAAGAQAADwAAAAAAAAABACAA&#10;AAAiAAAAZHJzL2Rvd25yZXYueG1sUEsBAhQAFAAAAAgAh07iQJXmcLhGAgAAcgQAAA4AAAAAAAAA&#10;AQAgAAAAJwEAAGRycy9lMm9Eb2MueG1sUEsFBgAAAAAGAAYAWQEAAN8FAAAAAA==&#10;">
                        <v:fill on="f" focussize="0,0"/>
                        <v:stroke on="f" weight="0.5pt"/>
                        <v:imagedata o:title=""/>
                        <o:lock v:ext="edit" aspectratio="f"/>
                        <v:textbox>
                          <w:txbxContent>
                            <w:p w14:paraId="3CED89FD">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导入锅炉末端燃烧</w:t>
                              </w:r>
                            </w:p>
                          </w:txbxContent>
                        </v:textbox>
                      </v:shape>
                      <v:shape id="_x0000_s1026" o:spid="_x0000_s1026" o:spt="32" type="#_x0000_t32" style="position:absolute;left:2179955;top:1397635;height:349885;width:0;" filled="f" stroked="t" coordsize="21600,21600" o:gfxdata="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Zssfa1gAAAAYBAAAPAAAAAAAA&#10;AAEAIAAAACIAAABkcnMvZG93bnJldi54bWxQSwECFAAUAAAACACHTuJA9qh3OxQCAADvAwAADgAA&#10;AAAAAAABACAAAAAlAQAAZHJzL2Uyb0RvYy54bWxQSwUGAAAAAAYABgBZAQAAqwUAAAAA&#10;">
                        <v:fill on="f" focussize="0,0"/>
                        <v:stroke weight="1pt" color="#000000 [3213]" miterlimit="8" joinstyle="miter" endarrow="block"/>
                        <v:imagedata o:title=""/>
                        <o:lock v:ext="edit" aspectratio="f"/>
                      </v:shape>
                      <v:shape id="_x0000_s1026" o:spid="_x0000_s1026" o:spt="202" type="#_x0000_t202" style="position:absolute;left:1492250;top:1333500;height:287020;width:784860;" filled="f" stroked="f" coordsize="21600,21600" o:gfxdata="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r0cHvYAAAABgEAAA8AAAAAAAAAAQAg&#10;AAAAIgAAAGRycy9kb3ducmV2LnhtbFBLAQIUABQAAAAIAIdO4kAYosCuRwIAAHMEAAAOAAAAAAAA&#10;AAEAIAAAACcBAABkcnMvZTJvRG9jLnhtbFBLBQYAAAAABgAGAFkBAADgBQAAAAA=&#10;">
                        <v:fill on="f" focussize="0,0"/>
                        <v:stroke on="f" weight="0.5pt"/>
                        <v:imagedata o:title=""/>
                        <o:lock v:ext="edit" aspectratio="f"/>
                        <v:textbox>
                          <w:txbxContent>
                            <w:p w14:paraId="6F00F7DD">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畜禽尸体</w:t>
                              </w:r>
                            </w:p>
                          </w:txbxContent>
                        </v:textbox>
                      </v:shape>
                      <v:shape id="_x0000_s1026" o:spid="_x0000_s1026" o:spt="202" type="#_x0000_t202" style="position:absolute;left:1851660;top:5122545;height:301625;width:758825;" fillcolor="#FFFFFF [3201]" filled="t" stroked="t" coordsize="21600,21600" o:gfxdata="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yXNj/1AAAAAYBAAAPAAAAAAAAAAEAIAAAACIAAABkcnMvZG93bnJldi54bWxQSwECFAAUAAAA&#10;CACHTuJAFnbLd2QCAADEBAAADgAAAAAAAAABACAAAAAjAQAAZHJzL2Uyb0RvYy54bWxQSwUGAAAA&#10;AAYABgBZAQAA+QUAAAAA&#10;">
                        <v:fill on="t" focussize="0,0"/>
                        <v:stroke weight="0.5pt" color="#000000" joinstyle="round"/>
                        <v:imagedata o:title=""/>
                        <o:lock v:ext="edit" aspectratio="f"/>
                        <v:textbox>
                          <w:txbxContent>
                            <w:p w14:paraId="5CA0042F">
                              <w:pPr>
                                <w:spacing w:line="240" w:lineRule="auto"/>
                                <w:ind w:firstLine="0" w:firstLineChars="0"/>
                                <w:jc w:val="center"/>
                                <w:rPr>
                                  <w:rFonts w:hint="eastAsia" w:eastAsia="宋体"/>
                                  <w:lang w:eastAsia="zh-CN"/>
                                </w:rPr>
                              </w:pPr>
                              <w:r>
                                <w:rPr>
                                  <w:rFonts w:hint="eastAsia"/>
                                  <w:sz w:val="21"/>
                                  <w:szCs w:val="21"/>
                                  <w:lang w:eastAsia="zh-CN"/>
                                </w:rPr>
                                <w:t>脱脂榨油</w:t>
                              </w:r>
                            </w:p>
                          </w:txbxContent>
                        </v:textbox>
                      </v:shape>
                      <v:shape id="_x0000_s1026" o:spid="_x0000_s1026" o:spt="202" type="#_x0000_t202" style="position:absolute;left:1090295;top:6858000;height:301625;width:758825;" fillcolor="#FFFFFF [3201]" filled="t" stroked="t" coordsize="21600,21600" o:gfxdata="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Jc2P/UAAAABgEAAA8AAAAAAAAAAQAgAAAAIgAAAGRycy9kb3ducmV2LnhtbFBLAQIUABQAAAAI&#10;AIdO4kBltXZVYwIAAMQEAAAOAAAAAAAAAAEAIAAAACMBAABkcnMvZTJvRG9jLnhtbFBLBQYAAAAA&#10;BgAGAFkBAAD4BQAAAAA=&#10;">
                        <v:fill on="t" focussize="0,0"/>
                        <v:stroke weight="0.5pt" color="#000000" joinstyle="round"/>
                        <v:imagedata o:title=""/>
                        <o:lock v:ext="edit" aspectratio="f"/>
                        <v:textbox>
                          <w:txbxContent>
                            <w:p w14:paraId="0B374D06">
                              <w:pPr>
                                <w:spacing w:line="240" w:lineRule="auto"/>
                                <w:ind w:firstLine="0" w:firstLineChars="0"/>
                                <w:jc w:val="center"/>
                                <w:rPr>
                                  <w:rFonts w:hint="eastAsia" w:eastAsia="宋体"/>
                                  <w:lang w:eastAsia="zh-CN"/>
                                </w:rPr>
                              </w:pPr>
                              <w:r>
                                <w:rPr>
                                  <w:rFonts w:hint="eastAsia"/>
                                  <w:sz w:val="21"/>
                                  <w:szCs w:val="21"/>
                                  <w:lang w:eastAsia="zh-CN"/>
                                </w:rPr>
                                <w:t>进储油罐</w:t>
                              </w:r>
                            </w:p>
                          </w:txbxContent>
                        </v:textbox>
                      </v:shape>
                      <v:shape id="_x0000_s1026" o:spid="_x0000_s1026" o:spt="202" type="#_x0000_t202" style="position:absolute;left:1104900;top:6279515;height:301625;width:758825;" fillcolor="#FFFFFF [3201]" filled="t" stroked="t" coordsize="21600,21600" o:gfxdata="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yXNj/1AAAAAYBAAAPAAAAAAAAAAEAIAAAACIAAABkcnMvZG93bnJldi54bWxQSwECFAAUAAAA&#10;CACHTuJA8NJdWGQCAADEBAAADgAAAAAAAAABACAAAAAjAQAAZHJzL2Uyb0RvYy54bWxQSwUGAAAA&#10;AAYABgBZAQAA+QUAAAAA&#10;">
                        <v:fill on="t" focussize="0,0"/>
                        <v:stroke weight="0.5pt" color="#000000" joinstyle="round"/>
                        <v:imagedata o:title=""/>
                        <o:lock v:ext="edit" aspectratio="f"/>
                        <v:textbox>
                          <w:txbxContent>
                            <w:p w14:paraId="381F34B4">
                              <w:pPr>
                                <w:spacing w:line="240" w:lineRule="auto"/>
                                <w:ind w:firstLine="0" w:firstLineChars="0"/>
                                <w:jc w:val="center"/>
                                <w:rPr>
                                  <w:rFonts w:hint="eastAsia" w:eastAsia="宋体"/>
                                  <w:lang w:eastAsia="zh-CN"/>
                                </w:rPr>
                              </w:pPr>
                              <w:r>
                                <w:rPr>
                                  <w:rFonts w:hint="eastAsia"/>
                                  <w:sz w:val="21"/>
                                  <w:szCs w:val="21"/>
                                  <w:lang w:eastAsia="zh-CN"/>
                                </w:rPr>
                                <w:t>油脂净化</w:t>
                              </w:r>
                            </w:p>
                          </w:txbxContent>
                        </v:textbox>
                      </v:shape>
                      <v:shape id="_x0000_s1026" o:spid="_x0000_s1026" o:spt="202" type="#_x0000_t202" style="position:absolute;left:2719705;top:6264275;height:301625;width:758825;" fillcolor="#FFFFFF [3201]" filled="t" stroked="t" coordsize="21600,21600" o:gfxdata="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lzY/9QAAAAGAQAADwAAAAAAAAABACAAAAAiAAAAZHJzL2Rvd25yZXYueG1sUEsBAhQAFAAA&#10;AAgAh07iQBJq7CllAgAAxAQAAA4AAAAAAAAAAQAgAAAAIwEAAGRycy9lMm9Eb2MueG1sUEsFBgAA&#10;AAAGAAYAWQEAAPoFAAAAAA==&#10;">
                        <v:fill on="t" focussize="0,0"/>
                        <v:stroke weight="0.5pt" color="#000000" joinstyle="round"/>
                        <v:imagedata o:title=""/>
                        <o:lock v:ext="edit" aspectratio="f"/>
                        <v:textbox>
                          <w:txbxContent>
                            <w:p w14:paraId="200C574E">
                              <w:pPr>
                                <w:spacing w:line="240" w:lineRule="auto"/>
                                <w:ind w:firstLine="0" w:firstLineChars="0"/>
                                <w:jc w:val="center"/>
                                <w:rPr>
                                  <w:rFonts w:hint="eastAsia" w:eastAsia="宋体"/>
                                  <w:lang w:eastAsia="zh-CN"/>
                                </w:rPr>
                              </w:pPr>
                              <w:r>
                                <w:rPr>
                                  <w:rFonts w:hint="eastAsia"/>
                                  <w:sz w:val="21"/>
                                  <w:szCs w:val="21"/>
                                  <w:lang w:eastAsia="zh-CN"/>
                                </w:rPr>
                                <w:t>物料冷却</w:t>
                              </w:r>
                            </w:p>
                          </w:txbxContent>
                        </v:textbox>
                      </v:shape>
                      <v:shape id="_x0000_s1026" o:spid="_x0000_s1026" o:spt="202" type="#_x0000_t202" style="position:absolute;left:2730500;top:6836410;height:301625;width:758825;" fillcolor="#FFFFFF [3201]" filled="t" stroked="t" coordsize="21600,21600" o:gfxdata="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Jc2P/UAAAABgEAAA8AAAAAAAAAAQAgAAAAIgAAAGRycy9kb3ducmV2LnhtbFBLAQIUABQAAAAI&#10;AIdO4kBdXff2YwIAAMQEAAAOAAAAAAAAAAEAIAAAACMBAABkcnMvZTJvRG9jLnhtbFBLBQYAAAAA&#10;BgAGAFkBAAD4BQAAAAA=&#10;">
                        <v:fill on="t" focussize="0,0"/>
                        <v:stroke weight="0.5pt" color="#000000" joinstyle="round"/>
                        <v:imagedata o:title=""/>
                        <o:lock v:ext="edit" aspectratio="f"/>
                        <v:textbox>
                          <w:txbxContent>
                            <w:p w14:paraId="05389AE8">
                              <w:pPr>
                                <w:spacing w:line="240" w:lineRule="auto"/>
                                <w:ind w:firstLine="0" w:firstLineChars="0"/>
                                <w:jc w:val="center"/>
                                <w:rPr>
                                  <w:rFonts w:hint="eastAsia" w:eastAsia="宋体"/>
                                  <w:lang w:eastAsia="zh-CN"/>
                                </w:rPr>
                              </w:pPr>
                              <w:r>
                                <w:rPr>
                                  <w:rFonts w:hint="eastAsia"/>
                                  <w:sz w:val="21"/>
                                  <w:szCs w:val="21"/>
                                  <w:lang w:eastAsia="zh-CN"/>
                                </w:rPr>
                                <w:t>包装入库</w:t>
                              </w:r>
                            </w:p>
                          </w:txbxContent>
                        </v:textbox>
                      </v:shape>
                      <v:shape id="_x0000_s1026" o:spid="_x0000_s1026" o:spt="32" type="#_x0000_t32" style="position:absolute;left:2222500;top:3185160;flip:x;height:259715;width:4445;" filled="f" stroked="t" coordsize="21600,21600" o:gfxdata="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31N19MAAAAGAQAA&#10;DwAAAAAAAAABACAAAAAiAAAAZHJzL2Rvd25yZXYueG1sUEsBAhQAFAAAAAgAh07iQAHtEQAeAgAA&#10;/gMAAA4AAAAAAAAAAQAgAAAAIgEAAGRycy9lMm9Eb2MueG1sUEsFBgAAAAAGAAYAWQEAALIFAAAA&#10;AA==&#10;">
                        <v:fill on="f" focussize="0,0"/>
                        <v:stroke weight="1pt" color="#000000 [3213]" miterlimit="8" joinstyle="miter" endarrow="block"/>
                        <v:imagedata o:title=""/>
                        <o:lock v:ext="edit" aspectratio="f"/>
                      </v:shape>
                      <v:shape id="_x0000_s1026" o:spid="_x0000_s1026" o:spt="32" type="#_x0000_t32" style="position:absolute;left:2233295;top:3746500;flip:x;height:259715;width:4445;" filled="f" stroked="t" coordsize="21600,21600" o:gfxdata="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99TdfTAAAABgEA&#10;AA8AAAAAAAAAAQAgAAAAIgAAAGRycy9kb3ducmV2LnhtbFBLAQIUABQAAAAIAIdO4kA2f5tqHwIA&#10;AP4DAAAOAAAAAAAAAAEAIAAAACIBAABkcnMvZTJvRG9jLnhtbFBLBQYAAAAABgAGAFkBAACzBQAA&#10;AAA=&#10;">
                        <v:fill on="f" focussize="0,0"/>
                        <v:stroke weight="1pt" color="#000000 [3213]" miterlimit="8" joinstyle="miter" endarrow="block"/>
                        <v:imagedata o:title=""/>
                        <o:lock v:ext="edit" aspectratio="f"/>
                      </v:shape>
                      <v:shape id="_x0000_s1026" o:spid="_x0000_s1026" o:spt="202" type="#_x0000_t202" style="position:absolute;left:349250;top:3566795;height:287020;width:805815;" filled="f" stroked="f" coordsize="21600,21600" o:gfxdata="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r0cHvYAAAABgEAAA8AAAAAAAAAAQAg&#10;AAAAIgAAAGRycy9kb3ducmV2LnhtbFBLAQIUABQAAAAIAIdO4kC0G6LZRwIAAHQEAAAOAAAAAAAA&#10;AAEAIAAAACcBAABkcnMvZTJvRG9jLnhtbFBLBQYAAAAABgAGAFkBAADgBQAAAAA=&#10;">
                        <v:fill on="f" focussize="0,0"/>
                        <v:stroke on="f" weight="0.5pt"/>
                        <v:imagedata o:title=""/>
                        <o:lock v:ext="edit" aspectratio="f"/>
                        <v:textbox>
                          <w:txbxContent>
                            <w:p w14:paraId="4863558C">
                              <w:pPr>
                                <w:spacing w:line="240" w:lineRule="auto"/>
                                <w:ind w:firstLine="0" w:firstLineChars="0"/>
                                <w:jc w:val="center"/>
                                <w:rPr>
                                  <w:rFonts w:hint="default" w:eastAsia="宋体"/>
                                  <w:sz w:val="21"/>
                                  <w:szCs w:val="21"/>
                                  <w:lang w:val="en-US" w:eastAsia="zh-CN"/>
                                </w:rPr>
                              </w:pPr>
                              <w:r>
                                <w:rPr>
                                  <w:rFonts w:hint="eastAsia"/>
                                  <w:sz w:val="18"/>
                                  <w:szCs w:val="18"/>
                                  <w:lang w:val="en-US" w:eastAsia="zh-CN"/>
                                </w:rPr>
                                <w:t>生物质锅炉</w:t>
                              </w:r>
                            </w:p>
                          </w:txbxContent>
                        </v:textbox>
                      </v:shape>
                      <v:shape id="_x0000_s1026" o:spid="_x0000_s1026" o:spt="202" type="#_x0000_t202" style="position:absolute;left:464820;top:3026410;height:287020;width:584200;" filled="f" stroked="f" coordsize="21600,21600" o:gfxdata="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r0cHvYAAAABgEAAA8AAAAAAAAAAQAg&#10;AAAAIgAAAGRycy9kb3ducmV2LnhtbFBLAQIUABQAAAAIAIdO4kDPKoDTRwIAAHQEAAAOAAAAAAAA&#10;AAEAIAAAACcBAABkcnMvZTJvRG9jLnhtbFBLBQYAAAAABgAGAFkBAADgBQAAAAA=&#10;">
                        <v:fill on="f" focussize="0,0"/>
                        <v:stroke on="f" weight="0.5pt"/>
                        <v:imagedata o:title=""/>
                        <o:lock v:ext="edit" aspectratio="f"/>
                        <v:textbox>
                          <w:txbxContent>
                            <w:p w14:paraId="094A6265">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G1</w:t>
                              </w:r>
                            </w:p>
                          </w:txbxContent>
                        </v:textbox>
                      </v:shape>
                      <v:shape id="_x0000_s1026" o:spid="_x0000_s1026" o:spt="202" type="#_x0000_t202" style="position:absolute;left:391160;top:2212975;height:508000;width:805815;" filled="f" stroked="f" coordsize="21600,21600" o:gfxdata="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r0cHvYAAAABgEAAA8AAAAAAAAA&#10;AQAgAAAAIgAAAGRycy9kb3ducmV2LnhtbFBLAQIUABQAAAAIAIdO4kB88JWSSgIAAHQEAAAOAAAA&#10;AAAAAAEAIAAAACcBAABkcnMvZTJvRG9jLnhtbFBLBQYAAAAABgAGAFkBAADjBQAAAAA=&#10;">
                        <v:fill on="f" focussize="0,0"/>
                        <v:stroke on="f" weight="0.5pt"/>
                        <v:imagedata o:title=""/>
                        <o:lock v:ext="edit" aspectratio="f"/>
                        <v:textbox>
                          <w:txbxContent>
                            <w:p w14:paraId="1E28FD90">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排气筒DA001</w:t>
                              </w:r>
                            </w:p>
                          </w:txbxContent>
                        </v:textbox>
                      </v:shape>
                      <v:shape id="_x0000_s1026" o:spid="_x0000_s1026" o:spt="32" type="#_x0000_t32" style="position:absolute;left:2233295;top:4307205;flip:x;height:259715;width:4445;" filled="f" stroked="t" coordsize="21600,21600" o:gfxdata="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fU3X0wAAAAYB&#10;AAAPAAAAAAAAAAEAIAAAACIAAABkcnMvZG93bnJldi54bWxQSwECFAAUAAAACACHTuJA2g7QJiAC&#10;AAD+AwAADgAAAAAAAAABACAAAAAiAQAAZHJzL2Uyb0RvYy54bWxQSwUGAAAAAAYABgBZAQAAtAUA&#10;AAAA&#10;">
                        <v:fill on="f" focussize="0,0"/>
                        <v:stroke weight="1pt" color="#000000 [3213]" miterlimit="8" joinstyle="miter" endarrow="block"/>
                        <v:imagedata o:title=""/>
                        <o:lock v:ext="edit" aspectratio="f"/>
                      </v:shape>
                      <v:shape id="_x0000_s1026" o:spid="_x0000_s1026" o:spt="32" type="#_x0000_t32" style="position:absolute;left:2232025;top:4878705;flip:x;height:259715;width:4445;" filled="f" stroked="t" coordsize="21600,21600" o:gfxdata="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fU3X0wAAAAYB&#10;AAAPAAAAAAAAAAEAIAAAACIAAABkcnMvZG93bnJldi54bWxQSwECFAAUAAAACACHTuJA0ZwgvCAC&#10;AAD+AwAADgAAAAAAAAABACAAAAAiAQAAZHJzL2Uyb0RvYy54bWxQSwUGAAAAAAYABgBZAQAAtAUA&#10;AAAA&#10;">
                        <v:fill on="f" focussize="0,0"/>
                        <v:stroke weight="1pt" color="#000000 [3213]" miterlimit="8" joinstyle="miter" endarrow="block"/>
                        <v:imagedata o:title=""/>
                        <o:lock v:ext="edit" aspectratio="f"/>
                      </v:shape>
                      <v:shape id="_x0000_s1026" o:spid="_x0000_s1026" o:spt="34" type="#_x0000_t34" style="position:absolute;left:1155065;top:3590925;flip:y;height:119380;width:697230;" filled="f" stroked="t" coordsize="21600,21600" o:gfxdata="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4opY91gAAAAYBAAAPAAAAAAAAAAEA&#10;IAAAACIAAABkcnMvZG93bnJldi54bWxQSwECFAAUAAAACACHTuJAz2Ue7koCAABmBAAADgAAAAAA&#10;AAABACAAAAAlAQAAZHJzL2Uyb0RvYy54bWxQSwUGAAAAAAYABgBZAQAA4QUAAAAA&#10;" adj="12433">
                        <v:fill on="f" focussize="0,0"/>
                        <v:stroke weight="1pt" color="#000000 [3213]" miterlimit="8" joinstyle="miter" endarrow="block"/>
                        <v:imagedata o:title=""/>
                        <o:lock v:ext="edit" aspectratio="f"/>
                      </v:shape>
                      <v:shape id="_x0000_s1026" o:spid="_x0000_s1026" o:spt="34" type="#_x0000_t34" style="position:absolute;left:1155065;top:3710305;height:445135;width:701040;" filled="f" stroked="t" coordsize="21600,21600" o:gfxdata="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JoD9UAAAAGAQAADwAAAAAAAAABACAAAAAiAAAAZHJz&#10;L2Rvd25yZXYueG1sUEsBAhQAFAAAAAgAh07iQJAP9sNAAgAAXAQAAA4AAAAAAAAAAQAgAAAAJAEA&#10;AGRycy9lMm9Eb2MueG1sUEsFBgAAAAAGAAYAWQEAANYFAAAAAA==&#10;" adj="12424">
                        <v:fill on="f" focussize="0,0"/>
                        <v:stroke weight="1pt" color="#000000 [3213]" miterlimit="8" joinstyle="miter" endarrow="block"/>
                        <v:imagedata o:title=""/>
                        <o:lock v:ext="edit" aspectratio="f"/>
                      </v:shape>
                      <v:shape id="_x0000_s1026" o:spid="_x0000_s1026" o:spt="202" type="#_x0000_t202" style="position:absolute;left:1005205;top:3459480;height:287020;width:603885;" filled="f" stroked="f" coordsize="21600,21600" o:gfxdata="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vRwe9gAAAAGAQAADwAAAAAAAAABACAA&#10;AAAiAAAAZHJzL2Rvd25yZXYueG1sUEsBAhQAFAAAAAgAh07iQOWMsVVGAgAAdQQAAA4AAAAAAAAA&#10;AQAgAAAAJwEAAGRycy9lMm9Eb2MueG1sUEsFBgAAAAAGAAYAWQEAAN8FAAAAAA==&#10;">
                        <v:fill on="f" focussize="0,0"/>
                        <v:stroke on="f" weight="0.5pt"/>
                        <v:imagedata o:title=""/>
                        <o:lock v:ext="edit" aspectratio="f"/>
                        <v:textbox>
                          <w:txbxContent>
                            <w:p w14:paraId="40AAA14D">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水蒸气</w:t>
                              </w:r>
                            </w:p>
                          </w:txbxContent>
                        </v:textbox>
                      </v:shape>
                      <v:shape id="_x0000_s1026" o:spid="_x0000_s1026" o:spt="202" type="#_x0000_t202" style="position:absolute;left:3343910;top:3703955;height:301625;width:887730;" fillcolor="#FFFFFF [3201]" filled="t" stroked="t" coordsize="21600,21600" o:gfxdata="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lzY/9QAAAAGAQAADwAAAAAAAAABACAAAAAiAAAAZHJzL2Rvd25yZXYueG1sUEsBAhQAFAAA&#10;AAgAh07iQPQ2MSBlAgAAxgQAAA4AAAAAAAAAAQAgAAAAIwEAAGRycy9lMm9Eb2MueG1sUEsFBgAA&#10;AAAGAAYAWQEAAPoFAAAAAA==&#10;">
                        <v:fill on="t" focussize="0,0"/>
                        <v:stroke weight="0.5pt" color="#000000" joinstyle="round"/>
                        <v:imagedata o:title=""/>
                        <o:lock v:ext="edit" aspectratio="f"/>
                        <v:textbox>
                          <w:txbxContent>
                            <w:p w14:paraId="2F6A786C">
                              <w:pPr>
                                <w:spacing w:line="240" w:lineRule="auto"/>
                                <w:ind w:firstLine="0" w:firstLineChars="0"/>
                                <w:jc w:val="center"/>
                                <w:rPr>
                                  <w:rFonts w:hint="eastAsia" w:eastAsia="宋体"/>
                                  <w:sz w:val="21"/>
                                  <w:szCs w:val="21"/>
                                  <w:lang w:eastAsia="zh-CN"/>
                                </w:rPr>
                              </w:pPr>
                              <w:r>
                                <w:rPr>
                                  <w:rFonts w:hint="eastAsia"/>
                                  <w:sz w:val="21"/>
                                  <w:szCs w:val="21"/>
                                  <w:lang w:eastAsia="zh-CN"/>
                                </w:rPr>
                                <w:t>冷凝器冷凝</w:t>
                              </w:r>
                            </w:p>
                          </w:txbxContent>
                        </v:textbox>
                      </v:shape>
                      <v:shape id="_x0000_s1026" o:spid="_x0000_s1026" o:spt="34" type="#_x0000_t34" style="position:absolute;left:2611120;top:3590925;height:264160;width:732790;" filled="f" stroked="t" coordsize="21600,21600" o:gfxdata="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OHm0H1QAAAAYBAAAPAAAAAAAAAAEAIAAAACIA&#10;AABkcnMvZG93bnJldi54bWxQSwECFAAUAAAACACHTuJAeZN8c0UCAABcBAAADgAAAAAAAAABACAA&#10;AAAkAQAAZHJzL2Uyb0RvYy54bWxQSwUGAAAAAAYABgBZAQAA2wUAAAAA&#10;" adj="7693">
                        <v:fill on="f" focussize="0,0"/>
                        <v:stroke weight="1pt" color="#000000 [3213]" miterlimit="8" joinstyle="miter" endarrow="block"/>
                        <v:imagedata o:title=""/>
                        <o:lock v:ext="edit" aspectratio="f"/>
                      </v:shape>
                      <v:shape id="_x0000_s1026" o:spid="_x0000_s1026" o:spt="34" type="#_x0000_t34" style="position:absolute;left:2614930;top:3855085;flip:y;height:300355;width:728980;" filled="f" stroked="t" coordsize="21600,21600" o:gfxdata="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csef9QAAAAGAQAADwAAAAAAAAABACAA&#10;AAAiAAAAZHJzL2Rvd25yZXYueG1sUEsBAhQAFAAAAAgAh07iQOyGrLtKAgAAZgQAAA4AAAAAAAAA&#10;AQAgAAAAIwEAAGRycy9lMm9Eb2MueG1sUEsFBgAAAAAGAAYAWQEAAN8FAAAAAA==&#10;" adj="7658">
                        <v:fill on="f" focussize="0,0"/>
                        <v:stroke weight="1pt" color="#000000 [3213]" miterlimit="8" joinstyle="miter" endarrow="block"/>
                        <v:imagedata o:title=""/>
                        <o:lock v:ext="edit" aspectratio="f"/>
                      </v:shape>
                      <v:shape id="_x0000_s1026" o:spid="_x0000_s1026" o:spt="202" type="#_x0000_t202" style="position:absolute;left:2825750;top:3587115;height:287020;width:603885;" filled="f" stroked="f" coordsize="21600,21600" o:gfxdata="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69HB72AAAAAYBAAAPAAAAAAAAAAEA&#10;IAAAACIAAABkcnMvZG93bnJldi54bWxQSwECFAAUAAAACACHTuJA55MPcEgCAAB1BAAADgAAAAAA&#10;AAABACAAAAAnAQAAZHJzL2Uyb0RvYy54bWxQSwUGAAAAAAYABgBZAQAA4QUAAAAA&#10;">
                        <v:fill on="f" focussize="0,0"/>
                        <v:stroke on="f" weight="0.5pt"/>
                        <v:imagedata o:title=""/>
                        <o:lock v:ext="edit" aspectratio="f"/>
                        <v:textbox>
                          <w:txbxContent>
                            <w:p w14:paraId="66DDC4CB">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污蒸气</w:t>
                              </w:r>
                            </w:p>
                          </w:txbxContent>
                        </v:textbox>
                      </v:shape>
                      <v:shape id="_x0000_s1026" o:spid="_x0000_s1026" o:spt="36" type="#_x0000_t36" style="position:absolute;left:349250;top:3710305;flip:x y;height:144780;width:3882390;" filled="f" stroked="t" coordsize="21600,21600" o:gfxdata="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14dgbSAAAABgEAAA8AAAAAAAAAAQAgAAAAIgAAAGRycy9kb3ducmV2LnhtbFBLAQIU&#10;ABQAAAAIAIdO4kBJY57BawIAAL0EAAAOAAAAAAAAAAEAIAAAACEBAABkcnMvZTJvRG9jLnhtbFBL&#10;BQYAAAAABgAGAFkBAAD+BQAAAAA=&#10;" adj="-6271,530147,22925">
                        <v:fill on="f" focussize="0,0"/>
                        <v:stroke weight="1pt" color="#000000 [3213]" miterlimit="8" joinstyle="miter" endarrow="block"/>
                        <v:imagedata o:title=""/>
                        <o:lock v:ext="edit" aspectratio="f"/>
                      </v:shape>
                      <v:shape id="_x0000_s1026" o:spid="_x0000_s1026" o:spt="202" type="#_x0000_t202" style="position:absolute;left:4539615;top:3587115;height:287020;width:603885;" filled="f" stroked="f" coordsize="21600,21600" o:gfxdata="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vRwe9gAAAAGAQAADwAAAAAAAAAB&#10;ACAAAAAiAAAAZHJzL2Rvd25yZXYueG1sUEsBAhQAFAAAAAgAh07iQA9JxUZJAgAAdQQAAA4AAAAA&#10;AAAAAQAgAAAAJwEAAGRycy9lMm9Eb2MueG1sUEsFBgAAAAAGAAYAWQEAAOIFAAAAAA==&#10;">
                        <v:fill on="f" focussize="0,0"/>
                        <v:stroke on="f" weight="0.5pt"/>
                        <v:imagedata o:title=""/>
                        <o:lock v:ext="edit" aspectratio="f"/>
                        <v:textbox>
                          <w:txbxContent>
                            <w:p w14:paraId="6BCDEBD8">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不凝气</w:t>
                              </w:r>
                            </w:p>
                          </w:txbxContent>
                        </v:textbox>
                      </v:shape>
                      <v:shape id="_x0000_s1026" o:spid="_x0000_s1026" o:spt="202" type="#_x0000_t202" style="position:absolute;left:4254500;top:3841115;height:287020;width:1205865;" filled="f" stroked="f" coordsize="21600,21600" o:gfxdata="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69HB72AAAAAYBAAAPAAAAAAAA&#10;AAEAIAAAACIAAABkcnMvZG93bnJldi54bWxQSwECFAAUAAAACACHTuJAMyEQt0sCAAB2BAAADgAA&#10;AAAAAAABACAAAAAnAQAAZHJzL2Uyb0RvYy54bWxQSwUGAAAAAAYABgBZAQAA5AUAAAAA&#10;">
                        <v:fill on="f" focussize="0,0"/>
                        <v:stroke on="f" weight="0.5pt"/>
                        <v:imagedata o:title=""/>
                        <o:lock v:ext="edit" aspectratio="f"/>
                        <v:textbox>
                          <w:txbxContent>
                            <w:p w14:paraId="3996BB00">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（密闭管道收集）</w:t>
                              </w:r>
                            </w:p>
                          </w:txbxContent>
                        </v:textbox>
                      </v:shape>
                      <v:shape id="_x0000_s1026" o:spid="_x0000_s1026" o:spt="32" type="#_x0000_t32" style="position:absolute;left:741045;top:3260090;flip:y;height:359410;width:10160;" filled="f" stroked="t" coordsize="21600,21600" o:gfxdata="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99TdfTAAAABgEAAA8A&#10;AAAAAAAAAQAgAAAAIgAAAGRycy9kb3ducmV2LnhtbFBLAQIUABQAAAAIAIdO4kCs/LoCHAIAAP4D&#10;AAAOAAAAAAAAAAEAIAAAACIBAABkcnMvZTJvRG9jLnhtbFBLBQYAAAAABgAGAFkBAACwBQAAAAA=&#10;">
                        <v:fill on="f" focussize="0,0"/>
                        <v:stroke weight="1pt" color="#000000 [3213]" miterlimit="8" joinstyle="miter" endarrow="block"/>
                        <v:imagedata o:title=""/>
                        <o:lock v:ext="edit" aspectratio="f"/>
                      </v:shape>
                      <v:shape id="_x0000_s1026" o:spid="_x0000_s1026" o:spt="32" type="#_x0000_t32" style="position:absolute;left:751205;top:2740660;flip:y;height:359410;width:10160;" filled="f" stroked="t" coordsize="21600,21600" o:gfxdata="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fU3X0wAAAAYBAAAP&#10;AAAAAAAAAAEAIAAAACIAAABkcnMvZG93bnJldi54bWxQSwECFAAUAAAACACHTuJApu+Dox0CAAD+&#10;AwAADgAAAAAAAAABACAAAAAiAQAAZHJzL2Uyb0RvYy54bWxQSwUGAAAAAAYABgBZAQAAsQUAAAAA&#10;">
                        <v:fill on="f" focussize="0,0"/>
                        <v:stroke weight="1pt" color="#000000 [3213]" miterlimit="8" joinstyle="miter" endarrow="block"/>
                        <v:imagedata o:title=""/>
                        <o:lock v:ext="edit" aspectratio="f"/>
                      </v:shape>
                      <v:shape id="_x0000_s1026" o:spid="_x0000_s1026" o:spt="202" type="#_x0000_t202" style="position:absolute;left:1163320;top:5746115;height:287020;width:615315;" filled="f" stroked="f" coordsize="21600,21600" o:gfxdata="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69HB72AAAAAYBAAAPAAAAAAAAAAEAIAAA&#10;ACIAAABkcnMvZG93bnJldi54bWxQSwECFAAUAAAACACHTuJA5Qr780UCAAB1BAAADgAAAAAAAAAB&#10;ACAAAAAnAQAAZHJzL2Uyb0RvYy54bWxQSwUGAAAAAAYABgBZAQAA3gUAAAAA&#10;">
                        <v:fill on="f" focussize="0,0"/>
                        <v:stroke on="f" weight="0.5pt"/>
                        <v:imagedata o:title=""/>
                        <o:lock v:ext="edit" aspectratio="f"/>
                        <v:textbox>
                          <w:txbxContent>
                            <w:p w14:paraId="0F062C57">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油脂</w:t>
                              </w:r>
                            </w:p>
                          </w:txbxContent>
                        </v:textbox>
                      </v:shape>
                      <v:shape id="_x0000_s1026" o:spid="_x0000_s1026" o:spt="202" type="#_x0000_t202" style="position:absolute;left:2762250;top:5736590;height:287020;width:615315;" filled="f" stroked="f" coordsize="21600,21600" o:gfxdata="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69HB72AAAAAYBAAAPAAAAAAAAAAEA&#10;IAAAACIAAABkcnMvZG93bnJldi54bWxQSwECFAAUAAAACACHTuJAn9hbZEgCAAB1BAAADgAAAAAA&#10;AAABACAAAAAnAQAAZHJzL2Uyb0RvYy54bWxQSwUGAAAAAAYABgBZAQAA4QUAAAAA&#10;">
                        <v:fill on="f" focussize="0,0"/>
                        <v:stroke on="f" weight="0.5pt"/>
                        <v:imagedata o:title=""/>
                        <o:lock v:ext="edit" aspectratio="f"/>
                        <v:textbox>
                          <w:txbxContent>
                            <w:p w14:paraId="053FCD07">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肉骨饼</w:t>
                              </w:r>
                            </w:p>
                          </w:txbxContent>
                        </v:textbox>
                      </v:shape>
                      <v:shape id="_x0000_s1026" o:spid="_x0000_s1026" o:spt="34" type="#_x0000_t34" style="position:absolute;left:1690370;top:5205095;height:760095;width:321945;rotation:5898240f;" filled="f" stroked="t" coordsize="21600,21600" o:gfxdata="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QnK3NUAAAAGAQAADwAAAAAA&#10;AAABACAAAAAiAAAAZHJzL2Rvd25yZXYueG1sUEsBAhQAFAAAAAgAh07iQAP01yZPAgAAagQAAA4A&#10;AAAAAAAAAQAgAAAAJAEAAGRycy9lMm9Eb2MueG1sUEsFBgAAAAAGAAYAWQEAAOUFAAAAAA==&#10;" adj="10821">
                        <v:fill on="f" focussize="0,0"/>
                        <v:stroke weight="1pt" color="#000000 [3213]" miterlimit="8" joinstyle="miter" endarrow="block"/>
                        <v:imagedata o:title=""/>
                        <o:lock v:ext="edit" aspectratio="f"/>
                      </v:shape>
                      <v:shape id="_x0000_s1026" o:spid="_x0000_s1026" o:spt="34" type="#_x0000_t34" style="position:absolute;left:2494280;top:5160645;flip:y;height:838835;width:312420;rotation:-5898240f;" filled="f" stroked="t" coordsize="21600,21600" o:gfxdata="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6Zy67WAAAABgEA&#10;AA8AAAAAAAAAAQAgAAAAIgAAAGRycy9kb3ducmV2LnhtbFBLAQIUABQAAAAIAIdO4kBCgySBVQIA&#10;AHQEAAAOAAAAAAAAAAEAIAAAACUBAABkcnMvZTJvRG9jLnhtbFBLBQYAAAAABgAGAFkBAADsBQAA&#10;AAA=&#10;" adj="11480">
                        <v:fill on="f" focussize="0,0"/>
                        <v:stroke weight="1pt" color="#000000 [3213]" miterlimit="8" joinstyle="miter" endarrow="block"/>
                        <v:imagedata o:title=""/>
                        <o:lock v:ext="edit" aspectratio="f"/>
                      </v:shape>
                      <v:shape id="_x0000_s1026" o:spid="_x0000_s1026" o:spt="32" type="#_x0000_t32" style="position:absolute;left:1471295;top:6010910;flip:x;height:259715;width:4445;" filled="f" stroked="t" coordsize="21600,21600" o:gfxdata="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fU3X0wAAAAYBAAAP&#10;AAAAAAAAAAEAIAAAACIAAABkcnMvZG93bnJldi54bWxQSwECFAAUAAAACACHTuJAXv70Hx0CAAD+&#10;AwAADgAAAAAAAAABACAAAAAiAQAAZHJzL2Uyb0RvYy54bWxQSwUGAAAAAAYABgBZAQAAsQUAAAAA&#10;">
                        <v:fill on="f" focussize="0,0"/>
                        <v:stroke weight="1pt" color="#000000 [3213]" miterlimit="8" joinstyle="miter" endarrow="block"/>
                        <v:imagedata o:title=""/>
                        <o:lock v:ext="edit" aspectratio="f"/>
                      </v:shape>
                      <v:shape id="_x0000_s1026" o:spid="_x0000_s1026" o:spt="32" type="#_x0000_t32" style="position:absolute;left:3079750;top:5979795;flip:x;height:259715;width:4445;" filled="f" stroked="t" coordsize="21600,21600" o:gfxdata="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fU3X0wAAAAYBAAAP&#10;AAAAAAAAAAEAIAAAACIAAABkcnMvZG93bnJldi54bWxQSwECFAAUAAAACACHTuJAaKhrkB0CAAD+&#10;AwAADgAAAAAAAAABACAAAAAiAQAAZHJzL2Uyb0RvYy54bWxQSwUGAAAAAAYABgBZAQAAsQUAAAAA&#10;">
                        <v:fill on="f" focussize="0,0"/>
                        <v:stroke weight="1pt" color="#000000 [3213]" miterlimit="8" joinstyle="miter" endarrow="block"/>
                        <v:imagedata o:title=""/>
                        <o:lock v:ext="edit" aspectratio="f"/>
                      </v:shape>
                      <v:shape id="_x0000_s1026" o:spid="_x0000_s1026" o:spt="32" type="#_x0000_t32" style="position:absolute;left:1471295;top:6593205;flip:x;height:259715;width:4445;" filled="f" stroked="t" coordsize="21600,21600" o:gfxdata="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fU3X0wAAAAYB&#10;AAAPAAAAAAAAAAEAIAAAACIAAABkcnMvZG93bnJldi54bWxQSwECFAAUAAAACACHTuJACnxIkSAC&#10;AAD+AwAADgAAAAAAAAABACAAAAAiAQAAZHJzL2Uyb0RvYy54bWxQSwUGAAAAAAYABgBZAQAAtAUA&#10;AAAA&#10;">
                        <v:fill on="f" focussize="0,0"/>
                        <v:stroke weight="1pt" color="#000000 [3213]" miterlimit="8" joinstyle="miter" endarrow="block"/>
                        <v:imagedata o:title=""/>
                        <o:lock v:ext="edit" aspectratio="f"/>
                      </v:shape>
                      <v:shape id="_x0000_s1026" o:spid="_x0000_s1026" o:spt="32" type="#_x0000_t32" style="position:absolute;left:3079750;top:6571615;flip:x;height:259715;width:4445;" filled="f" stroked="t" coordsize="21600,21600" o:gfxdata="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fU3X0wAAAAYB&#10;AAAPAAAAAAAAAAEAIAAAACIAAABkcnMvZG93bnJldi54bWxQSwECFAAUAAAACACHTuJA91Q9siAC&#10;AAD+AwAADgAAAAAAAAABACAAAAAiAQAAZHJzL2Uyb0RvYy54bWxQSwUGAAAAAAYABgBZAQAAtAUA&#10;AAAA&#10;">
                        <v:fill on="f" focussize="0,0"/>
                        <v:stroke weight="1pt" color="#000000 [3213]" miterlimit="8" joinstyle="miter" endarrow="block"/>
                        <v:imagedata o:title=""/>
                        <o:lock v:ext="edit" aspectratio="f"/>
                      </v:shape>
                      <v:shape id="_x0000_s1026" o:spid="_x0000_s1026" o:spt="202" type="#_x0000_t202" style="position:absolute;left:3227070;top:7302500;height:287020;width:1028065;" filled="f" stroked="f" coordsize="21600,21600" o:gfxdata="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r0cHvYAAAABgEAAA8AAAAAAAAA&#10;AQAgAAAAIgAAAGRycy9kb3ducmV2LnhtbFBLAQIUABQAAAAIAIdO4kD2f35QSgIAAHYEAAAOAAAA&#10;AAAAAAEAIAAAACcBAABkcnMvZTJvRG9jLnhtbFBLBQYAAAAABgAGAFkBAADjBQAAAAA=&#10;">
                        <v:fill on="f" focussize="0,0"/>
                        <v:stroke on="f" weight="0.5pt"/>
                        <v:imagedata o:title=""/>
                        <o:lock v:ext="edit" aspectratio="f"/>
                        <v:textbox>
                          <w:txbxContent>
                            <w:p w14:paraId="529FBE71">
                              <w:pPr>
                                <w:spacing w:line="240" w:lineRule="auto"/>
                                <w:ind w:firstLine="0" w:firstLineChars="0"/>
                                <w:jc w:val="center"/>
                                <w:rPr>
                                  <w:rFonts w:hint="default" w:eastAsia="宋体"/>
                                  <w:color w:val="FF0000"/>
                                  <w:sz w:val="21"/>
                                  <w:szCs w:val="21"/>
                                  <w:lang w:val="en-US" w:eastAsia="zh-CN"/>
                                </w:rPr>
                              </w:pPr>
                              <w:r>
                                <w:rPr>
                                  <w:rFonts w:hint="eastAsia"/>
                                  <w:color w:val="FF0000"/>
                                  <w:sz w:val="21"/>
                                  <w:szCs w:val="21"/>
                                  <w:lang w:val="en-US" w:eastAsia="zh-CN"/>
                                </w:rPr>
                                <w:t>密闭负压车间</w:t>
                              </w:r>
                            </w:p>
                          </w:txbxContent>
                        </v:textbox>
                      </v:shape>
                      <v:shape id="_x0000_s1026" o:spid="_x0000_s1026" o:spt="202" type="#_x0000_t202" style="position:absolute;left:4169410;top:4370705;height:603885;width:1056640;" filled="f" stroked="f" coordsize="21600,21600" o:gfxdata="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r0cHvYAAAABgEAAA8AAAAAAAAAAQAg&#10;AAAAIgAAAGRycy9kb3ducmV2LnhtbFBLAQIUABQAAAAIAIdO4kAILKLsRwIAAHYEAAAOAAAAAAAA&#10;AAEAIAAAACcBAABkcnMvZTJvRG9jLnhtbFBLBQYAAAAABgAGAFkBAADgBQAAAAA=&#10;">
                        <v:fill on="f" focussize="0,0"/>
                        <v:stroke on="f" weight="0.5pt"/>
                        <v:imagedata o:title=""/>
                        <o:lock v:ext="edit" aspectratio="f"/>
                        <v:textbox>
                          <w:txbxContent>
                            <w:p w14:paraId="3837FE36">
                              <w:pPr>
                                <w:spacing w:line="240" w:lineRule="auto"/>
                                <w:ind w:firstLine="0" w:firstLineChars="0"/>
                                <w:jc w:val="center"/>
                                <w:rPr>
                                  <w:rFonts w:hint="eastAsia"/>
                                  <w:sz w:val="21"/>
                                  <w:szCs w:val="21"/>
                                  <w:lang w:val="en-US" w:eastAsia="zh-CN"/>
                                </w:rPr>
                              </w:pPr>
                              <w:r>
                                <w:rPr>
                                  <w:rFonts w:hint="eastAsia"/>
                                  <w:sz w:val="21"/>
                                  <w:szCs w:val="21"/>
                                  <w:lang w:val="en-US" w:eastAsia="zh-CN"/>
                                </w:rPr>
                                <w:t>G2</w:t>
                              </w:r>
                            </w:p>
                            <w:p w14:paraId="35468EFF">
                              <w:pPr>
                                <w:pStyle w:val="12"/>
                                <w:ind w:left="0" w:leftChars="0" w:firstLine="0" w:firstLineChars="0"/>
                                <w:jc w:val="center"/>
                                <w:rPr>
                                  <w:rFonts w:hint="default"/>
                                  <w:sz w:val="18"/>
                                  <w:szCs w:val="18"/>
                                  <w:lang w:val="en-US" w:eastAsia="zh-CN"/>
                                </w:rPr>
                              </w:pPr>
                              <w:r>
                                <w:rPr>
                                  <w:rFonts w:hint="eastAsia"/>
                                  <w:sz w:val="18"/>
                                  <w:szCs w:val="18"/>
                                  <w:lang w:val="en-US" w:eastAsia="zh-CN"/>
                                </w:rPr>
                                <w:t>（车间负压收集）</w:t>
                              </w:r>
                            </w:p>
                          </w:txbxContent>
                        </v:textbox>
                      </v:shape>
                      <v:shape id="_x0000_s1026" o:spid="_x0000_s1026" o:spt="202" type="#_x0000_t202" style="position:absolute;left:4364355;top:5248910;height:732155;width:1066165;" filled="f" stroked="f" coordsize="21600,21600" o:gfxdata="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vRwe9gAAAAGAQAADwAAAAAAAAAB&#10;ACAAAAAiAAAAZHJzL2Rvd25yZXYueG1sUEsBAhQAFAAAAAgAh07iQIBduZFJAgAAdgQAAA4AAAAA&#10;AAAAAQAgAAAAJwEAAGRycy9lMm9Eb2MueG1sUEsFBgAAAAAGAAYAWQEAAOIFAAAAAA==&#10;">
                        <v:fill on="f" focussize="0,0"/>
                        <v:stroke on="f" weight="0.5pt"/>
                        <v:imagedata o:title=""/>
                        <o:lock v:ext="edit" aspectratio="f"/>
                        <v:textbox>
                          <w:txbxContent>
                            <w:p w14:paraId="01F27AEF">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除臭塔+二级活性炭吸附+排气筒DA002</w:t>
                              </w:r>
                            </w:p>
                          </w:txbxContent>
                        </v:textbox>
                      </v:shape>
                      <v:shape id="_x0000_s1026" o:spid="_x0000_s1026" o:spt="34" type="#_x0000_t34" style="position:absolute;left:4244340;top:4307205;flip:y;height:896620;width:986790;rotation:-5898240f;" filled="f" stroked="t" coordsize="21600,21600" o:gfxdata="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klhY1gAAAAYBAAAPAAAAAAAAAAEAIAAAACIAAABkcnMvZG93bnJl&#10;di54bWxQSwECFAAUAAAACACHTuJAHVoN7TgCAAAwBAAADgAAAAAAAAABACAAAAAlAQAAZHJzL2Uy&#10;b0RvYy54bWxQSwUGAAAAAAYABgBZAQAAzwUAAAAA&#10;" adj="389">
                        <v:fill on="f" focussize="0,0"/>
                        <v:stroke weight="1pt" color="#000000 [3213]" miterlimit="8" joinstyle="miter" endarrow="block"/>
                        <v:imagedata o:title=""/>
                        <o:lock v:ext="edit" aspectratio="f"/>
                      </v:shape>
                      <v:shape id="_x0000_s1026" o:spid="_x0000_s1026" o:spt="202" type="#_x0000_t202" style="position:absolute;left:3153410;top:1079500;height:301625;width:875665;" fillcolor="#FFFFFF [3201]" filled="t" stroked="t" coordsize="21600,21600" o:gfxdata="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yXNj/1AAAAAYBAAAPAAAAAAAAAAEAIAAAACIAAABkcnMvZG93bnJldi54bWxQSwECFAAUAAAA&#10;CACHTuJAIuTIcGQCAADGBAAADgAAAAAAAAABACAAAAAjAQAAZHJzL2Uyb0RvYy54bWxQSwUGAAAA&#10;AAYABgBZAQAA+QUAAAAA&#10;">
                        <v:fill on="t" focussize="0,0"/>
                        <v:stroke weight="0.5pt" color="#000000" joinstyle="round"/>
                        <v:imagedata o:title=""/>
                        <o:lock v:ext="edit" aspectratio="f"/>
                        <v:textbox>
                          <w:txbxContent>
                            <w:p w14:paraId="76C992E2">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车辆清洗</w:t>
                              </w:r>
                            </w:p>
                          </w:txbxContent>
                        </v:textbox>
                      </v:shape>
                      <v:shape id="_x0000_s1026" o:spid="_x0000_s1026" o:spt="32" type="#_x0000_t32" style="position:absolute;left:2786380;top:1235075;height:0;width:381000;" filled="f" stroked="t" coordsize="21600,21600" o:gfxdata="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myx9rWAAAABgEAAA8AAAAAAAAA&#10;AQAgAAAAIgAAAGRycy9kb3ducmV2LnhtbFBLAQIUABQAAAAIAIdO4kDl5qd4EwIAAPEDAAAOAAAA&#10;AAAAAAEAIAAAACUBAABkcnMvZTJvRG9jLnhtbFBLBQYAAAAABgAGAFkBAACqBQAAAAA=&#10;">
                        <v:fill on="f" focussize="0,0"/>
                        <v:stroke weight="1pt" color="#000000 [3213]" miterlimit="8" joinstyle="miter" endarrow="block"/>
                        <v:imagedata o:title=""/>
                        <o:lock v:ext="edit" aspectratio="f"/>
                      </v:shape>
                      <v:shape id="_x0000_s1026" o:spid="_x0000_s1026" o:spt="32" type="#_x0000_t32" style="position:absolute;left:4031615;top:1227455;height:0;width:381000;" filled="f" stroked="t" coordsize="21600,21600" o:gfxdata="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myx9rWAAAABgEAAA8AAAAAAAAA&#10;AQAgAAAAIgAAAGRycy9kb3ducmV2LnhtbFBLAQIUABQAAAAIAIdO4kBd4ayAEwIAAPEDAAAOAAAA&#10;AAAAAAEAIAAAACUBAABkcnMvZTJvRG9jLnhtbFBLBQYAAAAABgAGAFkBAACqBQAAAAA=&#10;">
                        <v:fill on="f" focussize="0,0"/>
                        <v:stroke weight="1pt" color="#000000 [3213]" miterlimit="8" joinstyle="miter" endarrow="block"/>
                        <v:imagedata o:title=""/>
                        <o:lock v:ext="edit" aspectratio="f"/>
                      </v:shape>
                      <v:shape id="_x0000_s1026" o:spid="_x0000_s1026" o:spt="202" type="#_x0000_t202" style="position:absolute;left:4307205;top:1080135;height:287020;width:603885;" filled="f" stroked="f" coordsize="21600,21600" o:gfxdata="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r0cHvYAAAABgEAAA8AAAAAAAAAAQAg&#10;AAAAIgAAAGRycy9kb3ducmV2LnhtbFBLAQIUABQAAAAIAIdO4kAju6nrRwIAAHUEAAAOAAAAAAAA&#10;AAEAIAAAACcBAABkcnMvZTJvRG9jLnhtbFBLBQYAAAAABgAGAFkBAADgBQAAAAA=&#10;">
                        <v:fill on="f" focussize="0,0"/>
                        <v:stroke on="f" weight="0.5pt"/>
                        <v:imagedata o:title=""/>
                        <o:lock v:ext="edit" aspectratio="f"/>
                        <v:textbox>
                          <w:txbxContent>
                            <w:p w14:paraId="384837F9">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W1</w:t>
                              </w:r>
                            </w:p>
                          </w:txbxContent>
                        </v:textbox>
                      </v:shape>
                      <v:shape id="_x0000_s1026" o:spid="_x0000_s1026" o:spt="32" type="#_x0000_t32" style="position:absolute;left:4254500;top:2000250;height:0;width:381000;" filled="f" stroked="t" coordsize="21600,21600" o:gfxdata="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myx9rWAAAABgEAAA8AAAAAAAAA&#10;AQAgAAAAIgAAAGRycy9kb3ducmV2LnhtbFBLAQIUABQAAAAIAIdO4kDeSzttEwIAAPEDAAAOAAAA&#10;AAAAAAEAIAAAACUBAABkcnMvZTJvRG9jLnhtbFBLBQYAAAAABgAGAFkBAACqBQAAAAA=&#10;">
                        <v:fill on="f" focussize="0,0"/>
                        <v:stroke weight="1pt" color="#000000 [3213]" miterlimit="8" joinstyle="miter" endarrow="block"/>
                        <v:imagedata o:title=""/>
                        <o:lock v:ext="edit" aspectratio="f"/>
                      </v:shape>
                      <v:shape id="_x0000_s1026" o:spid="_x0000_s1026" o:spt="202" type="#_x0000_t202" style="position:absolute;left:4497705;top:1831340;height:287020;width:603885;" filled="f" stroked="f" coordsize="21600,21600" o:gfxdata="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69HB72AAAAAYBAAAPAAAAAAAAAAEA&#10;IAAAACIAAABkcnMvZG93bnJldi54bWxQSwECFAAUAAAACACHTuJAlpDnCUgCAAB1BAAADgAAAAAA&#10;AAABACAAAAAnAQAAZHJzL2Uyb0RvYy54bWxQSwUGAAAAAAYABgBZAQAA4QUAAAAA&#10;">
                        <v:fill on="f" focussize="0,0"/>
                        <v:stroke on="f" weight="0.5pt"/>
                        <v:imagedata o:title=""/>
                        <o:lock v:ext="edit" aspectratio="f"/>
                        <v:textbox>
                          <w:txbxContent>
                            <w:p w14:paraId="48A68071">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W2</w:t>
                              </w:r>
                            </w:p>
                          </w:txbxContent>
                        </v:textbox>
                      </v:shape>
                      <v:shape id="_x0000_s1026" o:spid="_x0000_s1026" o:spt="202" type="#_x0000_t202" style="position:absolute;left:3693160;top:3259455;height:287020;width:603885;" filled="f" stroked="f" coordsize="21600,21600" o:gfxdata="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vRwe9gAAAAGAQAADwAAAAAAAAAB&#10;ACAAAAAiAAAAZHJzL2Rvd25yZXYueG1sUEsBAhQAFAAAAAgAh07iQAbvmAtJAgAAdQQAAA4AAAAA&#10;AAAAAQAgAAAAJwEAAGRycy9lMm9Eb2MueG1sUEsFBgAAAAAGAAYAWQEAAOIFAAAAAA==&#10;">
                        <v:fill on="f" focussize="0,0"/>
                        <v:stroke on="f" weight="0.5pt"/>
                        <v:imagedata o:title=""/>
                        <o:lock v:ext="edit" aspectratio="f"/>
                        <v:textbox>
                          <w:txbxContent>
                            <w:p w14:paraId="69A0EC83">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W3</w:t>
                              </w:r>
                            </w:p>
                          </w:txbxContent>
                        </v:textbox>
                      </v:shape>
                      <v:shape id="_x0000_s1026" o:spid="_x0000_s1026" o:spt="202" type="#_x0000_t202" style="position:absolute;left:4278630;top:6227445;height:1731645;width:1191895;" fillcolor="#FFFFFF [3201]" filled="t" stroked="t" coordsize="21600,21600" o:gfxdata="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yXNj/1AAAAAYBAAAPAAAAAAAAAAEAIAAAACIAAABkcnMvZG93bnJldi54bWxQSwECFAAU&#10;AAAACACHTuJAAI4VeGcCAADIBAAADgAAAAAAAAABACAAAAAjAQAAZHJzL2Uyb0RvYy54bWxQSwUG&#10;AAAAAAYABgBZAQAA/AUAAAAA&#10;">
                        <v:fill on="t" focussize="0,0"/>
                        <v:stroke weight="0.5pt" color="#000000" joinstyle="round"/>
                        <v:imagedata o:title=""/>
                        <o:lock v:ext="edit" aspectratio="f"/>
                        <v:textbox>
                          <w:txbxContent>
                            <w:p w14:paraId="2525A5A4">
                              <w:pPr>
                                <w:keepNext w:val="0"/>
                                <w:keepLines w:val="0"/>
                                <w:pageBreakBefore w:val="0"/>
                                <w:widowControl w:val="0"/>
                                <w:kinsoku/>
                                <w:wordWrap/>
                                <w:overflowPunct w:val="0"/>
                                <w:topLinePunct w:val="0"/>
                                <w:bidi w:val="0"/>
                                <w:adjustRightInd/>
                                <w:snapToGrid/>
                                <w:spacing w:line="240" w:lineRule="auto"/>
                                <w:ind w:left="0" w:leftChars="0" w:firstLine="0" w:firstLineChars="0"/>
                                <w:textAlignment w:val="auto"/>
                                <w:rPr>
                                  <w:rFonts w:hint="eastAsia"/>
                                  <w:sz w:val="21"/>
                                  <w:szCs w:val="21"/>
                                  <w:lang w:eastAsia="zh-CN"/>
                                </w:rPr>
                              </w:pPr>
                              <w:r>
                                <w:rPr>
                                  <w:rFonts w:hint="eastAsia"/>
                                  <w:sz w:val="21"/>
                                  <w:szCs w:val="21"/>
                                  <w:lang w:eastAsia="zh-CN"/>
                                </w:rPr>
                                <w:t>G1-锅炉废气</w:t>
                              </w:r>
                            </w:p>
                            <w:p w14:paraId="5A34CD81">
                              <w:pPr>
                                <w:keepNext w:val="0"/>
                                <w:keepLines w:val="0"/>
                                <w:pageBreakBefore w:val="0"/>
                                <w:widowControl w:val="0"/>
                                <w:kinsoku/>
                                <w:wordWrap/>
                                <w:overflowPunct w:val="0"/>
                                <w:topLinePunct w:val="0"/>
                                <w:bidi w:val="0"/>
                                <w:adjustRightInd/>
                                <w:snapToGrid/>
                                <w:spacing w:line="240" w:lineRule="auto"/>
                                <w:ind w:left="0" w:leftChars="0" w:firstLine="0" w:firstLineChars="0"/>
                                <w:textAlignment w:val="auto"/>
                                <w:rPr>
                                  <w:rFonts w:hint="eastAsia"/>
                                  <w:sz w:val="21"/>
                                  <w:szCs w:val="21"/>
                                  <w:lang w:eastAsia="zh-CN"/>
                                </w:rPr>
                              </w:pPr>
                              <w:r>
                                <w:rPr>
                                  <w:rFonts w:hint="eastAsia"/>
                                  <w:sz w:val="21"/>
                                  <w:szCs w:val="21"/>
                                  <w:lang w:eastAsia="zh-CN"/>
                                </w:rPr>
                                <w:t>G2-车间负压收集废气</w:t>
                              </w:r>
                            </w:p>
                            <w:p w14:paraId="3A4BCDE6">
                              <w:pPr>
                                <w:keepNext w:val="0"/>
                                <w:keepLines w:val="0"/>
                                <w:pageBreakBefore w:val="0"/>
                                <w:widowControl w:val="0"/>
                                <w:kinsoku/>
                                <w:wordWrap/>
                                <w:overflowPunct w:val="0"/>
                                <w:topLinePunct w:val="0"/>
                                <w:bidi w:val="0"/>
                                <w:adjustRightInd/>
                                <w:snapToGrid/>
                                <w:spacing w:line="240" w:lineRule="auto"/>
                                <w:ind w:left="0" w:leftChars="0" w:firstLine="0" w:firstLineChars="0"/>
                                <w:textAlignment w:val="auto"/>
                                <w:rPr>
                                  <w:rFonts w:hint="eastAsia"/>
                                  <w:sz w:val="21"/>
                                  <w:szCs w:val="21"/>
                                  <w:lang w:eastAsia="zh-CN"/>
                                </w:rPr>
                              </w:pPr>
                              <w:r>
                                <w:rPr>
                                  <w:rFonts w:hint="eastAsia"/>
                                  <w:sz w:val="21"/>
                                  <w:szCs w:val="21"/>
                                  <w:lang w:eastAsia="zh-CN"/>
                                </w:rPr>
                                <w:t>W1-车辆清洗废水</w:t>
                              </w:r>
                            </w:p>
                            <w:p w14:paraId="79FF3A60">
                              <w:pPr>
                                <w:keepNext w:val="0"/>
                                <w:keepLines w:val="0"/>
                                <w:pageBreakBefore w:val="0"/>
                                <w:widowControl w:val="0"/>
                                <w:kinsoku/>
                                <w:wordWrap/>
                                <w:overflowPunct w:val="0"/>
                                <w:topLinePunct w:val="0"/>
                                <w:bidi w:val="0"/>
                                <w:adjustRightInd/>
                                <w:snapToGrid/>
                                <w:spacing w:line="240" w:lineRule="auto"/>
                                <w:ind w:left="0" w:leftChars="0" w:firstLine="0" w:firstLineChars="0"/>
                                <w:textAlignment w:val="auto"/>
                                <w:rPr>
                                  <w:rFonts w:hint="eastAsia"/>
                                  <w:sz w:val="21"/>
                                  <w:szCs w:val="21"/>
                                  <w:lang w:eastAsia="zh-CN"/>
                                </w:rPr>
                              </w:pPr>
                              <w:r>
                                <w:rPr>
                                  <w:rFonts w:hint="eastAsia"/>
                                  <w:sz w:val="21"/>
                                  <w:szCs w:val="21"/>
                                  <w:lang w:eastAsia="zh-CN"/>
                                </w:rPr>
                                <w:t>W2-车间冲洗废水</w:t>
                              </w:r>
                            </w:p>
                            <w:p w14:paraId="32E1CAC3">
                              <w:pPr>
                                <w:keepNext w:val="0"/>
                                <w:keepLines w:val="0"/>
                                <w:pageBreakBefore w:val="0"/>
                                <w:widowControl w:val="0"/>
                                <w:kinsoku/>
                                <w:wordWrap/>
                                <w:overflowPunct w:val="0"/>
                                <w:topLinePunct w:val="0"/>
                                <w:bidi w:val="0"/>
                                <w:adjustRightInd/>
                                <w:snapToGrid/>
                                <w:spacing w:line="240" w:lineRule="auto"/>
                                <w:ind w:left="0" w:leftChars="0" w:firstLine="0" w:firstLineChars="0"/>
                                <w:textAlignment w:val="auto"/>
                                <w:rPr>
                                  <w:rFonts w:hint="eastAsia"/>
                                  <w:sz w:val="21"/>
                                  <w:szCs w:val="21"/>
                                  <w:lang w:eastAsia="zh-CN"/>
                                </w:rPr>
                              </w:pPr>
                              <w:r>
                                <w:rPr>
                                  <w:rFonts w:hint="eastAsia"/>
                                  <w:sz w:val="21"/>
                                  <w:szCs w:val="21"/>
                                  <w:lang w:eastAsia="zh-CN"/>
                                </w:rPr>
                                <w:t>W3-污冷凝水</w:t>
                              </w:r>
                            </w:p>
                          </w:txbxContent>
                        </v:textbox>
                      </v:shape>
                      <v:shape id="_x0000_s1026" o:spid="_x0000_s1026" o:spt="202" type="#_x0000_t202" style="position:absolute;left:151765;top:1630045;height:5698490;width:4114165;" filled="f" stroked="t" coordsize="21600,21600" o:gfxdata="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Fx&#10;kcTVAAAABgEAAA8AAAAAAAAAAQAgAAAAIgAAAGRycy9kb3ducmV2LnhtbFBLAQIUABQAAAAIAIdO&#10;4kD3LAG4XwIAAKAEAAAOAAAAAAAAAAEAIAAAACQBAABkcnMvZTJvRG9jLnhtbFBLBQYAAAAABgAG&#10;AFkBAAD1BQAAAAA=&#10;">
                        <v:fill on="f" focussize="0,0"/>
                        <v:stroke weight="1pt" color="#FF0000" joinstyle="round"/>
                        <v:imagedata o:title=""/>
                        <o:lock v:ext="edit" aspectratio="f"/>
                        <v:textbox>
                          <w:txbxContent>
                            <w:p w14:paraId="2C20A825">
                              <w:pPr>
                                <w:spacing w:line="240" w:lineRule="auto"/>
                                <w:ind w:firstLine="0" w:firstLineChars="0"/>
                                <w:jc w:val="center"/>
                                <w:rPr>
                                  <w:rFonts w:hint="eastAsia" w:eastAsia="宋体"/>
                                  <w:lang w:eastAsia="zh-CN"/>
                                </w:rPr>
                              </w:pPr>
                            </w:p>
                          </w:txbxContent>
                        </v:textbox>
                      </v:shape>
                      <w10:wrap type="none"/>
                      <w10:anchorlock/>
                    </v:group>
                  </w:pict>
                </mc:Fallback>
              </mc:AlternateContent>
            </w:r>
          </w:p>
          <w:p w14:paraId="2B249626">
            <w:pPr>
              <w:pStyle w:val="9"/>
              <w:numPr>
                <w:ilvl w:val="6"/>
                <w:numId w:val="0"/>
              </w:numPr>
              <w:ind w:left="0" w:leftChars="0" w:firstLine="480" w:firstLineChars="200"/>
            </w:pPr>
            <w:r>
              <w:rPr>
                <w:rFonts w:hint="default" w:ascii="Times New Roman" w:hAnsi="Times New Roman" w:eastAsia="宋体" w:cs="Times New Roman"/>
                <w:b/>
                <w:i w:val="0"/>
                <w:kern w:val="2"/>
                <w:sz w:val="24"/>
                <w:szCs w:val="24"/>
                <w:shd w:val="clear" w:fill="FFFFFF"/>
                <w:lang w:val="en-US" w:eastAsia="zh-CN" w:bidi="ar-SA"/>
              </w:rPr>
              <w:t>图2-3</w:t>
            </w:r>
            <w:r>
              <w:rPr>
                <w:rFonts w:hint="eastAsia"/>
              </w:rPr>
              <w:t>项目运营期生产工艺流程及产污环节</w:t>
            </w:r>
          </w:p>
          <w:p w14:paraId="3F738222">
            <w:pPr>
              <w:ind w:firstLine="0" w:firstLineChars="0"/>
              <w:rPr>
                <w:rFonts w:hint="eastAsia" w:eastAsia="宋体"/>
                <w:b/>
                <w:lang w:eastAsia="zh-CN"/>
              </w:rPr>
            </w:pPr>
            <w:r>
              <w:rPr>
                <w:sz w:val="24"/>
              </w:rPr>
              <mc:AlternateContent>
                <mc:Choice Requires="wpc">
                  <w:drawing>
                    <wp:inline distT="0" distB="0" distL="114300" distR="114300">
                      <wp:extent cx="5470525" cy="2286000"/>
                      <wp:effectExtent l="0" t="0" r="15875" b="18415"/>
                      <wp:docPr id="16" name="画布 16"/>
                      <wp:cNvGraphicFramePr/>
                      <a:graphic xmlns:a="http://schemas.openxmlformats.org/drawingml/2006/main">
                        <a:graphicData uri="http://schemas.microsoft.com/office/word/2010/wordprocessingCanvas">
                          <wpc:wpc>
                            <wpc:bg/>
                            <wpc:whole/>
                            <wps:wsp>
                              <wps:cNvPr id="23" name="文本框 23"/>
                              <wps:cNvSpPr txBox="1"/>
                              <wps:spPr>
                                <a:xfrm>
                                  <a:off x="179705" y="179705"/>
                                  <a:ext cx="728345" cy="301625"/>
                                </a:xfrm>
                                <a:prstGeom prst="rect">
                                  <a:avLst/>
                                </a:prstGeom>
                                <a:solidFill>
                                  <a:schemeClr val="lt1"/>
                                </a:solidFill>
                                <a:ln w="6350">
                                  <a:solidFill>
                                    <a:prstClr val="black"/>
                                  </a:solidFill>
                                </a:ln>
                              </wps:spPr>
                              <wps:txbx>
                                <w:txbxContent>
                                  <w:p w14:paraId="061A3D77">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车辆清洗</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1985645" y="193675"/>
                                  <a:ext cx="737235" cy="301625"/>
                                </a:xfrm>
                                <a:prstGeom prst="rect">
                                  <a:avLst/>
                                </a:prstGeom>
                                <a:solidFill>
                                  <a:schemeClr val="lt1"/>
                                </a:solidFill>
                                <a:ln w="6350">
                                  <a:solidFill>
                                    <a:prstClr val="black"/>
                                  </a:solidFill>
                                </a:ln>
                              </wps:spPr>
                              <wps:txbx>
                                <w:txbxContent>
                                  <w:p w14:paraId="6C79176B">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车间清洗</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文本框 25"/>
                              <wps:cNvSpPr txBox="1"/>
                              <wps:spPr>
                                <a:xfrm>
                                  <a:off x="2925445" y="199390"/>
                                  <a:ext cx="738505" cy="301625"/>
                                </a:xfrm>
                                <a:prstGeom prst="rect">
                                  <a:avLst/>
                                </a:prstGeom>
                                <a:solidFill>
                                  <a:schemeClr val="lt1"/>
                                </a:solidFill>
                                <a:ln w="6350">
                                  <a:solidFill>
                                    <a:prstClr val="black"/>
                                  </a:solidFill>
                                </a:ln>
                              </wps:spPr>
                              <wps:txbx>
                                <w:txbxContent>
                                  <w:p w14:paraId="6933C797">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设备冲洗</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6"/>
                              <wps:cNvSpPr txBox="1"/>
                              <wps:spPr>
                                <a:xfrm>
                                  <a:off x="3752850" y="201295"/>
                                  <a:ext cx="875665" cy="301625"/>
                                </a:xfrm>
                                <a:prstGeom prst="rect">
                                  <a:avLst/>
                                </a:prstGeom>
                                <a:solidFill>
                                  <a:schemeClr val="lt1"/>
                                </a:solidFill>
                                <a:ln w="6350">
                                  <a:solidFill>
                                    <a:prstClr val="black"/>
                                  </a:solidFill>
                                </a:ln>
                              </wps:spPr>
                              <wps:txbx>
                                <w:txbxContent>
                                  <w:p w14:paraId="1DF72DD2">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化制冷凝水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 name="文本框 36"/>
                              <wps:cNvSpPr txBox="1"/>
                              <wps:spPr>
                                <a:xfrm>
                                  <a:off x="1033145" y="184785"/>
                                  <a:ext cx="747395" cy="301625"/>
                                </a:xfrm>
                                <a:prstGeom prst="rect">
                                  <a:avLst/>
                                </a:prstGeom>
                                <a:solidFill>
                                  <a:schemeClr val="lt1"/>
                                </a:solidFill>
                                <a:ln w="6350">
                                  <a:solidFill>
                                    <a:prstClr val="black"/>
                                  </a:solidFill>
                                </a:ln>
                              </wps:spPr>
                              <wps:txbx>
                                <w:txbxContent>
                                  <w:p w14:paraId="69F0EF3A">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生活用水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4" name="文本框 64"/>
                              <wps:cNvSpPr txBox="1"/>
                              <wps:spPr>
                                <a:xfrm>
                                  <a:off x="4704715" y="202565"/>
                                  <a:ext cx="738505" cy="301625"/>
                                </a:xfrm>
                                <a:prstGeom prst="rect">
                                  <a:avLst/>
                                </a:prstGeom>
                                <a:solidFill>
                                  <a:schemeClr val="lt1"/>
                                </a:solidFill>
                                <a:ln w="6350">
                                  <a:solidFill>
                                    <a:prstClr val="black"/>
                                  </a:solidFill>
                                </a:ln>
                              </wps:spPr>
                              <wps:txbx>
                                <w:txbxContent>
                                  <w:p w14:paraId="465652A9">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软水制备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 name="文本框 90"/>
                              <wps:cNvSpPr txBox="1"/>
                              <wps:spPr>
                                <a:xfrm>
                                  <a:off x="2171700" y="1123950"/>
                                  <a:ext cx="989965" cy="307340"/>
                                </a:xfrm>
                                <a:prstGeom prst="rect">
                                  <a:avLst/>
                                </a:prstGeom>
                                <a:solidFill>
                                  <a:schemeClr val="lt1"/>
                                </a:solidFill>
                                <a:ln w="6350">
                                  <a:solidFill>
                                    <a:prstClr val="black"/>
                                  </a:solidFill>
                                </a:ln>
                              </wps:spPr>
                              <wps:txbx>
                                <w:txbxContent>
                                  <w:p w14:paraId="741C667C">
                                    <w:pPr>
                                      <w:spacing w:line="240" w:lineRule="auto"/>
                                      <w:ind w:firstLine="0" w:firstLineChars="0"/>
                                      <w:jc w:val="center"/>
                                      <w:rPr>
                                        <w:rFonts w:hint="eastAsia" w:eastAsia="宋体"/>
                                        <w:sz w:val="21"/>
                                        <w:szCs w:val="21"/>
                                        <w:lang w:eastAsia="zh-CN"/>
                                      </w:rPr>
                                    </w:pPr>
                                    <w:r>
                                      <w:rPr>
                                        <w:rFonts w:hint="eastAsia"/>
                                        <w:sz w:val="21"/>
                                        <w:szCs w:val="21"/>
                                        <w:lang w:eastAsia="zh-CN"/>
                                      </w:rPr>
                                      <w:t>黑膜厌氧池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 name="肘形连接符 104"/>
                              <wps:cNvCnPr/>
                              <wps:spPr>
                                <a:xfrm rot="5400000" flipV="1">
                                  <a:off x="1292225" y="-250825"/>
                                  <a:ext cx="642620" cy="2122805"/>
                                </a:xfrm>
                                <a:prstGeom prst="bentConnector3">
                                  <a:avLst>
                                    <a:gd name="adj1" fmla="val 4995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34" name="肘形连接符 134"/>
                              <wps:cNvCnPr>
                                <a:stCxn id="24" idx="2"/>
                                <a:endCxn id="90" idx="0"/>
                              </wps:cNvCnPr>
                              <wps:spPr>
                                <a:xfrm rot="5400000" flipV="1">
                                  <a:off x="2196465" y="653415"/>
                                  <a:ext cx="628650" cy="312420"/>
                                </a:xfrm>
                                <a:prstGeom prst="bentConnector3">
                                  <a:avLst>
                                    <a:gd name="adj1" fmla="val 50000"/>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49" name="肘形连接符 149"/>
                              <wps:cNvCnPr>
                                <a:stCxn id="36" idx="2"/>
                                <a:endCxn id="90" idx="0"/>
                              </wps:cNvCnPr>
                              <wps:spPr>
                                <a:xfrm rot="5400000" flipV="1">
                                  <a:off x="1718310" y="175260"/>
                                  <a:ext cx="637540" cy="1259840"/>
                                </a:xfrm>
                                <a:prstGeom prst="bentConnector3">
                                  <a:avLst>
                                    <a:gd name="adj1" fmla="val 50000"/>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0" name="肘形连接符 150"/>
                              <wps:cNvCnPr>
                                <a:stCxn id="25" idx="2"/>
                                <a:endCxn id="90" idx="0"/>
                              </wps:cNvCnPr>
                              <wps:spPr>
                                <a:xfrm rot="5400000">
                                  <a:off x="2669540" y="497840"/>
                                  <a:ext cx="622935" cy="628015"/>
                                </a:xfrm>
                                <a:prstGeom prst="bentConnector3">
                                  <a:avLst>
                                    <a:gd name="adj1" fmla="val 5005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6" name="肘形连接符 156"/>
                              <wps:cNvCnPr>
                                <a:stCxn id="26" idx="2"/>
                                <a:endCxn id="90" idx="0"/>
                              </wps:cNvCnPr>
                              <wps:spPr>
                                <a:xfrm rot="5400000">
                                  <a:off x="3118485" y="51435"/>
                                  <a:ext cx="621030" cy="1524000"/>
                                </a:xfrm>
                                <a:prstGeom prst="bentConnector3">
                                  <a:avLst>
                                    <a:gd name="adj1" fmla="val 50000"/>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7" name="肘形连接符 157"/>
                              <wps:cNvCnPr/>
                              <wps:spPr>
                                <a:xfrm rot="5400000">
                                  <a:off x="3551555" y="-398145"/>
                                  <a:ext cx="619760" cy="2407285"/>
                                </a:xfrm>
                                <a:prstGeom prst="bentConnector3">
                                  <a:avLst>
                                    <a:gd name="adj1" fmla="val 49949"/>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77" name="直接箭头连接符 177"/>
                              <wps:cNvCnPr/>
                              <wps:spPr>
                                <a:xfrm>
                                  <a:off x="3028315" y="1435735"/>
                                  <a:ext cx="8255" cy="54546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78" name="文本框 178"/>
                              <wps:cNvSpPr txBox="1"/>
                              <wps:spPr>
                                <a:xfrm>
                                  <a:off x="812165" y="1807845"/>
                                  <a:ext cx="989965" cy="307340"/>
                                </a:xfrm>
                                <a:prstGeom prst="rect">
                                  <a:avLst/>
                                </a:prstGeom>
                                <a:solidFill>
                                  <a:schemeClr val="lt1"/>
                                </a:solidFill>
                                <a:ln w="6350">
                                  <a:noFill/>
                                </a:ln>
                              </wps:spPr>
                              <wps:txbx>
                                <w:txbxContent>
                                  <w:p w14:paraId="4724476A">
                                    <w:pPr>
                                      <w:spacing w:line="240" w:lineRule="auto"/>
                                      <w:ind w:firstLine="0" w:firstLineChars="0"/>
                                      <w:jc w:val="center"/>
                                      <w:rPr>
                                        <w:rFonts w:hint="eastAsia" w:eastAsia="宋体"/>
                                        <w:sz w:val="21"/>
                                        <w:szCs w:val="21"/>
                                        <w:lang w:eastAsia="zh-CN"/>
                                      </w:rPr>
                                    </w:pPr>
                                    <w:r>
                                      <w:rPr>
                                        <w:rFonts w:hint="eastAsia"/>
                                        <w:sz w:val="21"/>
                                        <w:szCs w:val="21"/>
                                        <w:lang w:eastAsia="zh-CN"/>
                                      </w:rPr>
                                      <w:t>还林、农灌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9" name="肘形连接符 179"/>
                              <wps:cNvCnPr>
                                <a:endCxn id="178" idx="3"/>
                              </wps:cNvCnPr>
                              <wps:spPr>
                                <a:xfrm rot="10800000" flipV="1">
                                  <a:off x="1801495" y="1443355"/>
                                  <a:ext cx="575945" cy="517525"/>
                                </a:xfrm>
                                <a:prstGeom prst="bentConnector3">
                                  <a:avLst>
                                    <a:gd name="adj1" fmla="val 330"/>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80" name="文本框 180"/>
                              <wps:cNvSpPr txBox="1"/>
                              <wps:spPr>
                                <a:xfrm>
                                  <a:off x="1746250" y="1574165"/>
                                  <a:ext cx="705485" cy="307340"/>
                                </a:xfrm>
                                <a:prstGeom prst="rect">
                                  <a:avLst/>
                                </a:prstGeom>
                                <a:noFill/>
                                <a:ln w="6350">
                                  <a:noFill/>
                                </a:ln>
                              </wps:spPr>
                              <wps:txbx>
                                <w:txbxContent>
                                  <w:p w14:paraId="138D7BC8">
                                    <w:pPr>
                                      <w:spacing w:line="240" w:lineRule="auto"/>
                                      <w:ind w:firstLine="0" w:firstLineChars="0"/>
                                      <w:jc w:val="center"/>
                                      <w:rPr>
                                        <w:rFonts w:hint="eastAsia" w:eastAsia="宋体"/>
                                        <w:sz w:val="21"/>
                                        <w:szCs w:val="21"/>
                                        <w:lang w:eastAsia="zh-CN"/>
                                      </w:rPr>
                                    </w:pPr>
                                    <w:r>
                                      <w:rPr>
                                        <w:rFonts w:hint="eastAsia"/>
                                        <w:sz w:val="21"/>
                                        <w:szCs w:val="21"/>
                                        <w:lang w:val="en-US" w:eastAsia="zh-CN"/>
                                      </w:rPr>
                                      <w:t>W4</w:t>
                                    </w:r>
                                    <w:r>
                                      <w:rPr>
                                        <w:rFonts w:hint="eastAsia"/>
                                        <w:sz w:val="21"/>
                                        <w:szCs w:val="21"/>
                                        <w:lang w:eastAsia="zh-CN"/>
                                      </w:rPr>
                                      <w:t>沼液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1" name="文本框 181"/>
                              <wps:cNvSpPr txBox="1"/>
                              <wps:spPr>
                                <a:xfrm>
                                  <a:off x="2985770" y="1512570"/>
                                  <a:ext cx="654050" cy="307340"/>
                                </a:xfrm>
                                <a:prstGeom prst="rect">
                                  <a:avLst/>
                                </a:prstGeom>
                                <a:noFill/>
                                <a:ln w="6350">
                                  <a:noFill/>
                                </a:ln>
                              </wps:spPr>
                              <wps:txbx>
                                <w:txbxContent>
                                  <w:p w14:paraId="3621FE00">
                                    <w:pPr>
                                      <w:spacing w:line="240" w:lineRule="auto"/>
                                      <w:ind w:firstLine="0" w:firstLineChars="0"/>
                                      <w:jc w:val="center"/>
                                      <w:rPr>
                                        <w:rFonts w:hint="eastAsia" w:eastAsia="宋体"/>
                                        <w:sz w:val="21"/>
                                        <w:szCs w:val="21"/>
                                        <w:lang w:eastAsia="zh-CN"/>
                                      </w:rPr>
                                    </w:pPr>
                                    <w:r>
                                      <w:rPr>
                                        <w:rFonts w:hint="eastAsia"/>
                                        <w:sz w:val="21"/>
                                        <w:szCs w:val="21"/>
                                        <w:lang w:val="en-US" w:eastAsia="zh-CN"/>
                                      </w:rPr>
                                      <w:t>G3</w:t>
                                    </w:r>
                                    <w:r>
                                      <w:rPr>
                                        <w:rFonts w:hint="eastAsia"/>
                                        <w:sz w:val="21"/>
                                        <w:szCs w:val="21"/>
                                        <w:lang w:eastAsia="zh-CN"/>
                                      </w:rPr>
                                      <w:t>沼气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3" name="文本框 183"/>
                              <wps:cNvSpPr txBox="1"/>
                              <wps:spPr>
                                <a:xfrm>
                                  <a:off x="2516505" y="1989455"/>
                                  <a:ext cx="1197610" cy="307340"/>
                                </a:xfrm>
                                <a:prstGeom prst="rect">
                                  <a:avLst/>
                                </a:prstGeom>
                                <a:solidFill>
                                  <a:schemeClr val="lt1"/>
                                </a:solidFill>
                                <a:ln w="6350">
                                  <a:noFill/>
                                </a:ln>
                              </wps:spPr>
                              <wps:txbx>
                                <w:txbxContent>
                                  <w:p w14:paraId="375D0316">
                                    <w:pPr>
                                      <w:spacing w:line="240" w:lineRule="auto"/>
                                      <w:ind w:firstLine="0" w:firstLineChars="0"/>
                                      <w:jc w:val="center"/>
                                      <w:rPr>
                                        <w:rFonts w:hint="eastAsia" w:eastAsia="宋体"/>
                                        <w:sz w:val="21"/>
                                        <w:szCs w:val="21"/>
                                        <w:lang w:eastAsia="zh-CN"/>
                                      </w:rPr>
                                    </w:pPr>
                                    <w:r>
                                      <w:rPr>
                                        <w:rFonts w:hint="eastAsia"/>
                                        <w:sz w:val="21"/>
                                        <w:szCs w:val="21"/>
                                        <w:lang w:eastAsia="zh-CN"/>
                                      </w:rPr>
                                      <w:t>生物质锅炉燃烧</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80pt;width:430.75pt;" coordsize="5470525,2286000" editas="canvas" o:gfxdata="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">
                      <o:lock v:ext="edit" aspectratio="f"/>
                      <v:shape id="_x0000_s1026" o:spid="_x0000_s1026" style="position:absolute;left:0;top:0;height:2286000;width:5470525;" filled="f" stroked="f" coordsize="21600,21600" o:gfxdata="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">
                        <v:fill on="f" focussize="0,0"/>
                        <v:stroke on="f"/>
                        <v:imagedata o:title=""/>
                        <o:lock v:ext="edit" aspectratio="f"/>
                      </v:shape>
                      <v:shape id="_x0000_s1026" o:spid="_x0000_s1026" o:spt="202" type="#_x0000_t202" style="position:absolute;left:179705;top:179705;height:301625;width:728345;" fillcolor="#FFFFFF [3201]" filled="t" stroked="t" coordsize="21600,21600" o:gfxdata="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oWotTT&#10;AAAABQEAAA8AAAAAAAAAAQAgAAAAIgAAAGRycy9kb3ducmV2LnhtbFBLAQIUABQAAAAIAIdO4kDG&#10;22QMXgIAAMIEAAAOAAAAAAAAAAEAIAAAACIBAABkcnMvZTJvRG9jLnhtbFBLBQYAAAAABgAGAFkB&#10;AADyBQAAAAA=&#10;">
                        <v:fill on="t" focussize="0,0"/>
                        <v:stroke weight="0.5pt" color="#000000" joinstyle="round"/>
                        <v:imagedata o:title=""/>
                        <o:lock v:ext="edit" aspectratio="f"/>
                        <v:textbox>
                          <w:txbxContent>
                            <w:p w14:paraId="061A3D77">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车辆清洗</w:t>
                              </w:r>
                            </w:p>
                          </w:txbxContent>
                        </v:textbox>
                      </v:shape>
                      <v:shape id="_x0000_s1026" o:spid="_x0000_s1026" o:spt="202" type="#_x0000_t202" style="position:absolute;left:1985645;top:193675;height:301625;width:737235;" fillcolor="#FFFFFF [3201]" filled="t" stroked="t" coordsize="21600,21600" o:gfxdata="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hai1NMAAAAFAQAADwAAAAAAAAABACAAAAAiAAAAZHJzL2Rvd25yZXYueG1sUEsBAhQAFAAAAAgA&#10;h07iQK0muZxjAgAAwwQAAA4AAAAAAAAAAQAgAAAAIgEAAGRycy9lMm9Eb2MueG1sUEsFBgAAAAAG&#10;AAYAWQEAAPcFAAAAAA==&#10;">
                        <v:fill on="t" focussize="0,0"/>
                        <v:stroke weight="0.5pt" color="#000000" joinstyle="round"/>
                        <v:imagedata o:title=""/>
                        <o:lock v:ext="edit" aspectratio="f"/>
                        <v:textbox>
                          <w:txbxContent>
                            <w:p w14:paraId="6C79176B">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车间清洗</w:t>
                              </w:r>
                            </w:p>
                          </w:txbxContent>
                        </v:textbox>
                      </v:shape>
                      <v:shape id="_x0000_s1026" o:spid="_x0000_s1026" o:spt="202" type="#_x0000_t202" style="position:absolute;left:2925445;top:199390;height:301625;width:738505;" fillcolor="#FFFFFF [3201]" filled="t" stroked="t" coordsize="21600,21600" o:gfxdata="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oWotTTAAAABQEAAA8AAAAAAAAAAQAgAAAAIgAAAGRycy9kb3ducmV2LnhtbFBLAQIUABQAAAAI&#10;AIdO4kDVIp/xZAIAAMMEAAAOAAAAAAAAAAEAIAAAACIBAABkcnMvZTJvRG9jLnhtbFBLBQYAAAAA&#10;BgAGAFkBAAD4BQAAAAA=&#10;">
                        <v:fill on="t" focussize="0,0"/>
                        <v:stroke weight="0.5pt" color="#000000" joinstyle="round"/>
                        <v:imagedata o:title=""/>
                        <o:lock v:ext="edit" aspectratio="f"/>
                        <v:textbox>
                          <w:txbxContent>
                            <w:p w14:paraId="6933C797">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设备冲洗</w:t>
                              </w:r>
                            </w:p>
                          </w:txbxContent>
                        </v:textbox>
                      </v:shape>
                      <v:shape id="_x0000_s1026" o:spid="_x0000_s1026" o:spt="202" type="#_x0000_t202" style="position:absolute;left:3752850;top:201295;height:301625;width:875665;" fillcolor="#FFFFFF [3201]" filled="t" stroked="t" coordsize="21600,21600" o:gfxdata="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oWotTTAAAABQEAAA8AAAAAAAAAAQAgAAAAIgAAAGRycy9kb3ducmV2LnhtbFBLAQIUABQAAAAI&#10;AIdO4kDqDXhxZAIAAMMEAAAOAAAAAAAAAAEAIAAAACIBAABkcnMvZTJvRG9jLnhtbFBLBQYAAAAA&#10;BgAGAFkBAAD4BQAAAAA=&#10;">
                        <v:fill on="t" focussize="0,0"/>
                        <v:stroke weight="0.5pt" color="#000000" joinstyle="round"/>
                        <v:imagedata o:title=""/>
                        <o:lock v:ext="edit" aspectratio="f"/>
                        <v:textbox>
                          <w:txbxContent>
                            <w:p w14:paraId="1DF72DD2">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化制冷凝水</w:t>
                              </w:r>
                            </w:p>
                          </w:txbxContent>
                        </v:textbox>
                      </v:shape>
                      <v:shape id="_x0000_s1026" o:spid="_x0000_s1026" o:spt="202" type="#_x0000_t202" style="position:absolute;left:1033145;top:184785;height:301625;width:747395;" fillcolor="#FFFFFF [3201]" filled="t" stroked="t" coordsize="21600,21600" o:gfxdata="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hai1NMAAAAFAQAADwAAAAAAAAABACAAAAAiAAAAZHJzL2Rvd25yZXYueG1sUEsBAhQAFAAAAAgA&#10;h07iQKElHfVjAgAAwwQAAA4AAAAAAAAAAQAgAAAAIgEAAGRycy9lMm9Eb2MueG1sUEsFBgAAAAAG&#10;AAYAWQEAAPcFAAAAAA==&#10;">
                        <v:fill on="t" focussize="0,0"/>
                        <v:stroke weight="0.5pt" color="#000000" joinstyle="round"/>
                        <v:imagedata o:title=""/>
                        <o:lock v:ext="edit" aspectratio="f"/>
                        <v:textbox>
                          <w:txbxContent>
                            <w:p w14:paraId="69F0EF3A">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生活用水</w:t>
                              </w:r>
                            </w:p>
                          </w:txbxContent>
                        </v:textbox>
                      </v:shape>
                      <v:shape id="_x0000_s1026" o:spid="_x0000_s1026" o:spt="202" type="#_x0000_t202" style="position:absolute;left:4704715;top:202565;height:301625;width:738505;" fillcolor="#FFFFFF [3201]" filled="t" stroked="t" coordsize="21600,21600" o:gfxdata="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aFqLU0wAAAAUBAAAPAAAAAAAAAAEAIAAAACIAAABkcnMvZG93bnJldi54bWxQSwECFAAUAAAA&#10;CACHTuJAQsx11GUCAADDBAAADgAAAAAAAAABACAAAAAiAQAAZHJzL2Uyb0RvYy54bWxQSwUGAAAA&#10;AAYABgBZAQAA+QUAAAAA&#10;">
                        <v:fill on="t" focussize="0,0"/>
                        <v:stroke weight="0.5pt" color="#000000" joinstyle="round"/>
                        <v:imagedata o:title=""/>
                        <o:lock v:ext="edit" aspectratio="f"/>
                        <v:textbox>
                          <w:txbxContent>
                            <w:p w14:paraId="465652A9">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软水制备</w:t>
                              </w:r>
                            </w:p>
                          </w:txbxContent>
                        </v:textbox>
                      </v:shape>
                      <v:shape id="_x0000_s1026" o:spid="_x0000_s1026" o:spt="202" type="#_x0000_t202" style="position:absolute;left:2171700;top:1123950;height:307340;width:989965;" fillcolor="#FFFFFF [3201]" filled="t" stroked="t" coordsize="21600,21600" o:gfxdata="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oWotTTAAAABQEAAA8AAAAAAAAAAQAgAAAAIgAAAGRycy9kb3ducmV2LnhtbFBLAQIUABQAAAAI&#10;AIdO4kDlDRQTZAIAAMQEAAAOAAAAAAAAAAEAIAAAACIBAABkcnMvZTJvRG9jLnhtbFBLBQYAAAAA&#10;BgAGAFkBAAD4BQAAAAA=&#10;">
                        <v:fill on="t" focussize="0,0"/>
                        <v:stroke weight="0.5pt" color="#000000" joinstyle="round"/>
                        <v:imagedata o:title=""/>
                        <o:lock v:ext="edit" aspectratio="f"/>
                        <v:textbox>
                          <w:txbxContent>
                            <w:p w14:paraId="741C667C">
                              <w:pPr>
                                <w:spacing w:line="240" w:lineRule="auto"/>
                                <w:ind w:firstLine="0" w:firstLineChars="0"/>
                                <w:jc w:val="center"/>
                                <w:rPr>
                                  <w:rFonts w:hint="eastAsia" w:eastAsia="宋体"/>
                                  <w:sz w:val="21"/>
                                  <w:szCs w:val="21"/>
                                  <w:lang w:eastAsia="zh-CN"/>
                                </w:rPr>
                              </w:pPr>
                              <w:r>
                                <w:rPr>
                                  <w:rFonts w:hint="eastAsia"/>
                                  <w:sz w:val="21"/>
                                  <w:szCs w:val="21"/>
                                  <w:lang w:eastAsia="zh-CN"/>
                                </w:rPr>
                                <w:t>黑膜厌氧池</w:t>
                              </w:r>
                            </w:p>
                          </w:txbxContent>
                        </v:textbox>
                      </v:shape>
                      <v:shape id="_x0000_s1026" o:spid="_x0000_s1026" o:spt="34" type="#_x0000_t34" style="position:absolute;left:1292225;top:-250825;flip:y;height:2122805;width:642620;rotation:-5898240f;" filled="f" stroked="t" coordsize="21600,21600" o:gfxdata="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YN5D7UAAAABQEAAA8AAAAAAAAAAQAgAAAAIgAAAGRycy9kb3ducmV2&#10;LnhtbFBLAQIUABQAAAAIAIdO4kBa/rM/OQIAADIEAAAOAAAAAAAAAAEAIAAAACMBAABkcnMvZTJv&#10;RG9jLnhtbFBLBQYAAAAABgAGAFkBAADOBQAAAAA=&#10;" adj="10789">
                        <v:fill on="f" focussize="0,0"/>
                        <v:stroke weight="1pt" color="#000000 [3213]" miterlimit="8" joinstyle="miter" endarrow="block"/>
                        <v:imagedata o:title=""/>
                        <o:lock v:ext="edit" aspectratio="f"/>
                      </v:shape>
                      <v:shape id="_x0000_s1026" o:spid="_x0000_s1026" o:spt="34" type="#_x0000_t34" style="position:absolute;left:2196465;top:653415;flip:y;height:312420;width:628650;rotation:-5898240f;" filled="f" stroked="t" coordsize="21600,21600" o:gfxdata="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mn6AfUAAAABQEAAA8A&#10;AAAAAAAAAQAgAAAAIgAAAGRycy9kb3ducmV2LnhtbFBLAQIUABQAAAAIAIdO4kDayZ8BVAIAAHIE&#10;AAAOAAAAAAAAAAEAIAAAACMBAABkcnMvZTJvRG9jLnhtbFBLBQYAAAAABgAGAFkBAADpBQAAAAA=&#10;" adj="10800">
                        <v:fill on="f" focussize="0,0"/>
                        <v:stroke weight="1pt" color="#000000 [3213]" miterlimit="8" joinstyle="miter" endarrow="block"/>
                        <v:imagedata o:title=""/>
                        <o:lock v:ext="edit" aspectratio="f"/>
                      </v:shape>
                      <v:shape id="_x0000_s1026" o:spid="_x0000_s1026" o:spt="34" type="#_x0000_t34" style="position:absolute;left:1718310;top:175260;flip:y;height:1259840;width:637540;rotation:-5898240f;" filled="f" stroked="t" coordsize="21600,21600" o:gfxdata="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mn6AfUAAAABQEAAA8AAAAA&#10;AAAAAQAgAAAAIgAAAGRycy9kb3ducmV2LnhtbFBLAQIUABQAAAAIAIdO4kBmf5gnUQIAAHMEAAAO&#10;AAAAAAAAAAEAIAAAACMBAABkcnMvZTJvRG9jLnhtbFBLBQYAAAAABgAGAFkBAADmBQAAAAA=&#10;" adj="10800">
                        <v:fill on="f" focussize="0,0"/>
                        <v:stroke weight="1pt" color="#000000 [3213]" miterlimit="8" joinstyle="miter" endarrow="block"/>
                        <v:imagedata o:title=""/>
                        <o:lock v:ext="edit" aspectratio="f"/>
                      </v:shape>
                      <v:shape id="_x0000_s1026" o:spid="_x0000_s1026" o:spt="34" type="#_x0000_t34" style="position:absolute;left:2669540;top:497840;height:628015;width:622935;rotation:5898240f;" filled="f" stroked="t" coordsize="21600,21600" o:gfxdata="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tcNC7UAAAABQEAAA8AAAAAAAAA&#10;AQAgAAAAIgAAAGRycy9kb3ducmV2LnhtbFBLAQIUABQAAAAIAIdO4kAjjE+QTgIAAGgEAAAOAAAA&#10;AAAAAAEAIAAAACMBAABkcnMvZTJvRG9jLnhtbFBLBQYAAAAABgAGAFkBAADjBQAAAAA=&#10;" adj="10811">
                        <v:fill on="f" focussize="0,0"/>
                        <v:stroke weight="1pt" color="#000000 [3213]" miterlimit="8" joinstyle="miter" endarrow="block"/>
                        <v:imagedata o:title=""/>
                        <o:lock v:ext="edit" aspectratio="f"/>
                      </v:shape>
                      <v:shape id="_x0000_s1026" o:spid="_x0000_s1026" o:spt="34" type="#_x0000_t34" style="position:absolute;left:3118485;top:51435;height:1524000;width:621030;rotation:5898240f;" filled="f" stroked="t" coordsize="21600,21600" o:gfxdata="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Xr6K61QAAAAUBAAAPAAAAAAAAAAEA&#10;IAAAACIAAABkcnMvZG93bnJldi54bWxQSwECFAAUAAAACACHTuJAX3Ks1UsCAABoBAAADgAAAAAA&#10;AAABACAAAAAkAQAAZHJzL2Uyb0RvYy54bWxQSwUGAAAAAAYABgBZAQAA4QUAAAAA&#10;" adj="10800">
                        <v:fill on="f" focussize="0,0"/>
                        <v:stroke weight="1pt" color="#000000 [3213]" miterlimit="8" joinstyle="miter" endarrow="block"/>
                        <v:imagedata o:title=""/>
                        <o:lock v:ext="edit" aspectratio="f"/>
                      </v:shape>
                      <v:shape id="_x0000_s1026" o:spid="_x0000_s1026" o:spt="34" type="#_x0000_t34" style="position:absolute;left:3551555;top:-398145;height:2407285;width:619760;rotation:5898240f;" filled="f" stroked="t" coordsize="21600,21600" o:gfxdata="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Za3ItUAAAAFAQAADwAAAAAAAAABACAAAAAiAAAAZHJzL2Rvd25yZXYu&#10;eG1sUEsBAhQAFAAAAAgAh07iQBreeRY3AgAAKAQAAA4AAAAAAAAAAQAgAAAAJAEAAGRycy9lMm9E&#10;b2MueG1sUEsFBgAAAAAGAAYAWQEAAM0FAAAAAA==&#10;" adj="10789">
                        <v:fill on="f" focussize="0,0"/>
                        <v:stroke weight="1pt" color="#000000 [3213]" miterlimit="8" joinstyle="miter" endarrow="block"/>
                        <v:imagedata o:title=""/>
                        <o:lock v:ext="edit" aspectratio="f"/>
                      </v:shape>
                      <v:shape id="_x0000_s1026" o:spid="_x0000_s1026" o:spt="32" type="#_x0000_t32" style="position:absolute;left:3028315;top:1435735;height:545465;width:8255;" filled="f" stroked="t" coordsize="21600,21600" o:gfxdata="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B2epNQAAAAFAQAADwAAAAAA&#10;AAABACAAAAAiAAAAZHJzL2Rvd25yZXYueG1sUEsBAhQAFAAAAAgAh07iQHblj68XAgAA9AMAAA4A&#10;AAAAAAAAAQAgAAAAIwEAAGRycy9lMm9Eb2MueG1sUEsFBgAAAAAGAAYAWQEAAKwFAAAAAA==&#10;">
                        <v:fill on="f" focussize="0,0"/>
                        <v:stroke weight="1pt" color="#000000 [3213]" miterlimit="8" joinstyle="miter" endarrow="block"/>
                        <v:imagedata o:title=""/>
                        <o:lock v:ext="edit" aspectratio="f"/>
                      </v:shape>
                      <v:shape id="_x0000_s1026" o:spid="_x0000_s1026" o:spt="202" type="#_x0000_t202" style="position:absolute;left:812165;top:1807845;height:307340;width:989965;" fillcolor="#FFFFFF [3201]" filled="t" stroked="f" coordsize="21600,21600" o:gfxdata="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gNugH0gAA&#10;AAUBAAAPAAAAAAAAAAEAIAAAACIAAABkcnMvZG93bnJldi54bWxQSwECFAAUAAAACACHTuJAjp5U&#10;rV0CAACdBAAADgAAAAAAAAABACAAAAAhAQAAZHJzL2Uyb0RvYy54bWxQSwUGAAAAAAYABgBZAQAA&#10;8AUAAAAA&#10;">
                        <v:fill on="t" focussize="0,0"/>
                        <v:stroke on="f" weight="0.5pt"/>
                        <v:imagedata o:title=""/>
                        <o:lock v:ext="edit" aspectratio="f"/>
                        <v:textbox>
                          <w:txbxContent>
                            <w:p w14:paraId="4724476A">
                              <w:pPr>
                                <w:spacing w:line="240" w:lineRule="auto"/>
                                <w:ind w:firstLine="0" w:firstLineChars="0"/>
                                <w:jc w:val="center"/>
                                <w:rPr>
                                  <w:rFonts w:hint="eastAsia" w:eastAsia="宋体"/>
                                  <w:sz w:val="21"/>
                                  <w:szCs w:val="21"/>
                                  <w:lang w:eastAsia="zh-CN"/>
                                </w:rPr>
                              </w:pPr>
                              <w:r>
                                <w:rPr>
                                  <w:rFonts w:hint="eastAsia"/>
                                  <w:sz w:val="21"/>
                                  <w:szCs w:val="21"/>
                                  <w:lang w:eastAsia="zh-CN"/>
                                </w:rPr>
                                <w:t>还林、农灌</w:t>
                              </w:r>
                            </w:p>
                          </w:txbxContent>
                        </v:textbox>
                      </v:shape>
                      <v:shape id="_x0000_s1026" o:spid="_x0000_s1026" o:spt="34" type="#_x0000_t34" style="position:absolute;left:1801495;top:1443355;flip:y;height:517525;width:575945;rotation:11796480f;" filled="f" stroked="t" coordsize="21600,21600" o:gfxdata="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l0X79YAAAAFAQAADwAAAAAA&#10;AAABACAAAAAiAAAAZHJzL2Rvd25yZXYueG1sUEsBAhQAFAAAAAgAh07iQPGZA2VOAgAAWQQAAA4A&#10;AAAAAAAAAQAgAAAAJQEAAGRycy9lMm9Eb2MueG1sUEsFBgAAAAAGAAYAWQEAAOUFAAAAAA==&#10;" adj="71">
                        <v:fill on="f" focussize="0,0"/>
                        <v:stroke weight="1pt" color="#000000 [3213]" miterlimit="8" joinstyle="miter" endarrow="block"/>
                        <v:imagedata o:title=""/>
                        <o:lock v:ext="edit" aspectratio="f"/>
                      </v:shape>
                      <v:shape id="_x0000_s1026" o:spid="_x0000_s1026" o:spt="202" type="#_x0000_t202" style="position:absolute;left:1746250;top:1574165;height:307340;width:705485;" filled="f" stroked="f" coordsize="21600,21600" o:gfxdata="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JAEvC1wAAAAUBAAAPAAAAAAAAAAEAIAAA&#10;ACIAAABkcnMvZG93bnJldi54bWxQSwECFAAUAAAACACHTuJA60Yw20YCAAB1BAAADgAAAAAAAAAB&#10;ACAAAAAmAQAAZHJzL2Uyb0RvYy54bWxQSwUGAAAAAAYABgBZAQAA3gUAAAAA&#10;">
                        <v:fill on="f" focussize="0,0"/>
                        <v:stroke on="f" weight="0.5pt"/>
                        <v:imagedata o:title=""/>
                        <o:lock v:ext="edit" aspectratio="f"/>
                        <v:textbox>
                          <w:txbxContent>
                            <w:p w14:paraId="138D7BC8">
                              <w:pPr>
                                <w:spacing w:line="240" w:lineRule="auto"/>
                                <w:ind w:firstLine="0" w:firstLineChars="0"/>
                                <w:jc w:val="center"/>
                                <w:rPr>
                                  <w:rFonts w:hint="eastAsia" w:eastAsia="宋体"/>
                                  <w:sz w:val="21"/>
                                  <w:szCs w:val="21"/>
                                  <w:lang w:eastAsia="zh-CN"/>
                                </w:rPr>
                              </w:pPr>
                              <w:r>
                                <w:rPr>
                                  <w:rFonts w:hint="eastAsia"/>
                                  <w:sz w:val="21"/>
                                  <w:szCs w:val="21"/>
                                  <w:lang w:val="en-US" w:eastAsia="zh-CN"/>
                                </w:rPr>
                                <w:t>W4</w:t>
                              </w:r>
                              <w:r>
                                <w:rPr>
                                  <w:rFonts w:hint="eastAsia"/>
                                  <w:sz w:val="21"/>
                                  <w:szCs w:val="21"/>
                                  <w:lang w:eastAsia="zh-CN"/>
                                </w:rPr>
                                <w:t>沼液</w:t>
                              </w:r>
                            </w:p>
                          </w:txbxContent>
                        </v:textbox>
                      </v:shape>
                      <v:shape id="_x0000_s1026" o:spid="_x0000_s1026" o:spt="202" type="#_x0000_t202" style="position:absolute;left:2985770;top:1512570;height:307340;width:654050;" filled="f" stroked="f" coordsize="21600,21600" o:gfxdata="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iQBLwtcAAAAFAQAADwAAAAAAAAABACAAAAAi&#10;AAAAZHJzL2Rvd25yZXYueG1sUEsBAhQAFAAAAAgAh07iQD82ErJEAgAAdQQAAA4AAAAAAAAAAQAg&#10;AAAAJgEAAGRycy9lMm9Eb2MueG1sUEsFBgAAAAAGAAYAWQEAANwFAAAAAA==&#10;">
                        <v:fill on="f" focussize="0,0"/>
                        <v:stroke on="f" weight="0.5pt"/>
                        <v:imagedata o:title=""/>
                        <o:lock v:ext="edit" aspectratio="f"/>
                        <v:textbox>
                          <w:txbxContent>
                            <w:p w14:paraId="3621FE00">
                              <w:pPr>
                                <w:spacing w:line="240" w:lineRule="auto"/>
                                <w:ind w:firstLine="0" w:firstLineChars="0"/>
                                <w:jc w:val="center"/>
                                <w:rPr>
                                  <w:rFonts w:hint="eastAsia" w:eastAsia="宋体"/>
                                  <w:sz w:val="21"/>
                                  <w:szCs w:val="21"/>
                                  <w:lang w:eastAsia="zh-CN"/>
                                </w:rPr>
                              </w:pPr>
                              <w:r>
                                <w:rPr>
                                  <w:rFonts w:hint="eastAsia"/>
                                  <w:sz w:val="21"/>
                                  <w:szCs w:val="21"/>
                                  <w:lang w:val="en-US" w:eastAsia="zh-CN"/>
                                </w:rPr>
                                <w:t>G3</w:t>
                              </w:r>
                              <w:r>
                                <w:rPr>
                                  <w:rFonts w:hint="eastAsia"/>
                                  <w:sz w:val="21"/>
                                  <w:szCs w:val="21"/>
                                  <w:lang w:eastAsia="zh-CN"/>
                                </w:rPr>
                                <w:t>沼气</w:t>
                              </w:r>
                            </w:p>
                          </w:txbxContent>
                        </v:textbox>
                      </v:shape>
                      <v:shape id="_x0000_s1026" o:spid="_x0000_s1026" o:spt="202" type="#_x0000_t202" style="position:absolute;left:2516505;top:1989455;height:307340;width:1197610;" fillcolor="#FFFFFF [3201]" filled="t" stroked="f" coordsize="21600,21600" o:gfxdata="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gNugH&#10;0gAAAAUBAAAPAAAAAAAAAAEAIAAAACIAAABkcnMvZG93bnJldi54bWxQSwECFAAUAAAACACHTuJA&#10;kuobhmACAACfBAAADgAAAAAAAAABACAAAAAhAQAAZHJzL2Uyb0RvYy54bWxQSwUGAAAAAAYABgBZ&#10;AQAA8wUAAAAA&#10;">
                        <v:fill on="t" focussize="0,0"/>
                        <v:stroke on="f" weight="0.5pt"/>
                        <v:imagedata o:title=""/>
                        <o:lock v:ext="edit" aspectratio="f"/>
                        <v:textbox>
                          <w:txbxContent>
                            <w:p w14:paraId="375D0316">
                              <w:pPr>
                                <w:spacing w:line="240" w:lineRule="auto"/>
                                <w:ind w:firstLine="0" w:firstLineChars="0"/>
                                <w:jc w:val="center"/>
                                <w:rPr>
                                  <w:rFonts w:hint="eastAsia" w:eastAsia="宋体"/>
                                  <w:sz w:val="21"/>
                                  <w:szCs w:val="21"/>
                                  <w:lang w:eastAsia="zh-CN"/>
                                </w:rPr>
                              </w:pPr>
                              <w:r>
                                <w:rPr>
                                  <w:rFonts w:hint="eastAsia"/>
                                  <w:sz w:val="21"/>
                                  <w:szCs w:val="21"/>
                                  <w:lang w:eastAsia="zh-CN"/>
                                </w:rPr>
                                <w:t>生物质锅炉燃烧</w:t>
                              </w:r>
                            </w:p>
                          </w:txbxContent>
                        </v:textbox>
                      </v:shape>
                      <w10:wrap type="none"/>
                      <w10:anchorlock/>
                    </v:group>
                  </w:pict>
                </mc:Fallback>
              </mc:AlternateContent>
            </w:r>
          </w:p>
          <w:p w14:paraId="61BD782C">
            <w:pPr>
              <w:pStyle w:val="9"/>
              <w:numPr>
                <w:ilvl w:val="6"/>
                <w:numId w:val="0"/>
              </w:numPr>
              <w:bidi w:val="0"/>
              <w:ind w:leftChars="0"/>
              <w:jc w:val="center"/>
              <w:rPr>
                <w:rFonts w:hint="default" w:eastAsia="宋体"/>
                <w:lang w:val="en-US" w:eastAsia="zh-CN"/>
              </w:rPr>
            </w:pPr>
            <w:r>
              <w:rPr>
                <w:rFonts w:hint="eastAsia"/>
                <w:lang w:eastAsia="zh-CN"/>
              </w:rPr>
              <w:t>图</w:t>
            </w:r>
            <w:r>
              <w:rPr>
                <w:rFonts w:hint="eastAsia"/>
                <w:lang w:val="en-US" w:eastAsia="zh-CN"/>
              </w:rPr>
              <w:t>2-4项目黑膜厌氧池处理工序产排污环节</w:t>
            </w:r>
          </w:p>
          <w:p w14:paraId="0F3B0DF3">
            <w:pPr>
              <w:ind w:firstLine="0" w:firstLineChars="0"/>
            </w:pPr>
            <w:r>
              <w:rPr>
                <w:rFonts w:hint="eastAsia"/>
                <w:b/>
              </w:rPr>
              <w:t>工艺流程简述：</w:t>
            </w:r>
          </w:p>
          <w:p w14:paraId="54C85A4C">
            <w:pPr>
              <w:ind w:firstLine="480"/>
              <w:rPr>
                <w:rFonts w:hint="default" w:ascii="Times New Roman" w:hAnsi="Times New Roman" w:eastAsia="宋体" w:cs="Times New Roman"/>
              </w:rPr>
            </w:pPr>
            <w:r>
              <w:rPr>
                <w:rFonts w:hint="default" w:ascii="Times New Roman" w:hAnsi="Times New Roman" w:eastAsia="宋体" w:cs="Times New Roman"/>
              </w:rPr>
              <w:t>项目采用化制法对病死畜禽尸体进行无害化处理，并达到完全杀灭畜禽尸体内病原体和资源再利用的目的,干化化制法主要通过向化制罐夹层和中轴通入高温高压饱和蒸汽，间接加热产品，使罐内达到高温(120-180℃)高压状态来完全杀灭畜禽尸体内病原体，泄压后通过抽真空加热达到干燥物料的目的。工艺采用破碎→高温高压化制→物料烘干→脱脂榨油→风冷冷却→物料包装储存→油脂储存;处理后的肉骨粉可以做有机肥的原料或非人类食用动物饲料;得到的油脂用于工业用油或提炼生物柴油。</w:t>
            </w:r>
          </w:p>
          <w:p w14:paraId="55899A48">
            <w:pPr>
              <w:ind w:firstLine="480"/>
              <w:rPr>
                <w:rFonts w:hint="default" w:ascii="Times New Roman" w:hAnsi="Times New Roman" w:eastAsia="宋体" w:cs="Times New Roman"/>
              </w:rPr>
            </w:pPr>
            <w:r>
              <w:rPr>
                <w:rFonts w:hint="default" w:ascii="Times New Roman" w:hAnsi="Times New Roman" w:eastAsia="宋体" w:cs="Times New Roman"/>
              </w:rPr>
              <w:t>该方法为《病死及病害动物无害化处理技术规范》(农医发[2017]25号)中推荐的工艺方法。项目工艺流程简述具体如下:</w:t>
            </w:r>
          </w:p>
          <w:p w14:paraId="4A4A863C">
            <w:pPr>
              <w:ind w:firstLine="480"/>
              <w:rPr>
                <w:rFonts w:hint="default" w:ascii="Times New Roman" w:hAnsi="Times New Roman" w:eastAsia="宋体" w:cs="Times New Roman"/>
              </w:rPr>
            </w:pPr>
            <w:r>
              <w:rPr>
                <w:rFonts w:hint="default" w:ascii="Times New Roman" w:hAnsi="Times New Roman" w:eastAsia="宋体" w:cs="Times New Roman"/>
              </w:rPr>
              <w:t>病死畜禽尸体无害化处理流程:</w:t>
            </w:r>
          </w:p>
          <w:p w14:paraId="5D201FB3">
            <w:pPr>
              <w:ind w:firstLine="480"/>
              <w:rPr>
                <w:rFonts w:hint="default" w:ascii="Times New Roman" w:hAnsi="Times New Roman" w:eastAsia="宋体" w:cs="Times New Roman"/>
              </w:rPr>
            </w:pPr>
            <w:r>
              <w:rPr>
                <w:rFonts w:hint="default" w:ascii="Times New Roman" w:hAnsi="Times New Roman" w:eastAsia="宋体" w:cs="Times New Roman"/>
              </w:rPr>
              <w:t>本项目病死畜禽尸体无害化处理过程主要包括原料收集、运输和记录、消毒、破碎、化制处理、压榨脱脂、风冷冷却、出料袋装等过程，本项目处理工艺一次处理一批物料，待物料进入下一工序后，才可以继续下一批次工作，完整的一个批次工作时长约为5个小时，其整个工作流程如下:</w:t>
            </w:r>
          </w:p>
          <w:p w14:paraId="22042A61">
            <w:pPr>
              <w:pStyle w:val="12"/>
              <w:rPr>
                <w:rFonts w:hint="default" w:ascii="Times New Roman" w:hAnsi="Times New Roman" w:eastAsia="宋体" w:cs="Times New Roman"/>
              </w:rPr>
            </w:pPr>
            <w:r>
              <w:rPr>
                <w:rFonts w:hint="default" w:ascii="Times New Roman" w:hAnsi="Times New Roman" w:eastAsia="宋体" w:cs="Times New Roman"/>
              </w:rPr>
              <w:t>1、原料收集、运输和记录</w:t>
            </w:r>
          </w:p>
          <w:p w14:paraId="73ABFBA6">
            <w:pPr>
              <w:pStyle w:val="12"/>
              <w:rPr>
                <w:rFonts w:hint="default" w:ascii="Times New Roman" w:hAnsi="Times New Roman" w:eastAsia="宋体" w:cs="Times New Roman"/>
              </w:rPr>
            </w:pPr>
            <w:r>
              <w:rPr>
                <w:rFonts w:hint="default" w:ascii="Times New Roman" w:hAnsi="Times New Roman" w:eastAsia="宋体" w:cs="Times New Roman"/>
              </w:rPr>
              <w:t>项目根据相关卫生防疫要求对收购的病死动物进行收集，该工序包括认定、收集、运输、记录等环节。</w:t>
            </w:r>
          </w:p>
          <w:p w14:paraId="746B9E12">
            <w:pPr>
              <w:pStyle w:val="12"/>
              <w:rPr>
                <w:rFonts w:hint="default" w:ascii="Times New Roman" w:hAnsi="Times New Roman" w:eastAsia="宋体" w:cs="Times New Roma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1</w:t>
            </w:r>
            <w:r>
              <w:rPr>
                <w:rFonts w:hint="default" w:ascii="Times New Roman" w:hAnsi="Times New Roman" w:eastAsia="宋体" w:cs="Times New Roman"/>
                <w:lang w:eastAsia="zh-CN"/>
              </w:rPr>
              <w:t>）</w:t>
            </w:r>
            <w:r>
              <w:rPr>
                <w:rFonts w:hint="default" w:ascii="Times New Roman" w:hAnsi="Times New Roman" w:eastAsia="宋体" w:cs="Times New Roman"/>
              </w:rPr>
              <w:t>认定:病死病害动物尸体来自于定远县及其周边，染疫动物的认定由</w:t>
            </w:r>
            <w:r>
              <w:rPr>
                <w:rFonts w:hint="default" w:ascii="Times New Roman" w:hAnsi="Times New Roman" w:eastAsia="宋体" w:cs="Times New Roman"/>
                <w:lang w:eastAsia="zh-CN"/>
              </w:rPr>
              <w:t>全州</w:t>
            </w:r>
            <w:r>
              <w:rPr>
                <w:rFonts w:hint="default" w:ascii="Times New Roman" w:hAnsi="Times New Roman" w:eastAsia="宋体" w:cs="Times New Roman"/>
              </w:rPr>
              <w:t>县检验检疫部门统一认。</w:t>
            </w:r>
          </w:p>
          <w:p w14:paraId="549952EF">
            <w:pPr>
              <w:pStyle w:val="12"/>
              <w:rPr>
                <w:rFonts w:hint="default" w:ascii="Times New Roman" w:hAnsi="Times New Roman" w:eastAsia="宋体" w:cs="Times New Roma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2</w:t>
            </w:r>
            <w:r>
              <w:rPr>
                <w:rFonts w:hint="default" w:ascii="Times New Roman" w:hAnsi="Times New Roman" w:eastAsia="宋体" w:cs="Times New Roman"/>
                <w:lang w:eastAsia="zh-CN"/>
              </w:rPr>
              <w:t>）</w:t>
            </w:r>
            <w:r>
              <w:rPr>
                <w:rFonts w:hint="default" w:ascii="Times New Roman" w:hAnsi="Times New Roman" w:eastAsia="宋体" w:cs="Times New Roman"/>
              </w:rPr>
              <w:t>收集:采用专用封闭冷藏车辆集中收集需要无害化处理的病死动物;</w:t>
            </w:r>
          </w:p>
          <w:p w14:paraId="40A70FD3">
            <w:pPr>
              <w:pStyle w:val="12"/>
              <w:rPr>
                <w:rFonts w:hint="default" w:ascii="Times New Roman" w:hAnsi="Times New Roman" w:eastAsia="宋体" w:cs="Times New Roma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3</w:t>
            </w:r>
            <w:r>
              <w:rPr>
                <w:rFonts w:hint="default" w:ascii="Times New Roman" w:hAnsi="Times New Roman" w:eastAsia="宋体" w:cs="Times New Roman"/>
                <w:lang w:eastAsia="zh-CN"/>
              </w:rPr>
              <w:t>）</w:t>
            </w:r>
            <w:r>
              <w:rPr>
                <w:rFonts w:hint="default" w:ascii="Times New Roman" w:hAnsi="Times New Roman" w:eastAsia="宋体" w:cs="Times New Roman"/>
              </w:rPr>
              <w:t>运输:经收集后的病死动物应当采用密闭，不渗水的容器装盛，由专用冷藏车送到无害化处理车间处理，车厢四壁及底部使用耐腐蚀材料，并采取防渗措施，车辆驶离暂存、养殖等场所前，对车轮及车厢外部进行喷雾消毒，运输车辆尽量避免进入人口密集区，卸载后，对运输车辆等进行彻底消毒，车辆也采用次氯酸钠消毒。</w:t>
            </w:r>
          </w:p>
          <w:p w14:paraId="24C14292">
            <w:pPr>
              <w:pStyle w:val="12"/>
              <w:rPr>
                <w:rFonts w:hint="default" w:ascii="Times New Roman" w:hAnsi="Times New Roman" w:eastAsia="宋体" w:cs="Times New Roma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4</w:t>
            </w:r>
            <w:r>
              <w:rPr>
                <w:rFonts w:hint="default" w:ascii="Times New Roman" w:hAnsi="Times New Roman" w:eastAsia="宋体" w:cs="Times New Roman"/>
                <w:lang w:eastAsia="zh-CN"/>
              </w:rPr>
              <w:t>）</w:t>
            </w:r>
            <w:r>
              <w:rPr>
                <w:rFonts w:hint="default" w:ascii="Times New Roman" w:hAnsi="Times New Roman" w:eastAsia="宋体" w:cs="Times New Roman"/>
              </w:rPr>
              <w:t>记录:每一批进入厂区处理的病死动物均应进行记录，主要记录病死动物来源，运送单位、运送人员、重量、接收人员，并接收后双方签字，并要求动物检疫员或动物防疫人员签字确认，记录单一式三份，建设单位、运送单位、动物检疫员或动物防疫人员各执一份，备案备查。</w:t>
            </w:r>
          </w:p>
          <w:p w14:paraId="18EBFACC">
            <w:pPr>
              <w:rPr>
                <w:rFonts w:hint="eastAsia"/>
              </w:rPr>
            </w:pPr>
            <w:r>
              <w:rPr>
                <w:rFonts w:hint="eastAsia"/>
              </w:rPr>
              <w:t>2、消毒</w:t>
            </w:r>
          </w:p>
          <w:p w14:paraId="480D8933">
            <w:pPr>
              <w:rPr>
                <w:rFonts w:hint="eastAsia"/>
              </w:rPr>
            </w:pPr>
            <w:r>
              <w:rPr>
                <w:rFonts w:hint="eastAsia"/>
              </w:rPr>
              <w:t>记录后的病死动物进入无害化车间，采用次氯酸钠作为消毒剂喷淋消毒，次氯酸钠作为消毒剂能快速杀灭微生物，无毒无害，无残留，是一种性能优良的安全高效消毒剂。</w:t>
            </w:r>
          </w:p>
          <w:p w14:paraId="79066EA7">
            <w:pPr>
              <w:rPr>
                <w:rFonts w:hint="eastAsia"/>
              </w:rPr>
            </w:pPr>
            <w:r>
              <w:rPr>
                <w:rFonts w:hint="eastAsia"/>
              </w:rPr>
              <w:t>由工作人员用将病死畜禽尸体拉入无害化处理中心，随后开启车间顶部喷淋消毒系统，进行统一消毒。及时处理的动物尸体直接装入预破碎设备内，暂时不能处理的病死动物，则放入冷库存放，等待处理。</w:t>
            </w:r>
          </w:p>
          <w:p w14:paraId="36AD6FB4">
            <w:pPr>
              <w:rPr>
                <w:rFonts w:hint="eastAsia"/>
              </w:rPr>
            </w:pPr>
            <w:r>
              <w:rPr>
                <w:rFonts w:hint="eastAsia"/>
              </w:rPr>
              <w:t>3、破碎</w:t>
            </w:r>
          </w:p>
          <w:p w14:paraId="2CD968AE">
            <w:pPr>
              <w:rPr>
                <w:rFonts w:hint="eastAsia"/>
              </w:rPr>
            </w:pPr>
            <w:r>
              <w:rPr>
                <w:rFonts w:hint="eastAsia"/>
              </w:rPr>
              <w:t>病死畜禽尸体卸货到冷库后，利用叉车将病死畜禽尸体加至破碎机。物料在密闭环境下在绞刀的作用下破碎成40mm~50mm肉块，然后通过液压送料机送至化制机中。该过程全程密闭、智能操作无需人员直接接触，避免了病菌二次污染。</w:t>
            </w:r>
          </w:p>
          <w:p w14:paraId="690B7E90">
            <w:pPr>
              <w:rPr>
                <w:rFonts w:hint="eastAsia"/>
              </w:rPr>
            </w:pPr>
            <w:r>
              <w:rPr>
                <w:rFonts w:hint="eastAsia"/>
              </w:rPr>
              <w:t>4、化制、烘干</w:t>
            </w:r>
          </w:p>
          <w:p w14:paraId="4F7E1E5D">
            <w:pPr>
              <w:rPr>
                <w:rFonts w:hint="eastAsia"/>
              </w:rPr>
            </w:pPr>
            <w:r>
              <w:rPr>
                <w:rFonts w:hint="eastAsia"/>
              </w:rPr>
              <w:t>物料进入化制机后，通过蒸汽锅炉供热(</w:t>
            </w:r>
            <w:r>
              <w:rPr>
                <w:rFonts w:hint="eastAsia"/>
                <w:highlight w:val="none"/>
              </w:rPr>
              <w:t>以</w:t>
            </w:r>
            <w:r>
              <w:rPr>
                <w:rFonts w:hint="eastAsia"/>
                <w:highlight w:val="none"/>
                <w:lang w:eastAsia="zh-CN"/>
              </w:rPr>
              <w:t>生物质</w:t>
            </w:r>
            <w:r>
              <w:rPr>
                <w:rFonts w:hint="eastAsia"/>
                <w:highlight w:val="none"/>
              </w:rPr>
              <w:t>为燃料</w:t>
            </w:r>
            <w:r>
              <w:rPr>
                <w:rFonts w:hint="eastAsia"/>
                <w:highlight w:val="none"/>
                <w:lang w:eastAsia="zh-CN"/>
              </w:rPr>
              <w:t>）</w:t>
            </w:r>
            <w:r>
              <w:rPr>
                <w:rFonts w:hint="eastAsia"/>
              </w:rPr>
              <w:t>，水蒸气为介质，不与物料直接接触)，灭菌杀毒过程所用水蒸气在化制罐夹层和空心轴中循环，不直接接触病死畜禽，热油中并不带有畜禽病毒，化制过程安全可靠。在140-150℃的高温中，保持温度连续提炼90分钟，后续提炼在120C后继续保压提炼30分钟。病死动物病毒一般在70℃高温下均难以存活，通过此次高温灭菌提炼过程，能够保证完成杀灭一、二、三类动物疫病病种名录中的所有病毒。120min后停止加热，开启泄压阀门。利用气动自动阀门和提升机将物料提升机至烘干机，烘干2.5小时。</w:t>
            </w:r>
          </w:p>
          <w:p w14:paraId="3BA07CD8">
            <w:pPr>
              <w:rPr>
                <w:rFonts w:hint="eastAsia"/>
              </w:rPr>
            </w:pPr>
            <w:r>
              <w:rPr>
                <w:rFonts w:hint="eastAsia"/>
              </w:rPr>
              <w:t>5、缓存</w:t>
            </w:r>
          </w:p>
          <w:p w14:paraId="56300396">
            <w:pPr>
              <w:rPr>
                <w:rFonts w:hint="eastAsia"/>
              </w:rPr>
            </w:pPr>
            <w:r>
              <w:rPr>
                <w:rFonts w:hint="eastAsia"/>
              </w:rPr>
              <w:t>干燥后的物料经由烘干机底部的自动阀门卸料通过螺旋输送机传送至缓存料仓中，缓存料仓采用蒸汽继续供热，保证物料不会遇冷凝固，保证后续工艺加工的顺利进行。缓存料仓底部设置螺旋输送，可以将物料推进到出料口进入下一螺旋输送机中。</w:t>
            </w:r>
          </w:p>
          <w:p w14:paraId="5BD6786F">
            <w:pPr>
              <w:pStyle w:val="12"/>
              <w:rPr>
                <w:rFonts w:hint="eastAsia"/>
              </w:rPr>
            </w:pPr>
            <w:r>
              <w:rPr>
                <w:rFonts w:hint="eastAsia"/>
              </w:rPr>
              <w:t>6、脱脂榨油</w:t>
            </w:r>
          </w:p>
          <w:p w14:paraId="140EA6E0">
            <w:pPr>
              <w:pStyle w:val="12"/>
              <w:rPr>
                <w:rFonts w:hint="eastAsia"/>
              </w:rPr>
            </w:pPr>
            <w:r>
              <w:rPr>
                <w:rFonts w:hint="eastAsia"/>
              </w:rPr>
              <w:t>缓冲仓的物料通过密封螺旋输送机送入榨油机中进行物理脱脂，榨油机是利用螺旋轴将油料从进料口推入并在榨膛内连续推进，螺旋轴每转一周，就将榨料向前推进一段,而榨膛内的空间体积不断变小，加上螺纹向前的推动力，使被榨料压缩,在这个压缩的过程中，油即被榨出。榨出的油不断从榨笼壳上的缝隙中流出，而饼块从另一端出饼口排出机外。此过程将物料含油率降至10-12%(达到饲料含油标准)，得到肉骨粉(含油渣)、油脂。</w:t>
            </w:r>
          </w:p>
          <w:p w14:paraId="7971E3D9">
            <w:pPr>
              <w:rPr>
                <w:rFonts w:hint="eastAsia"/>
              </w:rPr>
            </w:pPr>
            <w:r>
              <w:rPr>
                <w:rFonts w:hint="eastAsia"/>
              </w:rPr>
              <w:t>7、油渣分离、油脂净化</w:t>
            </w:r>
          </w:p>
          <w:p w14:paraId="04364169">
            <w:pPr>
              <w:rPr>
                <w:rFonts w:hint="eastAsia"/>
              </w:rPr>
            </w:pPr>
            <w:r>
              <w:rPr>
                <w:rFonts w:hint="eastAsia"/>
              </w:rPr>
              <w:t>上述过程分离出的油脂需进行进一步的油渣分离。油脂经过加热搅拌罐加热搅拌后，均匀后的油脂通过油脂泵送入到离心机中，油脂通过离心机将油渣进行进一步分离后，分离出的油渣进入榨油机中再次进行脱脂榨油处理;油脂进入过滤机进行物理净化，达到毛油含固、水标准后，通过输油系统进入储油罐。</w:t>
            </w:r>
          </w:p>
          <w:p w14:paraId="648AEACA">
            <w:pPr>
              <w:pStyle w:val="12"/>
              <w:rPr>
                <w:rFonts w:hint="eastAsia"/>
              </w:rPr>
            </w:pPr>
            <w:r>
              <w:rPr>
                <w:rFonts w:hint="eastAsia"/>
              </w:rPr>
              <w:t>8、产品包装</w:t>
            </w:r>
          </w:p>
          <w:p w14:paraId="3FD57B51">
            <w:pPr>
              <w:pStyle w:val="12"/>
              <w:rPr>
                <w:rFonts w:hint="eastAsia"/>
              </w:rPr>
            </w:pPr>
            <w:r>
              <w:rPr>
                <w:rFonts w:hint="eastAsia"/>
              </w:rPr>
              <w:t>物料经油渣分离系统分离为油脂和肉骨粉。肉骨粉包装后储存到一定量后外运</w:t>
            </w:r>
            <w:r>
              <w:rPr>
                <w:rFonts w:hint="eastAsia"/>
                <w:lang w:eastAsia="zh-CN"/>
              </w:rPr>
              <w:t>；</w:t>
            </w:r>
            <w:r>
              <w:rPr>
                <w:rFonts w:hint="eastAsia"/>
              </w:rPr>
              <w:t>油脂经输油泵输送到储油罐储存。</w:t>
            </w:r>
          </w:p>
          <w:p w14:paraId="28309A2C">
            <w:pPr>
              <w:rPr>
                <w:rFonts w:hint="eastAsia" w:eastAsia="宋体"/>
                <w:lang w:val="en-US" w:eastAsia="zh-CN"/>
              </w:rPr>
            </w:pPr>
            <w:r>
              <w:rPr>
                <w:rFonts w:hint="eastAsia"/>
                <w:lang w:val="en-US" w:eastAsia="zh-CN"/>
              </w:rPr>
              <w:t>9、</w:t>
            </w:r>
          </w:p>
        </w:tc>
      </w:tr>
      <w:tr w14:paraId="0264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3EA15EC">
            <w:pPr>
              <w:spacing w:line="276" w:lineRule="auto"/>
              <w:ind w:firstLine="0" w:firstLineChars="0"/>
              <w:jc w:val="center"/>
            </w:pPr>
            <w:r>
              <w:t>与项目有关的原有环境污染问题</w:t>
            </w:r>
          </w:p>
        </w:tc>
        <w:tc>
          <w:tcPr>
            <w:tcW w:w="8363" w:type="dxa"/>
            <w:vAlign w:val="center"/>
          </w:tcPr>
          <w:p w14:paraId="614A28EB">
            <w:pPr>
              <w:rPr>
                <w:rFonts w:hint="eastAsia"/>
                <w:lang w:eastAsia="zh-CN"/>
              </w:rPr>
            </w:pPr>
            <w:r>
              <w:rPr>
                <w:rFonts w:hint="eastAsia"/>
                <w:lang w:eastAsia="zh-CN"/>
              </w:rPr>
              <w:t>本项目为新建项目，无原有环境污染问题。</w:t>
            </w:r>
          </w:p>
        </w:tc>
      </w:tr>
    </w:tbl>
    <w:p w14:paraId="5EC4A64A">
      <w:pPr>
        <w:ind w:firstLine="480"/>
      </w:pPr>
    </w:p>
    <w:p w14:paraId="392C417F">
      <w:pPr>
        <w:pStyle w:val="2"/>
        <w:numPr>
          <w:ilvl w:val="0"/>
          <w:numId w:val="0"/>
        </w:numPr>
        <w:ind w:left="0" w:leftChars="0" w:firstLine="0" w:firstLineChars="0"/>
      </w:pPr>
      <w:bookmarkStart w:id="6" w:name="_Toc61627932"/>
      <w:r>
        <w:rPr>
          <w:rFonts w:hint="eastAsia" w:ascii="Times New Roman" w:hAnsi="Times New Roman" w:eastAsia="宋体" w:cs="Times New Roman"/>
          <w:b/>
          <w:kern w:val="2"/>
          <w:sz w:val="28"/>
          <w:szCs w:val="28"/>
          <w:lang w:val="en-US" w:eastAsia="zh-CN" w:bidi="ar-SA"/>
        </w:rPr>
        <w:t>三、</w:t>
      </w:r>
      <w:r>
        <w:t>区域环境质量现状、环境保护目标及评价标准</w:t>
      </w:r>
      <w:bookmarkEnd w:id="6"/>
    </w:p>
    <w:tbl>
      <w:tblPr>
        <w:tblStyle w:val="2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8831"/>
      </w:tblGrid>
      <w:tr w14:paraId="6B9A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1D98318">
            <w:pPr>
              <w:spacing w:line="276" w:lineRule="auto"/>
              <w:ind w:firstLine="0" w:firstLineChars="0"/>
              <w:jc w:val="center"/>
            </w:pPr>
            <w:r>
              <w:t>区域环境质量现状</w:t>
            </w:r>
          </w:p>
        </w:tc>
        <w:tc>
          <w:tcPr>
            <w:tcW w:w="8363" w:type="dxa"/>
          </w:tcPr>
          <w:p w14:paraId="40872761">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3.1、</w:t>
            </w:r>
            <w:r>
              <w:rPr>
                <w:rFonts w:hint="eastAsia"/>
              </w:rPr>
              <w:t>环境空气质量现状</w:t>
            </w:r>
          </w:p>
          <w:p w14:paraId="1BFE913A">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3.1.1、</w:t>
            </w:r>
            <w:r>
              <w:rPr>
                <w:rFonts w:hint="eastAsia"/>
              </w:rPr>
              <w:t>达标区判定</w:t>
            </w:r>
          </w:p>
          <w:p w14:paraId="2149DE7F">
            <w:pPr>
              <w:ind w:firstLine="480"/>
            </w:pPr>
            <w:r>
              <w:rPr>
                <w:rFonts w:hint="eastAsia"/>
                <w:highlight w:val="none"/>
              </w:rPr>
              <w:t>本项目</w:t>
            </w:r>
            <w:r>
              <w:rPr>
                <w:rFonts w:hint="eastAsia" w:ascii="Times New Roman" w:hAnsi="Times New Roman" w:cs="Times New Roman"/>
                <w:kern w:val="2"/>
                <w:sz w:val="24"/>
                <w:szCs w:val="24"/>
                <w:highlight w:val="none"/>
                <w:lang w:val="en-US" w:bidi="ar-SA"/>
              </w:rPr>
              <w:t>桂林市全州县工业集中区综合产业园城西片区</w:t>
            </w:r>
            <w:r>
              <w:rPr>
                <w:rFonts w:hint="eastAsia"/>
              </w:rPr>
              <w:t>，根据《环境空气质量标准》（GB3095-2012），环境空气属于二类功能区，环境空气质量执行《环境空气质量标准》（GB3095-2012）及其2018年修改单的二级标准。</w:t>
            </w:r>
          </w:p>
          <w:p w14:paraId="3C103DFC">
            <w:pPr>
              <w:ind w:firstLine="480"/>
              <w:rPr>
                <w:rFonts w:hint="default" w:ascii="Times New Roman" w:hAnsi="Times New Roman" w:eastAsia="宋体" w:cs="Times New Roman"/>
              </w:rPr>
            </w:pPr>
            <w:r>
              <w:rPr>
                <w:rFonts w:hint="default" w:ascii="Times New Roman" w:hAnsi="Times New Roman" w:eastAsia="宋体" w:cs="Times New Roman"/>
                <w:highlight w:val="none"/>
              </w:rPr>
              <w:t>本项目</w:t>
            </w:r>
            <w:r>
              <w:rPr>
                <w:rFonts w:hint="default" w:ascii="Times New Roman" w:hAnsi="Times New Roman" w:eastAsia="宋体" w:cs="Times New Roman"/>
                <w:kern w:val="2"/>
                <w:sz w:val="24"/>
                <w:szCs w:val="24"/>
                <w:highlight w:val="none"/>
                <w:lang w:val="en-US" w:bidi="ar-SA"/>
              </w:rPr>
              <w:t>桂林市全州县工业集中区综合产业园城西片区</w:t>
            </w:r>
            <w:r>
              <w:rPr>
                <w:rFonts w:hint="default" w:ascii="Times New Roman" w:hAnsi="Times New Roman" w:eastAsia="宋体" w:cs="Times New Roman"/>
              </w:rPr>
              <w:t>，评价范围</w:t>
            </w:r>
            <w:r>
              <w:rPr>
                <w:rFonts w:hint="default" w:ascii="Times New Roman" w:hAnsi="Times New Roman" w:eastAsia="宋体" w:cs="Times New Roman"/>
                <w:lang w:val="en-US" w:eastAsia="zh-CN"/>
              </w:rPr>
              <w:t>为桂林市全州县</w:t>
            </w:r>
            <w:r>
              <w:rPr>
                <w:rFonts w:hint="default" w:ascii="Times New Roman" w:hAnsi="Times New Roman" w:eastAsia="宋体" w:cs="Times New Roman"/>
              </w:rPr>
              <w:t>。桂林市12县(区、市)按照《环境空气质量标准》(GB 3095-2012)对自动监测数据进行评价。二氧化硫、二氧化氮、一氧化碳:所有县城均达到一级标准;可吸入颗粒物:阳朔县达到一级标准，其余县城达到二级标准;臭氧(8小时):龙胜县、恭城县、平乐县、灌阳县、阳朔县、临桂区达到一级标准，其余县城达到二级标准;细颗粒物:所有县城均达到二级标准</w:t>
            </w:r>
            <w:r>
              <w:rPr>
                <w:rFonts w:hint="default" w:ascii="Times New Roman" w:hAnsi="Times New Roman" w:eastAsia="宋体" w:cs="Times New Roman"/>
                <w:spacing w:val="-2"/>
              </w:rPr>
              <w:t>，</w:t>
            </w:r>
            <w:r>
              <w:rPr>
                <w:rFonts w:hint="default" w:ascii="Times New Roman" w:hAnsi="Times New Roman" w:eastAsia="宋体" w:cs="Times New Roman"/>
                <w:spacing w:val="-2"/>
                <w:lang w:eastAsia="zh-CN"/>
              </w:rPr>
              <w:t>全州县</w:t>
            </w:r>
            <w:r>
              <w:rPr>
                <w:rFonts w:hint="default" w:ascii="Times New Roman" w:hAnsi="Times New Roman" w:eastAsia="宋体" w:cs="Times New Roman"/>
              </w:rPr>
              <w:t>为达标区。</w:t>
            </w:r>
            <w:r>
              <w:rPr>
                <w:rFonts w:hint="default" w:ascii="Times New Roman" w:hAnsi="Times New Roman" w:eastAsia="宋体" w:cs="Times New Roman"/>
                <w:lang w:val="en-US" w:eastAsia="zh-CN"/>
              </w:rPr>
              <w:t>根据</w:t>
            </w:r>
            <w:r>
              <w:rPr>
                <w:rFonts w:hint="default" w:ascii="Times New Roman" w:hAnsi="Times New Roman" w:eastAsia="宋体" w:cs="Times New Roman"/>
              </w:rPr>
              <w:t>广西壮族自治区生态环境厅发布的《自治区生态环境厅关于通报202</w:t>
            </w:r>
            <w:r>
              <w:rPr>
                <w:rFonts w:hint="eastAsia" w:cs="Times New Roman"/>
                <w:lang w:val="en-US" w:eastAsia="zh-CN"/>
              </w:rPr>
              <w:t>4</w:t>
            </w:r>
            <w:r>
              <w:rPr>
                <w:rFonts w:hint="default" w:ascii="Times New Roman" w:hAnsi="Times New Roman" w:eastAsia="宋体" w:cs="Times New Roman"/>
              </w:rPr>
              <w:t>年设区城市及各县（市、区）环境空气质量的函》（桂环函〔202</w:t>
            </w:r>
            <w:r>
              <w:rPr>
                <w:rFonts w:hint="eastAsia" w:cs="Times New Roman"/>
                <w:lang w:val="en-US" w:eastAsia="zh-CN"/>
              </w:rPr>
              <w:t>5</w:t>
            </w:r>
            <w:r>
              <w:rPr>
                <w:rFonts w:hint="default" w:ascii="Times New Roman" w:hAnsi="Times New Roman" w:eastAsia="宋体" w:cs="Times New Roman"/>
              </w:rPr>
              <w:t>〕</w:t>
            </w:r>
            <w:r>
              <w:rPr>
                <w:rFonts w:hint="eastAsia" w:cs="Times New Roman"/>
                <w:lang w:val="en-US" w:eastAsia="zh-CN"/>
              </w:rPr>
              <w:t>66</w:t>
            </w:r>
            <w:r>
              <w:rPr>
                <w:rFonts w:hint="default" w:ascii="Times New Roman" w:hAnsi="Times New Roman" w:eastAsia="宋体" w:cs="Times New Roman"/>
              </w:rPr>
              <w:t>号）</w:t>
            </w:r>
            <w:r>
              <w:rPr>
                <w:rFonts w:hint="default" w:ascii="Times New Roman" w:hAnsi="Times New Roman" w:eastAsia="宋体" w:cs="Times New Roman"/>
                <w:lang w:val="en-US" w:eastAsia="zh-CN"/>
              </w:rPr>
              <w:t>桂林</w:t>
            </w:r>
            <w:r>
              <w:rPr>
                <w:rFonts w:hint="default" w:ascii="Times New Roman" w:hAnsi="Times New Roman" w:eastAsia="宋体" w:cs="Times New Roman"/>
              </w:rPr>
              <w:t>市环境空气质量见</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REF _Ref159266279 \r \h </w:instrText>
            </w:r>
            <w:r>
              <w:rPr>
                <w:rFonts w:hint="default" w:ascii="Times New Roman" w:hAnsi="Times New Roman" w:eastAsia="宋体" w:cs="Times New Roman"/>
              </w:rPr>
              <w:fldChar w:fldCharType="separate"/>
            </w:r>
            <w:r>
              <w:rPr>
                <w:rFonts w:hint="default" w:ascii="Times New Roman" w:hAnsi="Times New Roman" w:eastAsia="宋体" w:cs="Times New Roman"/>
              </w:rPr>
              <w:t>表3-1</w:t>
            </w:r>
            <w:r>
              <w:rPr>
                <w:rFonts w:hint="default" w:ascii="Times New Roman" w:hAnsi="Times New Roman" w:eastAsia="宋体" w:cs="Times New Roman"/>
              </w:rPr>
              <w:fldChar w:fldCharType="end"/>
            </w:r>
            <w:r>
              <w:rPr>
                <w:rFonts w:hint="default" w:ascii="Times New Roman" w:hAnsi="Times New Roman" w:eastAsia="宋体" w:cs="Times New Roman"/>
              </w:rPr>
              <w:t>。</w:t>
            </w:r>
          </w:p>
          <w:p w14:paraId="5626CA82">
            <w:pPr>
              <w:pStyle w:val="8"/>
              <w:numPr>
                <w:ilvl w:val="5"/>
                <w:numId w:val="0"/>
              </w:numPr>
              <w:ind w:left="0" w:leftChars="0" w:firstLine="480" w:firstLineChars="200"/>
            </w:pPr>
            <w:bookmarkStart w:id="7" w:name="_Ref159266279"/>
            <w:r>
              <w:rPr>
                <w:rFonts w:hint="default" w:ascii="Times New Roman" w:hAnsi="Times New Roman" w:eastAsia="宋体" w:cs="Times New Roman"/>
                <w:b/>
                <w:i w:val="0"/>
                <w:color w:val="auto"/>
                <w:kern w:val="2"/>
                <w:sz w:val="24"/>
                <w:szCs w:val="24"/>
                <w:shd w:val="clear" w:fill="FFFFFF"/>
                <w:lang w:val="en-US" w:eastAsia="zh-CN" w:bidi="ar-SA"/>
              </w:rPr>
              <w:t>表3-1</w:t>
            </w:r>
            <w:r>
              <w:rPr>
                <w:rFonts w:hint="eastAsia" w:cs="Times New Roman"/>
                <w:b/>
                <w:i w:val="0"/>
                <w:color w:val="auto"/>
                <w:kern w:val="2"/>
                <w:sz w:val="24"/>
                <w:szCs w:val="24"/>
                <w:shd w:val="clear" w:fill="FFFFFF"/>
                <w:lang w:val="en-US" w:eastAsia="zh-CN" w:bidi="ar-SA"/>
              </w:rPr>
              <w:t xml:space="preserve"> </w:t>
            </w:r>
            <w:r>
              <w:rPr>
                <w:rFonts w:hint="eastAsia"/>
              </w:rPr>
              <w:t>20</w:t>
            </w:r>
            <w:r>
              <w:t>2</w:t>
            </w:r>
            <w:r>
              <w:rPr>
                <w:rFonts w:hint="eastAsia"/>
                <w:lang w:val="en-US" w:eastAsia="zh-CN"/>
              </w:rPr>
              <w:t>4</w:t>
            </w:r>
            <w:r>
              <w:rPr>
                <w:rFonts w:hint="eastAsia"/>
              </w:rPr>
              <w:t>年</w:t>
            </w:r>
            <w:r>
              <w:rPr>
                <w:rFonts w:hint="eastAsia"/>
                <w:lang w:val="en-US" w:eastAsia="zh-CN"/>
              </w:rPr>
              <w:t>全州县</w:t>
            </w:r>
            <w:r>
              <w:rPr>
                <w:rFonts w:hint="eastAsia"/>
              </w:rPr>
              <w:t>空气质量现状评价表</w:t>
            </w:r>
            <w:bookmarkEnd w:id="7"/>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2720"/>
              <w:gridCol w:w="1134"/>
              <w:gridCol w:w="1134"/>
              <w:gridCol w:w="1134"/>
              <w:gridCol w:w="1159"/>
            </w:tblGrid>
            <w:tr w14:paraId="1954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17034F52">
                  <w:pPr>
                    <w:pStyle w:val="42"/>
                  </w:pPr>
                  <w:bookmarkStart w:id="8" w:name="_Ref159266284"/>
                  <w:r>
                    <w:t>污染物</w:t>
                  </w:r>
                </w:p>
              </w:tc>
              <w:tc>
                <w:tcPr>
                  <w:tcW w:w="2720" w:type="dxa"/>
                  <w:vAlign w:val="center"/>
                </w:tcPr>
                <w:p w14:paraId="20EC4D96">
                  <w:pPr>
                    <w:pStyle w:val="42"/>
                  </w:pPr>
                  <w:r>
                    <w:t>年评价指标</w:t>
                  </w:r>
                </w:p>
              </w:tc>
              <w:tc>
                <w:tcPr>
                  <w:tcW w:w="1134" w:type="dxa"/>
                  <w:vAlign w:val="center"/>
                </w:tcPr>
                <w:p w14:paraId="30B4C2D0">
                  <w:pPr>
                    <w:pStyle w:val="42"/>
                  </w:pPr>
                  <w:r>
                    <w:t>现状浓度</w:t>
                  </w:r>
                </w:p>
              </w:tc>
              <w:tc>
                <w:tcPr>
                  <w:tcW w:w="1134" w:type="dxa"/>
                  <w:vAlign w:val="center"/>
                </w:tcPr>
                <w:p w14:paraId="2D33E7C7">
                  <w:pPr>
                    <w:pStyle w:val="42"/>
                  </w:pPr>
                  <w:r>
                    <w:t>标准值</w:t>
                  </w:r>
                </w:p>
              </w:tc>
              <w:tc>
                <w:tcPr>
                  <w:tcW w:w="1134" w:type="dxa"/>
                  <w:vAlign w:val="center"/>
                </w:tcPr>
                <w:p w14:paraId="7C157208">
                  <w:pPr>
                    <w:pStyle w:val="42"/>
                  </w:pPr>
                  <w:r>
                    <w:t>占标率</w:t>
                  </w:r>
                  <w:r>
                    <w:rPr>
                      <w:rFonts w:hint="eastAsia"/>
                    </w:rPr>
                    <w:t>/</w:t>
                  </w:r>
                  <w:r>
                    <w:t>%</w:t>
                  </w:r>
                </w:p>
              </w:tc>
              <w:tc>
                <w:tcPr>
                  <w:tcW w:w="1159" w:type="dxa"/>
                  <w:vAlign w:val="center"/>
                </w:tcPr>
                <w:p w14:paraId="7CA8FC91">
                  <w:pPr>
                    <w:pStyle w:val="42"/>
                  </w:pPr>
                  <w:r>
                    <w:t>达标情况</w:t>
                  </w:r>
                </w:p>
              </w:tc>
            </w:tr>
            <w:tr w14:paraId="3E1D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43D5970C">
                  <w:pPr>
                    <w:pStyle w:val="42"/>
                  </w:pPr>
                  <w:r>
                    <w:t>SO</w:t>
                  </w:r>
                  <w:r>
                    <w:rPr>
                      <w:vertAlign w:val="subscript"/>
                    </w:rPr>
                    <w:t>2</w:t>
                  </w:r>
                </w:p>
              </w:tc>
              <w:tc>
                <w:tcPr>
                  <w:tcW w:w="2720" w:type="dxa"/>
                  <w:vAlign w:val="center"/>
                </w:tcPr>
                <w:p w14:paraId="19B2EA21">
                  <w:pPr>
                    <w:pStyle w:val="42"/>
                  </w:pPr>
                  <w:r>
                    <w:t>年平均质量浓度</w:t>
                  </w:r>
                </w:p>
              </w:tc>
              <w:tc>
                <w:tcPr>
                  <w:tcW w:w="1134" w:type="dxa"/>
                  <w:vAlign w:val="center"/>
                </w:tcPr>
                <w:p w14:paraId="2EF6F980">
                  <w:pPr>
                    <w:pStyle w:val="42"/>
                  </w:pPr>
                  <w:r>
                    <w:rPr>
                      <w:rFonts w:hint="eastAsia"/>
                      <w:lang w:val="en-US" w:eastAsia="zh-CN"/>
                    </w:rPr>
                    <w:t>5</w:t>
                  </w:r>
                  <w:r>
                    <w:t>μg/m</w:t>
                  </w:r>
                  <w:r>
                    <w:rPr>
                      <w:vertAlign w:val="superscript"/>
                    </w:rPr>
                    <w:t>3</w:t>
                  </w:r>
                </w:p>
              </w:tc>
              <w:tc>
                <w:tcPr>
                  <w:tcW w:w="1134" w:type="dxa"/>
                  <w:vAlign w:val="center"/>
                </w:tcPr>
                <w:p w14:paraId="60EEC2EC">
                  <w:pPr>
                    <w:pStyle w:val="42"/>
                  </w:pPr>
                  <w:r>
                    <w:rPr>
                      <w:rFonts w:hint="eastAsia"/>
                    </w:rPr>
                    <w:t>6</w:t>
                  </w:r>
                  <w:r>
                    <w:t>0μg/m</w:t>
                  </w:r>
                  <w:r>
                    <w:rPr>
                      <w:vertAlign w:val="superscript"/>
                    </w:rPr>
                    <w:t>3</w:t>
                  </w:r>
                </w:p>
              </w:tc>
              <w:tc>
                <w:tcPr>
                  <w:tcW w:w="1134" w:type="dxa"/>
                  <w:vAlign w:val="center"/>
                </w:tcPr>
                <w:p w14:paraId="72B0C1BF">
                  <w:pPr>
                    <w:pStyle w:val="42"/>
                    <w:rPr>
                      <w:rFonts w:hint="default" w:eastAsia="宋体"/>
                      <w:lang w:val="en-US" w:eastAsia="zh-CN"/>
                    </w:rPr>
                  </w:pPr>
                  <w:r>
                    <w:rPr>
                      <w:rFonts w:hint="eastAsia"/>
                      <w:lang w:val="en-US" w:eastAsia="zh-CN"/>
                    </w:rPr>
                    <w:t>8.3</w:t>
                  </w:r>
                </w:p>
              </w:tc>
              <w:tc>
                <w:tcPr>
                  <w:tcW w:w="1159" w:type="dxa"/>
                  <w:vAlign w:val="center"/>
                </w:tcPr>
                <w:p w14:paraId="7C149738">
                  <w:pPr>
                    <w:pStyle w:val="42"/>
                  </w:pPr>
                  <w:r>
                    <w:t>达标</w:t>
                  </w:r>
                </w:p>
              </w:tc>
            </w:tr>
            <w:tr w14:paraId="6C8F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148EAD20">
                  <w:pPr>
                    <w:pStyle w:val="42"/>
                  </w:pPr>
                  <w:r>
                    <w:t>NO</w:t>
                  </w:r>
                  <w:r>
                    <w:rPr>
                      <w:vertAlign w:val="subscript"/>
                    </w:rPr>
                    <w:t>2</w:t>
                  </w:r>
                </w:p>
              </w:tc>
              <w:tc>
                <w:tcPr>
                  <w:tcW w:w="2720" w:type="dxa"/>
                  <w:vAlign w:val="center"/>
                </w:tcPr>
                <w:p w14:paraId="097DD0D8">
                  <w:pPr>
                    <w:pStyle w:val="42"/>
                  </w:pPr>
                  <w:r>
                    <w:t>年平均质量浓度</w:t>
                  </w:r>
                </w:p>
              </w:tc>
              <w:tc>
                <w:tcPr>
                  <w:tcW w:w="1134" w:type="dxa"/>
                  <w:vAlign w:val="center"/>
                </w:tcPr>
                <w:p w14:paraId="7C138DAA">
                  <w:pPr>
                    <w:pStyle w:val="42"/>
                  </w:pPr>
                  <w:r>
                    <w:t>1</w:t>
                  </w:r>
                  <w:r>
                    <w:rPr>
                      <w:rFonts w:hint="eastAsia"/>
                      <w:lang w:val="en-US" w:eastAsia="zh-CN"/>
                    </w:rPr>
                    <w:t>0</w:t>
                  </w:r>
                  <w:r>
                    <w:t>μg/m</w:t>
                  </w:r>
                  <w:r>
                    <w:rPr>
                      <w:vertAlign w:val="superscript"/>
                    </w:rPr>
                    <w:t>3</w:t>
                  </w:r>
                </w:p>
              </w:tc>
              <w:tc>
                <w:tcPr>
                  <w:tcW w:w="1134" w:type="dxa"/>
                  <w:vAlign w:val="center"/>
                </w:tcPr>
                <w:p w14:paraId="64F7CE0C">
                  <w:pPr>
                    <w:pStyle w:val="42"/>
                  </w:pPr>
                  <w:r>
                    <w:rPr>
                      <w:rFonts w:hint="eastAsia"/>
                    </w:rPr>
                    <w:t>4</w:t>
                  </w:r>
                  <w:r>
                    <w:t>0μg/m</w:t>
                  </w:r>
                  <w:r>
                    <w:rPr>
                      <w:vertAlign w:val="superscript"/>
                    </w:rPr>
                    <w:t>3</w:t>
                  </w:r>
                </w:p>
              </w:tc>
              <w:tc>
                <w:tcPr>
                  <w:tcW w:w="1134" w:type="dxa"/>
                  <w:vAlign w:val="center"/>
                </w:tcPr>
                <w:p w14:paraId="3B86B59A">
                  <w:pPr>
                    <w:pStyle w:val="42"/>
                    <w:rPr>
                      <w:rFonts w:hint="default" w:eastAsia="宋体"/>
                      <w:lang w:val="en-US" w:eastAsia="zh-CN"/>
                    </w:rPr>
                  </w:pPr>
                  <w:r>
                    <w:rPr>
                      <w:rFonts w:hint="eastAsia"/>
                      <w:lang w:val="en-US" w:eastAsia="zh-CN"/>
                    </w:rPr>
                    <w:t>25</w:t>
                  </w:r>
                </w:p>
              </w:tc>
              <w:tc>
                <w:tcPr>
                  <w:tcW w:w="1159" w:type="dxa"/>
                  <w:vAlign w:val="center"/>
                </w:tcPr>
                <w:p w14:paraId="6FA770DB">
                  <w:pPr>
                    <w:pStyle w:val="42"/>
                  </w:pPr>
                  <w:r>
                    <w:t>达标</w:t>
                  </w:r>
                </w:p>
              </w:tc>
            </w:tr>
            <w:tr w14:paraId="19FD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4B548EA5">
                  <w:pPr>
                    <w:pStyle w:val="42"/>
                  </w:pPr>
                  <w:r>
                    <w:t>CO</w:t>
                  </w:r>
                </w:p>
              </w:tc>
              <w:tc>
                <w:tcPr>
                  <w:tcW w:w="2720" w:type="dxa"/>
                  <w:vAlign w:val="center"/>
                </w:tcPr>
                <w:p w14:paraId="57B23E12">
                  <w:pPr>
                    <w:pStyle w:val="42"/>
                  </w:pPr>
                  <w:r>
                    <w:rPr>
                      <w:rFonts w:hint="eastAsia"/>
                    </w:rPr>
                    <w:t>2</w:t>
                  </w:r>
                  <w:r>
                    <w:t>4</w:t>
                  </w:r>
                  <w:r>
                    <w:rPr>
                      <w:rFonts w:hint="eastAsia"/>
                    </w:rPr>
                    <w:t>小时</w:t>
                  </w:r>
                  <w:r>
                    <w:t>平均</w:t>
                  </w:r>
                  <w:r>
                    <w:rPr>
                      <w:rFonts w:hint="eastAsia"/>
                    </w:rPr>
                    <w:t>第9</w:t>
                  </w:r>
                  <w:r>
                    <w:t>5</w:t>
                  </w:r>
                  <w:r>
                    <w:rPr>
                      <w:rFonts w:hint="eastAsia"/>
                    </w:rPr>
                    <w:t>百分位数</w:t>
                  </w:r>
                </w:p>
              </w:tc>
              <w:tc>
                <w:tcPr>
                  <w:tcW w:w="1134" w:type="dxa"/>
                  <w:vAlign w:val="center"/>
                </w:tcPr>
                <w:p w14:paraId="405ABDB8">
                  <w:pPr>
                    <w:pStyle w:val="42"/>
                  </w:pPr>
                  <w:r>
                    <w:rPr>
                      <w:rFonts w:hint="eastAsia"/>
                      <w:lang w:val="en-US" w:eastAsia="zh-CN"/>
                    </w:rPr>
                    <w:t>1</w:t>
                  </w:r>
                  <w:r>
                    <w:t>mg/m</w:t>
                  </w:r>
                  <w:r>
                    <w:rPr>
                      <w:vertAlign w:val="superscript"/>
                    </w:rPr>
                    <w:t>3</w:t>
                  </w:r>
                </w:p>
              </w:tc>
              <w:tc>
                <w:tcPr>
                  <w:tcW w:w="1134" w:type="dxa"/>
                  <w:vAlign w:val="center"/>
                </w:tcPr>
                <w:p w14:paraId="49A6C2BA">
                  <w:pPr>
                    <w:pStyle w:val="42"/>
                  </w:pPr>
                  <w:r>
                    <w:t>4mg/m</w:t>
                  </w:r>
                  <w:r>
                    <w:rPr>
                      <w:vertAlign w:val="superscript"/>
                    </w:rPr>
                    <w:t>3</w:t>
                  </w:r>
                </w:p>
              </w:tc>
              <w:tc>
                <w:tcPr>
                  <w:tcW w:w="1134" w:type="dxa"/>
                  <w:vAlign w:val="center"/>
                </w:tcPr>
                <w:p w14:paraId="7BC49297">
                  <w:pPr>
                    <w:pStyle w:val="42"/>
                    <w:rPr>
                      <w:rFonts w:hint="default" w:eastAsia="宋体"/>
                      <w:lang w:val="en-US" w:eastAsia="zh-CN"/>
                    </w:rPr>
                  </w:pPr>
                  <w:r>
                    <w:rPr>
                      <w:rFonts w:hint="eastAsia"/>
                      <w:lang w:val="en-US" w:eastAsia="zh-CN"/>
                    </w:rPr>
                    <w:t>25</w:t>
                  </w:r>
                </w:p>
              </w:tc>
              <w:tc>
                <w:tcPr>
                  <w:tcW w:w="1159" w:type="dxa"/>
                  <w:vAlign w:val="center"/>
                </w:tcPr>
                <w:p w14:paraId="72506854">
                  <w:pPr>
                    <w:pStyle w:val="42"/>
                  </w:pPr>
                  <w:r>
                    <w:t>达标</w:t>
                  </w:r>
                </w:p>
              </w:tc>
            </w:tr>
            <w:tr w14:paraId="0471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2F818493">
                  <w:pPr>
                    <w:pStyle w:val="42"/>
                  </w:pPr>
                  <w:r>
                    <w:t>O</w:t>
                  </w:r>
                  <w:r>
                    <w:rPr>
                      <w:vertAlign w:val="subscript"/>
                    </w:rPr>
                    <w:t>3</w:t>
                  </w:r>
                </w:p>
              </w:tc>
              <w:tc>
                <w:tcPr>
                  <w:tcW w:w="2720" w:type="dxa"/>
                  <w:vAlign w:val="center"/>
                </w:tcPr>
                <w:p w14:paraId="57D705E5">
                  <w:pPr>
                    <w:pStyle w:val="42"/>
                  </w:pPr>
                  <w:r>
                    <w:rPr>
                      <w:rFonts w:hint="eastAsia"/>
                    </w:rPr>
                    <w:t>日最大8小时滑动平均值的第9</w:t>
                  </w:r>
                  <w:r>
                    <w:t>0</w:t>
                  </w:r>
                  <w:r>
                    <w:rPr>
                      <w:rFonts w:hint="eastAsia"/>
                    </w:rPr>
                    <w:t>百分位数</w:t>
                  </w:r>
                </w:p>
              </w:tc>
              <w:tc>
                <w:tcPr>
                  <w:tcW w:w="1134" w:type="dxa"/>
                  <w:vAlign w:val="center"/>
                </w:tcPr>
                <w:p w14:paraId="7C22A3C2">
                  <w:pPr>
                    <w:pStyle w:val="42"/>
                  </w:pPr>
                  <w:r>
                    <w:rPr>
                      <w:rFonts w:hint="eastAsia"/>
                    </w:rPr>
                    <w:t>1</w:t>
                  </w:r>
                  <w:r>
                    <w:rPr>
                      <w:rFonts w:hint="eastAsia"/>
                      <w:lang w:val="en-US" w:eastAsia="zh-CN"/>
                    </w:rPr>
                    <w:t>22</w:t>
                  </w:r>
                  <w:r>
                    <w:t>μg/m</w:t>
                  </w:r>
                  <w:r>
                    <w:rPr>
                      <w:vertAlign w:val="superscript"/>
                    </w:rPr>
                    <w:t>3</w:t>
                  </w:r>
                </w:p>
              </w:tc>
              <w:tc>
                <w:tcPr>
                  <w:tcW w:w="1134" w:type="dxa"/>
                  <w:vAlign w:val="center"/>
                </w:tcPr>
                <w:p w14:paraId="469C8A83">
                  <w:pPr>
                    <w:pStyle w:val="42"/>
                  </w:pPr>
                  <w:r>
                    <w:rPr>
                      <w:rFonts w:hint="eastAsia"/>
                    </w:rPr>
                    <w:t>1</w:t>
                  </w:r>
                  <w:r>
                    <w:t>60μg/m</w:t>
                  </w:r>
                  <w:r>
                    <w:rPr>
                      <w:vertAlign w:val="superscript"/>
                    </w:rPr>
                    <w:t>3</w:t>
                  </w:r>
                </w:p>
              </w:tc>
              <w:tc>
                <w:tcPr>
                  <w:tcW w:w="1134" w:type="dxa"/>
                  <w:vAlign w:val="center"/>
                </w:tcPr>
                <w:p w14:paraId="17FF6DED">
                  <w:pPr>
                    <w:pStyle w:val="42"/>
                    <w:rPr>
                      <w:rFonts w:hint="default" w:eastAsia="宋体"/>
                      <w:lang w:val="en-US" w:eastAsia="zh-CN"/>
                    </w:rPr>
                  </w:pPr>
                  <w:r>
                    <w:rPr>
                      <w:rFonts w:hint="eastAsia"/>
                      <w:lang w:val="en-US" w:eastAsia="zh-CN"/>
                    </w:rPr>
                    <w:t>76.3</w:t>
                  </w:r>
                </w:p>
              </w:tc>
              <w:tc>
                <w:tcPr>
                  <w:tcW w:w="1159" w:type="dxa"/>
                  <w:vAlign w:val="center"/>
                </w:tcPr>
                <w:p w14:paraId="1FC2F761">
                  <w:pPr>
                    <w:pStyle w:val="42"/>
                  </w:pPr>
                  <w:r>
                    <w:t>达标</w:t>
                  </w:r>
                </w:p>
              </w:tc>
            </w:tr>
            <w:tr w14:paraId="36E4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600F5CA6">
                  <w:pPr>
                    <w:pStyle w:val="42"/>
                  </w:pPr>
                  <w:r>
                    <w:t>PM</w:t>
                  </w:r>
                  <w:r>
                    <w:rPr>
                      <w:vertAlign w:val="subscript"/>
                    </w:rPr>
                    <w:t>10</w:t>
                  </w:r>
                </w:p>
              </w:tc>
              <w:tc>
                <w:tcPr>
                  <w:tcW w:w="2720" w:type="dxa"/>
                  <w:vAlign w:val="center"/>
                </w:tcPr>
                <w:p w14:paraId="2F063854">
                  <w:pPr>
                    <w:pStyle w:val="42"/>
                  </w:pPr>
                  <w:r>
                    <w:t>年平均质量浓度</w:t>
                  </w:r>
                </w:p>
              </w:tc>
              <w:tc>
                <w:tcPr>
                  <w:tcW w:w="1134" w:type="dxa"/>
                  <w:vAlign w:val="center"/>
                </w:tcPr>
                <w:p w14:paraId="0A497EAE">
                  <w:pPr>
                    <w:pStyle w:val="42"/>
                  </w:pPr>
                  <w:r>
                    <w:t>4</w:t>
                  </w:r>
                  <w:r>
                    <w:rPr>
                      <w:rFonts w:hint="eastAsia"/>
                      <w:lang w:val="en-US" w:eastAsia="zh-CN"/>
                    </w:rPr>
                    <w:t>4</w:t>
                  </w:r>
                  <w:r>
                    <w:t>μg/m</w:t>
                  </w:r>
                  <w:r>
                    <w:rPr>
                      <w:vertAlign w:val="superscript"/>
                    </w:rPr>
                    <w:t>3</w:t>
                  </w:r>
                </w:p>
              </w:tc>
              <w:tc>
                <w:tcPr>
                  <w:tcW w:w="1134" w:type="dxa"/>
                  <w:vAlign w:val="center"/>
                </w:tcPr>
                <w:p w14:paraId="66888E73">
                  <w:pPr>
                    <w:pStyle w:val="42"/>
                  </w:pPr>
                  <w:r>
                    <w:rPr>
                      <w:rFonts w:hint="eastAsia"/>
                    </w:rPr>
                    <w:t>7</w:t>
                  </w:r>
                  <w:r>
                    <w:t>0μg/m</w:t>
                  </w:r>
                  <w:r>
                    <w:rPr>
                      <w:vertAlign w:val="superscript"/>
                    </w:rPr>
                    <w:t>3</w:t>
                  </w:r>
                </w:p>
              </w:tc>
              <w:tc>
                <w:tcPr>
                  <w:tcW w:w="1134" w:type="dxa"/>
                  <w:vAlign w:val="center"/>
                </w:tcPr>
                <w:p w14:paraId="2C7B4AB2">
                  <w:pPr>
                    <w:pStyle w:val="42"/>
                    <w:rPr>
                      <w:rFonts w:hint="default" w:eastAsia="宋体"/>
                      <w:lang w:val="en-US" w:eastAsia="zh-CN"/>
                    </w:rPr>
                  </w:pPr>
                  <w:r>
                    <w:rPr>
                      <w:rFonts w:hint="eastAsia"/>
                      <w:lang w:val="en-US" w:eastAsia="zh-CN"/>
                    </w:rPr>
                    <w:t>62.9</w:t>
                  </w:r>
                </w:p>
              </w:tc>
              <w:tc>
                <w:tcPr>
                  <w:tcW w:w="1159" w:type="dxa"/>
                  <w:vAlign w:val="center"/>
                </w:tcPr>
                <w:p w14:paraId="4A9E8317">
                  <w:pPr>
                    <w:pStyle w:val="42"/>
                  </w:pPr>
                  <w:r>
                    <w:t>达标</w:t>
                  </w:r>
                </w:p>
              </w:tc>
            </w:tr>
            <w:tr w14:paraId="31D7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383F6933">
                  <w:pPr>
                    <w:pStyle w:val="42"/>
                  </w:pPr>
                  <w:r>
                    <w:t>PM</w:t>
                  </w:r>
                  <w:r>
                    <w:rPr>
                      <w:vertAlign w:val="subscript"/>
                    </w:rPr>
                    <w:t>2.5</w:t>
                  </w:r>
                </w:p>
              </w:tc>
              <w:tc>
                <w:tcPr>
                  <w:tcW w:w="2720" w:type="dxa"/>
                  <w:vAlign w:val="center"/>
                </w:tcPr>
                <w:p w14:paraId="63A5DCC5">
                  <w:pPr>
                    <w:pStyle w:val="42"/>
                  </w:pPr>
                  <w:r>
                    <w:t>年平均质量浓度</w:t>
                  </w:r>
                </w:p>
              </w:tc>
              <w:tc>
                <w:tcPr>
                  <w:tcW w:w="1134" w:type="dxa"/>
                  <w:vAlign w:val="center"/>
                </w:tcPr>
                <w:p w14:paraId="06D822BB">
                  <w:pPr>
                    <w:pStyle w:val="42"/>
                  </w:pPr>
                  <w:r>
                    <w:rPr>
                      <w:rFonts w:hint="eastAsia"/>
                      <w:lang w:val="en-US" w:eastAsia="zh-CN"/>
                    </w:rPr>
                    <w:t>29</w:t>
                  </w:r>
                  <w:r>
                    <w:t>μg/m</w:t>
                  </w:r>
                  <w:r>
                    <w:rPr>
                      <w:vertAlign w:val="superscript"/>
                    </w:rPr>
                    <w:t>3</w:t>
                  </w:r>
                </w:p>
              </w:tc>
              <w:tc>
                <w:tcPr>
                  <w:tcW w:w="1134" w:type="dxa"/>
                  <w:vAlign w:val="center"/>
                </w:tcPr>
                <w:p w14:paraId="0E55AB9B">
                  <w:pPr>
                    <w:pStyle w:val="42"/>
                  </w:pPr>
                  <w:r>
                    <w:rPr>
                      <w:rFonts w:hint="eastAsia"/>
                    </w:rPr>
                    <w:t>3</w:t>
                  </w:r>
                  <w:r>
                    <w:t>5μg/m</w:t>
                  </w:r>
                  <w:r>
                    <w:rPr>
                      <w:vertAlign w:val="superscript"/>
                    </w:rPr>
                    <w:t>3</w:t>
                  </w:r>
                </w:p>
              </w:tc>
              <w:tc>
                <w:tcPr>
                  <w:tcW w:w="1134" w:type="dxa"/>
                  <w:vAlign w:val="center"/>
                </w:tcPr>
                <w:p w14:paraId="4985D006">
                  <w:pPr>
                    <w:pStyle w:val="42"/>
                    <w:rPr>
                      <w:rFonts w:hint="default" w:eastAsia="宋体"/>
                      <w:lang w:val="en-US" w:eastAsia="zh-CN"/>
                    </w:rPr>
                  </w:pPr>
                  <w:r>
                    <w:rPr>
                      <w:rFonts w:hint="eastAsia"/>
                      <w:lang w:val="en-US" w:eastAsia="zh-CN"/>
                    </w:rPr>
                    <w:t>82.9</w:t>
                  </w:r>
                </w:p>
              </w:tc>
              <w:tc>
                <w:tcPr>
                  <w:tcW w:w="1159" w:type="dxa"/>
                  <w:vAlign w:val="center"/>
                </w:tcPr>
                <w:p w14:paraId="32660DB7">
                  <w:pPr>
                    <w:pStyle w:val="42"/>
                  </w:pPr>
                  <w:r>
                    <w:t>达标</w:t>
                  </w:r>
                </w:p>
              </w:tc>
            </w:tr>
            <w:bookmarkEnd w:id="8"/>
          </w:tbl>
          <w:p w14:paraId="3A9C1763">
            <w:pPr>
              <w:pStyle w:val="5"/>
              <w:numPr>
                <w:ilvl w:val="2"/>
                <w:numId w:val="0"/>
              </w:numPr>
              <w:ind w:left="0" w:leftChars="0" w:firstLine="0" w:firstLineChars="0"/>
              <w:rPr>
                <w:u w:val="single"/>
              </w:rPr>
            </w:pPr>
            <w:r>
              <w:rPr>
                <w:rFonts w:hint="default" w:ascii="Times New Roman" w:hAnsi="Times New Roman" w:eastAsia="宋体" w:cs="Times New Roman"/>
                <w:b/>
                <w:i w:val="0"/>
                <w:color w:val="auto"/>
                <w:kern w:val="2"/>
                <w:sz w:val="24"/>
                <w:szCs w:val="24"/>
                <w:lang w:val="en-US" w:eastAsia="zh-CN" w:bidi="ar-SA"/>
              </w:rPr>
              <w:t>3.1.2、</w:t>
            </w:r>
            <w:r>
              <w:rPr>
                <w:rFonts w:hint="eastAsia"/>
                <w:u w:val="single"/>
              </w:rPr>
              <w:t>补充监测</w:t>
            </w:r>
          </w:p>
          <w:p w14:paraId="34349797">
            <w:pPr>
              <w:bidi w:val="0"/>
              <w:rPr>
                <w:rFonts w:hint="eastAsia"/>
                <w:highlight w:val="none"/>
              </w:rPr>
            </w:pPr>
            <w:r>
              <w:rPr>
                <w:rFonts w:hint="eastAsia"/>
                <w:highlight w:val="none"/>
              </w:rPr>
              <w:t>为进一步了解区域环境空气质量状况，项目</w:t>
            </w:r>
            <w:r>
              <w:rPr>
                <w:rFonts w:hint="eastAsia"/>
                <w:highlight w:val="none"/>
                <w:lang w:eastAsia="zh-CN"/>
              </w:rPr>
              <w:t>委托广西宁大生态环境</w:t>
            </w:r>
            <w:r>
              <w:rPr>
                <w:rFonts w:hint="eastAsia"/>
                <w:highlight w:val="none"/>
              </w:rPr>
              <w:t>有限公司监测</w:t>
            </w:r>
            <w:r>
              <w:rPr>
                <w:rFonts w:hint="eastAsia"/>
                <w:highlight w:val="none"/>
                <w:lang w:eastAsia="zh-CN"/>
              </w:rPr>
              <w:t>对</w:t>
            </w:r>
            <w:r>
              <w:rPr>
                <w:rFonts w:hint="eastAsia"/>
                <w:highlight w:val="none"/>
              </w:rPr>
              <w:t>非甲烷总烃、氨、硫化氢、臭气</w:t>
            </w:r>
            <w:r>
              <w:rPr>
                <w:rFonts w:hint="eastAsia"/>
                <w:highlight w:val="none"/>
                <w:lang w:eastAsia="zh-CN"/>
              </w:rPr>
              <w:t>浓度</w:t>
            </w:r>
            <w:r>
              <w:rPr>
                <w:rFonts w:hint="eastAsia"/>
                <w:highlight w:val="none"/>
              </w:rPr>
              <w:t>、总悬浮颗粒物（TSP）的</w:t>
            </w:r>
            <w:r>
              <w:rPr>
                <w:rFonts w:hint="eastAsia"/>
                <w:highlight w:val="none"/>
                <w:lang w:eastAsia="zh-CN"/>
              </w:rPr>
              <w:t>进行监测</w:t>
            </w:r>
            <w:r>
              <w:rPr>
                <w:rFonts w:hint="eastAsia"/>
                <w:highlight w:val="none"/>
              </w:rPr>
              <w:t>，监测时间为202</w:t>
            </w:r>
            <w:r>
              <w:rPr>
                <w:rFonts w:hint="eastAsia"/>
                <w:highlight w:val="none"/>
                <w:lang w:val="en-US" w:eastAsia="zh-CN"/>
              </w:rPr>
              <w:t>5</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19</w:t>
            </w:r>
            <w:r>
              <w:rPr>
                <w:rFonts w:hint="eastAsia"/>
                <w:highlight w:val="none"/>
              </w:rPr>
              <w:t>日</w:t>
            </w:r>
            <w:r>
              <w:rPr>
                <w:rFonts w:hint="eastAsia"/>
                <w:highlight w:val="none"/>
                <w:lang w:val="en-US" w:eastAsia="zh-CN"/>
              </w:rPr>
              <w:t>~21日</w:t>
            </w:r>
            <w:r>
              <w:rPr>
                <w:rFonts w:hint="eastAsia"/>
                <w:highlight w:val="none"/>
              </w:rPr>
              <w:t>。</w:t>
            </w:r>
          </w:p>
          <w:p w14:paraId="3D077216">
            <w:pPr>
              <w:bidi w:val="0"/>
              <w:rPr>
                <w:highlight w:val="none"/>
              </w:rPr>
            </w:pPr>
            <w:r>
              <w:rPr>
                <w:highlight w:val="none"/>
              </w:rPr>
              <w:t>①监测点位：</w:t>
            </w:r>
            <w:r>
              <w:rPr>
                <w:rFonts w:hint="eastAsia"/>
                <w:highlight w:val="none"/>
                <w:lang w:eastAsia="zh-CN"/>
              </w:rPr>
              <w:t>下</w:t>
            </w:r>
            <w:r>
              <w:rPr>
                <w:highlight w:val="none"/>
              </w:rPr>
              <w:t>风向</w:t>
            </w:r>
            <w:r>
              <w:rPr>
                <w:rFonts w:hint="eastAsia"/>
                <w:highlight w:val="none"/>
                <w:lang w:val="en-US" w:eastAsia="zh-CN"/>
              </w:rPr>
              <w:t>1</w:t>
            </w:r>
            <w:r>
              <w:rPr>
                <w:highlight w:val="none"/>
              </w:rPr>
              <w:t>个点。</w:t>
            </w:r>
          </w:p>
          <w:p w14:paraId="49628B69">
            <w:pPr>
              <w:bidi w:val="0"/>
              <w:rPr>
                <w:highlight w:val="none"/>
              </w:rPr>
            </w:pPr>
            <w:r>
              <w:rPr>
                <w:highlight w:val="none"/>
              </w:rPr>
              <w:t>②监测时间：</w:t>
            </w: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19</w:t>
            </w:r>
            <w:r>
              <w:rPr>
                <w:rFonts w:hint="eastAsia"/>
                <w:highlight w:val="none"/>
              </w:rPr>
              <w:t>日</w:t>
            </w:r>
            <w:r>
              <w:rPr>
                <w:rFonts w:hint="eastAsia"/>
                <w:highlight w:val="none"/>
                <w:lang w:val="en-US" w:eastAsia="zh-CN"/>
              </w:rPr>
              <w:t>~21日</w:t>
            </w:r>
            <w:r>
              <w:rPr>
                <w:highlight w:val="none"/>
              </w:rPr>
              <w:t>。</w:t>
            </w:r>
          </w:p>
          <w:p w14:paraId="1139F587">
            <w:pPr>
              <w:bidi w:val="0"/>
              <w:rPr>
                <w:rFonts w:hint="eastAsia"/>
                <w:highlight w:val="none"/>
              </w:rPr>
            </w:pPr>
            <w:r>
              <w:rPr>
                <w:highlight w:val="none"/>
              </w:rPr>
              <w:t>③监测频率：</w:t>
            </w:r>
            <w:r>
              <w:rPr>
                <w:rFonts w:hint="eastAsia"/>
                <w:highlight w:val="none"/>
                <w:lang w:val="en-US" w:eastAsia="zh-CN"/>
              </w:rPr>
              <w:t>TSP</w:t>
            </w:r>
            <w:r>
              <w:rPr>
                <w:rFonts w:hint="eastAsia"/>
                <w:bCs/>
                <w:sz w:val="24"/>
                <w:highlight w:val="none"/>
              </w:rPr>
              <w:t>连续监测</w:t>
            </w:r>
            <w:r>
              <w:rPr>
                <w:sz w:val="24"/>
                <w:highlight w:val="none"/>
              </w:rPr>
              <w:t>3</w:t>
            </w:r>
            <w:r>
              <w:rPr>
                <w:rFonts w:hint="eastAsia"/>
                <w:sz w:val="24"/>
                <w:highlight w:val="none"/>
              </w:rPr>
              <w:t>天，每天连续监测24h</w:t>
            </w:r>
            <w:r>
              <w:rPr>
                <w:rFonts w:hint="eastAsia"/>
                <w:sz w:val="24"/>
                <w:highlight w:val="none"/>
                <w:lang w:eastAsia="zh-CN"/>
              </w:rPr>
              <w:t>；</w:t>
            </w:r>
            <w:r>
              <w:rPr>
                <w:rFonts w:hint="eastAsia"/>
                <w:highlight w:val="none"/>
              </w:rPr>
              <w:t>非甲烷总烃、氨、硫化氢、臭气</w:t>
            </w:r>
            <w:r>
              <w:rPr>
                <w:rFonts w:hint="eastAsia"/>
                <w:highlight w:val="none"/>
                <w:lang w:eastAsia="zh-CN"/>
              </w:rPr>
              <w:t>浓度</w:t>
            </w:r>
            <w:r>
              <w:rPr>
                <w:rFonts w:hint="eastAsia"/>
                <w:sz w:val="24"/>
                <w:highlight w:val="none"/>
              </w:rPr>
              <w:t>连续</w:t>
            </w:r>
            <w:r>
              <w:rPr>
                <w:sz w:val="24"/>
                <w:highlight w:val="none"/>
              </w:rPr>
              <w:t>监测</w:t>
            </w:r>
            <w:r>
              <w:rPr>
                <w:rFonts w:hint="eastAsia"/>
                <w:sz w:val="24"/>
                <w:highlight w:val="none"/>
              </w:rPr>
              <w:t>3</w:t>
            </w:r>
            <w:r>
              <w:rPr>
                <w:sz w:val="24"/>
                <w:highlight w:val="none"/>
              </w:rPr>
              <w:t>天，每天</w:t>
            </w:r>
            <w:r>
              <w:rPr>
                <w:rFonts w:hint="eastAsia"/>
                <w:sz w:val="24"/>
                <w:highlight w:val="none"/>
              </w:rPr>
              <w:t>监测4</w:t>
            </w:r>
            <w:r>
              <w:rPr>
                <w:sz w:val="24"/>
                <w:highlight w:val="none"/>
              </w:rPr>
              <w:t>次</w:t>
            </w:r>
            <w:r>
              <w:rPr>
                <w:rFonts w:hint="eastAsia"/>
                <w:highlight w:val="none"/>
              </w:rPr>
              <w:t>。</w:t>
            </w:r>
          </w:p>
          <w:p w14:paraId="5779F551">
            <w:pPr>
              <w:bidi w:val="0"/>
              <w:ind w:left="0" w:leftChars="0" w:firstLine="0" w:firstLineChars="0"/>
              <w:jc w:val="center"/>
              <w:rPr>
                <w:rFonts w:ascii="Times New Roman" w:hAnsi="Times New Roman" w:eastAsia="宋体"/>
              </w:rPr>
            </w:pPr>
            <w:r>
              <w:drawing>
                <wp:inline distT="0" distB="0" distL="114300" distR="114300">
                  <wp:extent cx="5468620" cy="3607435"/>
                  <wp:effectExtent l="0" t="0" r="17780" b="1206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13"/>
                          <a:stretch>
                            <a:fillRect/>
                          </a:stretch>
                        </pic:blipFill>
                        <pic:spPr>
                          <a:xfrm>
                            <a:off x="0" y="0"/>
                            <a:ext cx="5468620" cy="3607435"/>
                          </a:xfrm>
                          <a:prstGeom prst="rect">
                            <a:avLst/>
                          </a:prstGeom>
                          <a:noFill/>
                          <a:ln>
                            <a:noFill/>
                          </a:ln>
                        </pic:spPr>
                      </pic:pic>
                    </a:graphicData>
                  </a:graphic>
                </wp:inline>
              </w:drawing>
            </w:r>
          </w:p>
          <w:p w14:paraId="72A4C8D7">
            <w:pPr>
              <w:pStyle w:val="9"/>
              <w:numPr>
                <w:ilvl w:val="6"/>
                <w:numId w:val="0"/>
              </w:numPr>
              <w:bidi w:val="0"/>
              <w:ind w:left="0" w:leftChars="0" w:firstLine="480" w:firstLineChars="200"/>
              <w:rPr>
                <w:rFonts w:hint="eastAsia"/>
              </w:rPr>
            </w:pPr>
            <w:r>
              <w:rPr>
                <w:rFonts w:hint="default" w:ascii="Times New Roman" w:hAnsi="Times New Roman" w:eastAsia="宋体" w:cs="Times New Roman"/>
                <w:b/>
                <w:i w:val="0"/>
                <w:kern w:val="2"/>
                <w:sz w:val="24"/>
                <w:szCs w:val="24"/>
                <w:shd w:val="clear" w:fill="FFFFFF"/>
                <w:lang w:val="en-US" w:eastAsia="zh-CN" w:bidi="ar-SA"/>
              </w:rPr>
              <w:t>图3-1</w:t>
            </w:r>
            <w:r>
              <w:t>采样点位示意图</w:t>
            </w:r>
          </w:p>
          <w:p w14:paraId="6681B8B8">
            <w:pPr>
              <w:rPr>
                <w:rFonts w:ascii="Times New Roman" w:hAnsi="Times New Roman" w:eastAsia="宋体"/>
                <w:spacing w:val="-10"/>
                <w:sz w:val="24"/>
              </w:rPr>
            </w:pPr>
            <w:r>
              <w:rPr>
                <w:rFonts w:ascii="Times New Roman" w:hAnsi="Times New Roman" w:eastAsia="宋体"/>
                <w:spacing w:val="-3"/>
                <w:sz w:val="24"/>
              </w:rPr>
              <w:t>④监测分析方法：监测所用的方法及检出限见表</w:t>
            </w:r>
            <w:r>
              <w:rPr>
                <w:rFonts w:ascii="Times New Roman" w:hAnsi="Times New Roman" w:eastAsia="宋体"/>
                <w:spacing w:val="-2"/>
                <w:sz w:val="24"/>
              </w:rPr>
              <w:t>3-2</w:t>
            </w:r>
            <w:r>
              <w:rPr>
                <w:rFonts w:ascii="Times New Roman" w:hAnsi="Times New Roman" w:eastAsia="宋体"/>
                <w:spacing w:val="-10"/>
                <w:sz w:val="24"/>
              </w:rPr>
              <w:t>。</w:t>
            </w:r>
          </w:p>
          <w:p w14:paraId="790902C0">
            <w:pPr>
              <w:pStyle w:val="8"/>
              <w:numPr>
                <w:ilvl w:val="5"/>
                <w:numId w:val="0"/>
              </w:numPr>
              <w:bidi w:val="0"/>
              <w:ind w:left="0" w:leftChars="0" w:firstLine="480" w:firstLineChars="200"/>
              <w:rPr>
                <w:rFonts w:hint="eastAsia"/>
              </w:rPr>
            </w:pPr>
            <w:r>
              <w:rPr>
                <w:rFonts w:hint="default" w:ascii="Times New Roman" w:hAnsi="Times New Roman" w:eastAsia="宋体" w:cs="Times New Roman"/>
                <w:b/>
                <w:i w:val="0"/>
                <w:color w:val="auto"/>
                <w:kern w:val="2"/>
                <w:sz w:val="24"/>
                <w:szCs w:val="24"/>
                <w:shd w:val="clear" w:fill="FFFFFF"/>
                <w:lang w:val="en-US" w:eastAsia="zh-CN" w:bidi="ar-SA"/>
              </w:rPr>
              <w:t>表3-2</w:t>
            </w:r>
            <w:r>
              <w:t>监测所用的方法及检出限</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959"/>
              <w:gridCol w:w="1100"/>
              <w:gridCol w:w="3376"/>
            </w:tblGrid>
            <w:tr w14:paraId="4F02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0" w:type="dxa"/>
                  <w:noWrap w:val="0"/>
                  <w:vAlign w:val="center"/>
                </w:tcPr>
                <w:p w14:paraId="6155A893">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sz w:val="21"/>
                      <w:szCs w:val="21"/>
                    </w:rPr>
                  </w:pPr>
                  <w:r>
                    <w:rPr>
                      <w:color w:val="000000"/>
                      <w:sz w:val="21"/>
                      <w:szCs w:val="21"/>
                    </w:rPr>
                    <w:t>监测项目</w:t>
                  </w:r>
                </w:p>
              </w:tc>
              <w:tc>
                <w:tcPr>
                  <w:tcW w:w="2959" w:type="dxa"/>
                  <w:noWrap w:val="0"/>
                  <w:vAlign w:val="center"/>
                </w:tcPr>
                <w:p w14:paraId="199CDD62">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sz w:val="21"/>
                      <w:szCs w:val="21"/>
                    </w:rPr>
                  </w:pPr>
                  <w:r>
                    <w:rPr>
                      <w:color w:val="000000"/>
                      <w:sz w:val="21"/>
                      <w:szCs w:val="21"/>
                    </w:rPr>
                    <w:t>分析方法</w:t>
                  </w:r>
                </w:p>
              </w:tc>
              <w:tc>
                <w:tcPr>
                  <w:tcW w:w="1100" w:type="dxa"/>
                  <w:noWrap w:val="0"/>
                  <w:vAlign w:val="center"/>
                </w:tcPr>
                <w:p w14:paraId="5899F60E">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color w:val="000000"/>
                      <w:sz w:val="21"/>
                      <w:szCs w:val="21"/>
                    </w:rPr>
                  </w:pPr>
                  <w:r>
                    <w:rPr>
                      <w:color w:val="000000"/>
                      <w:sz w:val="21"/>
                      <w:szCs w:val="21"/>
                    </w:rPr>
                    <w:t>检出限或</w:t>
                  </w:r>
                </w:p>
                <w:p w14:paraId="0427F9BE">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sz w:val="21"/>
                      <w:szCs w:val="21"/>
                    </w:rPr>
                  </w:pPr>
                  <w:r>
                    <w:rPr>
                      <w:color w:val="000000"/>
                      <w:sz w:val="21"/>
                      <w:szCs w:val="21"/>
                    </w:rPr>
                    <w:t>检出范围</w:t>
                  </w:r>
                </w:p>
              </w:tc>
              <w:tc>
                <w:tcPr>
                  <w:tcW w:w="0" w:type="auto"/>
                  <w:noWrap w:val="0"/>
                  <w:vAlign w:val="center"/>
                </w:tcPr>
                <w:p w14:paraId="258D6BAF">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sz w:val="21"/>
                      <w:szCs w:val="21"/>
                    </w:rPr>
                  </w:pPr>
                  <w:r>
                    <w:rPr>
                      <w:rFonts w:hint="eastAsia"/>
                      <w:sz w:val="21"/>
                      <w:szCs w:val="21"/>
                    </w:rPr>
                    <w:t>使用仪器及编号</w:t>
                  </w:r>
                </w:p>
              </w:tc>
            </w:tr>
            <w:tr w14:paraId="5C74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0" w:type="dxa"/>
                  <w:noWrap w:val="0"/>
                  <w:vAlign w:val="center"/>
                </w:tcPr>
                <w:p w14:paraId="32BB4DD1">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sz w:val="21"/>
                      <w:szCs w:val="21"/>
                    </w:rPr>
                  </w:pPr>
                  <w:r>
                    <w:rPr>
                      <w:rFonts w:hint="eastAsia"/>
                      <w:color w:val="000000"/>
                      <w:sz w:val="21"/>
                      <w:szCs w:val="21"/>
                    </w:rPr>
                    <w:t>氨</w:t>
                  </w:r>
                </w:p>
              </w:tc>
              <w:tc>
                <w:tcPr>
                  <w:tcW w:w="2959" w:type="dxa"/>
                  <w:noWrap w:val="0"/>
                  <w:vAlign w:val="center"/>
                </w:tcPr>
                <w:p w14:paraId="64E25113">
                  <w:pPr>
                    <w:keepNext w:val="0"/>
                    <w:keepLines w:val="0"/>
                    <w:pageBreakBefore w:val="0"/>
                    <w:widowControl/>
                    <w:kinsoku/>
                    <w:wordWrap/>
                    <w:overflowPunct w:val="0"/>
                    <w:topLinePunct w:val="0"/>
                    <w:autoSpaceDE/>
                    <w:autoSpaceDN/>
                    <w:bidi w:val="0"/>
                    <w:adjustRightInd/>
                    <w:spacing w:line="240" w:lineRule="auto"/>
                    <w:ind w:firstLine="0" w:firstLineChars="0"/>
                    <w:jc w:val="center"/>
                    <w:textAlignment w:val="auto"/>
                    <w:rPr>
                      <w:sz w:val="21"/>
                      <w:szCs w:val="21"/>
                    </w:rPr>
                  </w:pPr>
                  <w:r>
                    <w:rPr>
                      <w:color w:val="000000"/>
                      <w:sz w:val="21"/>
                      <w:szCs w:val="21"/>
                    </w:rPr>
                    <w:t>环境空气和废气氨的测定纳氏试剂分光光度法HJ 533-2009</w:t>
                  </w:r>
                </w:p>
              </w:tc>
              <w:tc>
                <w:tcPr>
                  <w:tcW w:w="1100" w:type="dxa"/>
                  <w:noWrap w:val="0"/>
                  <w:vAlign w:val="center"/>
                </w:tcPr>
                <w:p w14:paraId="1EFD4501">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rFonts w:hint="eastAsia"/>
                      <w:sz w:val="21"/>
                      <w:szCs w:val="21"/>
                    </w:rPr>
                  </w:pPr>
                  <w:r>
                    <w:rPr>
                      <w:sz w:val="21"/>
                      <w:szCs w:val="21"/>
                    </w:rPr>
                    <w:t>0.0</w:t>
                  </w:r>
                  <w:r>
                    <w:rPr>
                      <w:rFonts w:hint="eastAsia"/>
                      <w:sz w:val="21"/>
                      <w:szCs w:val="21"/>
                    </w:rPr>
                    <w:t xml:space="preserve">1 </w:t>
                  </w:r>
                  <w:r>
                    <w:rPr>
                      <w:sz w:val="21"/>
                      <w:szCs w:val="21"/>
                    </w:rPr>
                    <w:t>mg/m</w:t>
                  </w:r>
                  <w:r>
                    <w:rPr>
                      <w:sz w:val="21"/>
                      <w:szCs w:val="21"/>
                      <w:vertAlign w:val="superscript"/>
                    </w:rPr>
                    <w:t>3</w:t>
                  </w:r>
                </w:p>
              </w:tc>
              <w:tc>
                <w:tcPr>
                  <w:tcW w:w="0" w:type="auto"/>
                  <w:vMerge w:val="restart"/>
                  <w:noWrap w:val="0"/>
                  <w:vAlign w:val="center"/>
                </w:tcPr>
                <w:p w14:paraId="14F07FDE">
                  <w:pPr>
                    <w:keepNext w:val="0"/>
                    <w:keepLines w:val="0"/>
                    <w:pageBreakBefore w:val="0"/>
                    <w:widowControl/>
                    <w:kinsoku/>
                    <w:wordWrap/>
                    <w:overflowPunct w:val="0"/>
                    <w:topLinePunct w:val="0"/>
                    <w:autoSpaceDE/>
                    <w:autoSpaceDN/>
                    <w:bidi w:val="0"/>
                    <w:adjustRightInd/>
                    <w:spacing w:line="240" w:lineRule="auto"/>
                    <w:ind w:firstLine="0" w:firstLineChars="0"/>
                    <w:jc w:val="center"/>
                    <w:textAlignment w:val="auto"/>
                    <w:rPr>
                      <w:rFonts w:hint="eastAsia"/>
                      <w:sz w:val="21"/>
                      <w:szCs w:val="21"/>
                    </w:rPr>
                  </w:pPr>
                  <w:r>
                    <w:rPr>
                      <w:rFonts w:hint="eastAsia"/>
                      <w:sz w:val="21"/>
                      <w:szCs w:val="21"/>
                    </w:rPr>
                    <w:t>高负压智能综合采样器</w:t>
                  </w:r>
                  <w:r>
                    <w:rPr>
                      <w:sz w:val="21"/>
                      <w:szCs w:val="21"/>
                    </w:rPr>
                    <w:t>ADS-2062G</w:t>
                  </w:r>
                  <w:r>
                    <w:rPr>
                      <w:rFonts w:hint="eastAsia"/>
                      <w:sz w:val="21"/>
                      <w:szCs w:val="21"/>
                    </w:rPr>
                    <w:t>（NDST/YQ-WX-93）</w:t>
                  </w:r>
                </w:p>
                <w:p w14:paraId="03D01A43">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color w:val="000000"/>
                      <w:kern w:val="0"/>
                      <w:sz w:val="21"/>
                      <w:szCs w:val="21"/>
                      <w:lang w:bidi="ar"/>
                    </w:rPr>
                  </w:pPr>
                  <w:r>
                    <w:rPr>
                      <w:color w:val="000000"/>
                      <w:kern w:val="0"/>
                      <w:sz w:val="21"/>
                      <w:szCs w:val="21"/>
                      <w:lang w:bidi="ar"/>
                    </w:rPr>
                    <w:t>紫外可见分光光度计UV-6100</w:t>
                  </w:r>
                </w:p>
                <w:p w14:paraId="19932690">
                  <w:pPr>
                    <w:keepNext w:val="0"/>
                    <w:keepLines w:val="0"/>
                    <w:pageBreakBefore w:val="0"/>
                    <w:kinsoku/>
                    <w:wordWrap/>
                    <w:overflowPunct w:val="0"/>
                    <w:topLinePunct w:val="0"/>
                    <w:autoSpaceDE/>
                    <w:autoSpaceDN/>
                    <w:bidi w:val="0"/>
                    <w:adjustRightInd/>
                    <w:snapToGrid w:val="0"/>
                    <w:spacing w:line="240" w:lineRule="auto"/>
                    <w:ind w:firstLine="0" w:firstLineChars="0"/>
                    <w:jc w:val="center"/>
                    <w:textAlignment w:val="auto"/>
                    <w:rPr>
                      <w:rFonts w:hint="eastAsia"/>
                      <w:sz w:val="21"/>
                      <w:szCs w:val="21"/>
                    </w:rPr>
                  </w:pPr>
                  <w:r>
                    <w:rPr>
                      <w:rFonts w:hint="eastAsia"/>
                      <w:color w:val="000000"/>
                      <w:kern w:val="0"/>
                      <w:sz w:val="21"/>
                      <w:szCs w:val="21"/>
                      <w:lang w:bidi="ar"/>
                    </w:rPr>
                    <w:t>（NDST</w:t>
                  </w:r>
                  <w:r>
                    <w:rPr>
                      <w:color w:val="000000"/>
                      <w:kern w:val="0"/>
                      <w:sz w:val="21"/>
                      <w:szCs w:val="21"/>
                      <w:lang w:bidi="ar"/>
                    </w:rPr>
                    <w:t>/YQ-SY-33</w:t>
                  </w:r>
                  <w:r>
                    <w:rPr>
                      <w:rFonts w:hint="eastAsia"/>
                      <w:color w:val="000000"/>
                      <w:kern w:val="0"/>
                      <w:sz w:val="21"/>
                      <w:szCs w:val="21"/>
                      <w:lang w:bidi="ar"/>
                    </w:rPr>
                    <w:t>）</w:t>
                  </w:r>
                </w:p>
              </w:tc>
            </w:tr>
            <w:tr w14:paraId="24CD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0" w:type="dxa"/>
                  <w:noWrap w:val="0"/>
                  <w:vAlign w:val="center"/>
                </w:tcPr>
                <w:p w14:paraId="74050210">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sz w:val="21"/>
                      <w:szCs w:val="21"/>
                    </w:rPr>
                  </w:pPr>
                  <w:r>
                    <w:rPr>
                      <w:rFonts w:hint="eastAsia"/>
                      <w:color w:val="000000"/>
                      <w:sz w:val="21"/>
                      <w:szCs w:val="21"/>
                    </w:rPr>
                    <w:t>硫化氢</w:t>
                  </w:r>
                </w:p>
              </w:tc>
              <w:tc>
                <w:tcPr>
                  <w:tcW w:w="2959" w:type="dxa"/>
                  <w:noWrap w:val="0"/>
                  <w:vAlign w:val="center"/>
                </w:tcPr>
                <w:p w14:paraId="0C7AAA05">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sz w:val="21"/>
                      <w:szCs w:val="21"/>
                    </w:rPr>
                  </w:pPr>
                  <w:r>
                    <w:rPr>
                      <w:color w:val="000000"/>
                      <w:sz w:val="21"/>
                      <w:szCs w:val="21"/>
                    </w:rPr>
                    <w:t>亚甲基蓝分光光度法《空气和废气监测分析方法》国家环保总局第四版2003年</w:t>
                  </w:r>
                </w:p>
              </w:tc>
              <w:tc>
                <w:tcPr>
                  <w:tcW w:w="1100" w:type="dxa"/>
                  <w:noWrap w:val="0"/>
                  <w:vAlign w:val="center"/>
                </w:tcPr>
                <w:p w14:paraId="1309EF6B">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rFonts w:hint="eastAsia"/>
                      <w:sz w:val="21"/>
                      <w:szCs w:val="21"/>
                    </w:rPr>
                  </w:pPr>
                  <w:r>
                    <w:rPr>
                      <w:rFonts w:hint="eastAsia"/>
                      <w:sz w:val="21"/>
                      <w:szCs w:val="21"/>
                    </w:rPr>
                    <w:t xml:space="preserve">0.001 </w:t>
                  </w:r>
                  <w:r>
                    <w:rPr>
                      <w:sz w:val="21"/>
                      <w:szCs w:val="21"/>
                    </w:rPr>
                    <w:t>mg/m</w:t>
                  </w:r>
                  <w:r>
                    <w:rPr>
                      <w:sz w:val="21"/>
                      <w:szCs w:val="21"/>
                      <w:vertAlign w:val="superscript"/>
                    </w:rPr>
                    <w:t>3</w:t>
                  </w:r>
                </w:p>
              </w:tc>
              <w:tc>
                <w:tcPr>
                  <w:tcW w:w="0" w:type="auto"/>
                  <w:vMerge w:val="continue"/>
                  <w:noWrap w:val="0"/>
                  <w:vAlign w:val="center"/>
                </w:tcPr>
                <w:p w14:paraId="08C9B9FF">
                  <w:pPr>
                    <w:keepNext w:val="0"/>
                    <w:keepLines w:val="0"/>
                    <w:pageBreakBefore w:val="0"/>
                    <w:kinsoku/>
                    <w:wordWrap/>
                    <w:overflowPunct w:val="0"/>
                    <w:topLinePunct w:val="0"/>
                    <w:autoSpaceDE/>
                    <w:autoSpaceDN/>
                    <w:bidi w:val="0"/>
                    <w:adjustRightInd/>
                    <w:snapToGrid w:val="0"/>
                    <w:spacing w:line="240" w:lineRule="auto"/>
                    <w:ind w:firstLine="0" w:firstLineChars="0"/>
                    <w:jc w:val="center"/>
                    <w:textAlignment w:val="auto"/>
                    <w:rPr>
                      <w:rFonts w:hint="eastAsia"/>
                      <w:sz w:val="21"/>
                      <w:szCs w:val="21"/>
                    </w:rPr>
                  </w:pPr>
                </w:p>
              </w:tc>
            </w:tr>
            <w:tr w14:paraId="08BA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0" w:type="dxa"/>
                  <w:noWrap w:val="0"/>
                  <w:vAlign w:val="center"/>
                </w:tcPr>
                <w:p w14:paraId="2F047D1D">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sz w:val="21"/>
                      <w:szCs w:val="21"/>
                    </w:rPr>
                  </w:pPr>
                  <w:r>
                    <w:rPr>
                      <w:sz w:val="21"/>
                      <w:szCs w:val="21"/>
                    </w:rPr>
                    <w:t>总悬浮颗粒物</w:t>
                  </w:r>
                  <w:r>
                    <w:rPr>
                      <w:rFonts w:hint="eastAsia"/>
                      <w:sz w:val="21"/>
                      <w:szCs w:val="21"/>
                    </w:rPr>
                    <w:t>颗粒物</w:t>
                  </w:r>
                </w:p>
              </w:tc>
              <w:tc>
                <w:tcPr>
                  <w:tcW w:w="2959" w:type="dxa"/>
                  <w:noWrap w:val="0"/>
                  <w:vAlign w:val="center"/>
                </w:tcPr>
                <w:p w14:paraId="23E1AA00">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rFonts w:hint="eastAsia"/>
                      <w:color w:val="000000"/>
                      <w:sz w:val="21"/>
                      <w:szCs w:val="21"/>
                    </w:rPr>
                  </w:pPr>
                  <w:r>
                    <w:rPr>
                      <w:sz w:val="21"/>
                      <w:szCs w:val="21"/>
                    </w:rPr>
                    <w:t>环境空气总悬浮颗粒物的测定重量法HJ 1263-2022</w:t>
                  </w:r>
                </w:p>
              </w:tc>
              <w:tc>
                <w:tcPr>
                  <w:tcW w:w="1100" w:type="dxa"/>
                  <w:noWrap w:val="0"/>
                  <w:vAlign w:val="center"/>
                </w:tcPr>
                <w:p w14:paraId="611C12AB">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rFonts w:hint="eastAsia"/>
                      <w:color w:val="000000"/>
                      <w:sz w:val="21"/>
                      <w:szCs w:val="21"/>
                    </w:rPr>
                  </w:pPr>
                  <w:r>
                    <w:rPr>
                      <w:rFonts w:hint="eastAsia"/>
                      <w:sz w:val="21"/>
                      <w:szCs w:val="21"/>
                    </w:rPr>
                    <w:t>7</w:t>
                  </w:r>
                  <w:r>
                    <w:rPr>
                      <w:sz w:val="21"/>
                      <w:szCs w:val="21"/>
                    </w:rPr>
                    <w:t>μg/m</w:t>
                  </w:r>
                  <w:r>
                    <w:rPr>
                      <w:sz w:val="21"/>
                      <w:szCs w:val="21"/>
                      <w:vertAlign w:val="superscript"/>
                    </w:rPr>
                    <w:t>3</w:t>
                  </w:r>
                </w:p>
              </w:tc>
              <w:tc>
                <w:tcPr>
                  <w:tcW w:w="0" w:type="auto"/>
                  <w:noWrap w:val="0"/>
                  <w:vAlign w:val="top"/>
                </w:tcPr>
                <w:p w14:paraId="69E264C8">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sz w:val="21"/>
                      <w:szCs w:val="21"/>
                    </w:rPr>
                  </w:pPr>
                  <w:r>
                    <w:rPr>
                      <w:rFonts w:hint="eastAsia"/>
                      <w:sz w:val="21"/>
                      <w:szCs w:val="21"/>
                    </w:rPr>
                    <w:t>高负压智能综合采样器ADS-2062G（NDST/YQ-WX-93）</w:t>
                  </w:r>
                </w:p>
                <w:p w14:paraId="63587D04">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rFonts w:hint="eastAsia"/>
                      <w:sz w:val="21"/>
                      <w:szCs w:val="21"/>
                    </w:rPr>
                  </w:pPr>
                  <w:r>
                    <w:rPr>
                      <w:rFonts w:hint="eastAsia"/>
                      <w:sz w:val="21"/>
                      <w:szCs w:val="21"/>
                    </w:rPr>
                    <w:t>十万分之一</w:t>
                  </w:r>
                  <w:r>
                    <w:rPr>
                      <w:sz w:val="21"/>
                      <w:szCs w:val="21"/>
                    </w:rPr>
                    <w:t>电子分析天平ES-E210BⅡ</w:t>
                  </w:r>
                  <w:r>
                    <w:rPr>
                      <w:rFonts w:hint="eastAsia"/>
                      <w:sz w:val="21"/>
                      <w:szCs w:val="21"/>
                    </w:rPr>
                    <w:t>（</w:t>
                  </w:r>
                  <w:r>
                    <w:rPr>
                      <w:rFonts w:hint="eastAsia"/>
                      <w:color w:val="000000"/>
                      <w:sz w:val="21"/>
                      <w:szCs w:val="21"/>
                    </w:rPr>
                    <w:t>NDST</w:t>
                  </w:r>
                  <w:r>
                    <w:rPr>
                      <w:color w:val="000000"/>
                      <w:sz w:val="21"/>
                      <w:szCs w:val="21"/>
                    </w:rPr>
                    <w:t>/YQ-SY-13</w:t>
                  </w:r>
                  <w:r>
                    <w:rPr>
                      <w:rFonts w:hint="eastAsia"/>
                      <w:sz w:val="21"/>
                      <w:szCs w:val="21"/>
                    </w:rPr>
                    <w:t>）</w:t>
                  </w:r>
                </w:p>
                <w:p w14:paraId="3B95C150">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color w:val="000000"/>
                      <w:sz w:val="21"/>
                      <w:szCs w:val="21"/>
                    </w:rPr>
                  </w:pPr>
                  <w:r>
                    <w:rPr>
                      <w:rFonts w:hint="eastAsia"/>
                      <w:sz w:val="21"/>
                      <w:szCs w:val="21"/>
                    </w:rPr>
                    <w:t>恒温恒湿培养箱HWS-80B（NDST/YQ-SY-06）</w:t>
                  </w:r>
                </w:p>
              </w:tc>
            </w:tr>
            <w:tr w14:paraId="192A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0" w:type="dxa"/>
                  <w:noWrap w:val="0"/>
                  <w:vAlign w:val="center"/>
                </w:tcPr>
                <w:p w14:paraId="755E2161">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sz w:val="21"/>
                      <w:szCs w:val="21"/>
                    </w:rPr>
                  </w:pPr>
                  <w:r>
                    <w:rPr>
                      <w:rFonts w:hint="eastAsia"/>
                      <w:sz w:val="21"/>
                      <w:szCs w:val="21"/>
                    </w:rPr>
                    <w:t>臭气浓度</w:t>
                  </w:r>
                </w:p>
              </w:tc>
              <w:tc>
                <w:tcPr>
                  <w:tcW w:w="2959" w:type="dxa"/>
                  <w:noWrap w:val="0"/>
                  <w:vAlign w:val="center"/>
                </w:tcPr>
                <w:p w14:paraId="0DA13EDB">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sz w:val="21"/>
                      <w:szCs w:val="21"/>
                    </w:rPr>
                  </w:pPr>
                  <w:r>
                    <w:rPr>
                      <w:rFonts w:hint="eastAsia"/>
                      <w:sz w:val="21"/>
                      <w:szCs w:val="21"/>
                    </w:rPr>
                    <w:t>臭气环境空气和废气臭气的测定三点比较式臭袋法HJ 1262-2022</w:t>
                  </w:r>
                </w:p>
              </w:tc>
              <w:tc>
                <w:tcPr>
                  <w:tcW w:w="1100" w:type="dxa"/>
                  <w:noWrap w:val="0"/>
                  <w:vAlign w:val="center"/>
                </w:tcPr>
                <w:p w14:paraId="0DE2CA9C">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rFonts w:hint="eastAsia"/>
                      <w:sz w:val="21"/>
                      <w:szCs w:val="21"/>
                    </w:rPr>
                  </w:pPr>
                  <w:r>
                    <w:rPr>
                      <w:sz w:val="21"/>
                      <w:szCs w:val="21"/>
                    </w:rPr>
                    <w:t>10</w:t>
                  </w:r>
                  <w:r>
                    <w:rPr>
                      <w:rFonts w:hint="eastAsia"/>
                      <w:sz w:val="21"/>
                      <w:szCs w:val="21"/>
                    </w:rPr>
                    <w:t>(无量纲)</w:t>
                  </w:r>
                </w:p>
              </w:tc>
              <w:tc>
                <w:tcPr>
                  <w:tcW w:w="0" w:type="auto"/>
                  <w:noWrap w:val="0"/>
                  <w:vAlign w:val="center"/>
                </w:tcPr>
                <w:p w14:paraId="01B61510">
                  <w:pPr>
                    <w:keepNext w:val="0"/>
                    <w:keepLines w:val="0"/>
                    <w:pageBreakBefore w:val="0"/>
                    <w:kinsoku/>
                    <w:wordWrap/>
                    <w:overflowPunct w:val="0"/>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隔膜真空泵</w:t>
                  </w:r>
                  <w:r>
                    <w:rPr>
                      <w:sz w:val="21"/>
                      <w:szCs w:val="21"/>
                    </w:rPr>
                    <w:t>GM-633A</w:t>
                  </w:r>
                </w:p>
                <w:p w14:paraId="49C95F63">
                  <w:pPr>
                    <w:keepNext w:val="0"/>
                    <w:keepLines w:val="0"/>
                    <w:pageBreakBefore w:val="0"/>
                    <w:kinsoku/>
                    <w:wordWrap/>
                    <w:overflowPunct w:val="0"/>
                    <w:topLinePunct w:val="0"/>
                    <w:autoSpaceDE/>
                    <w:autoSpaceDN/>
                    <w:bidi w:val="0"/>
                    <w:adjustRightInd/>
                    <w:snapToGrid w:val="0"/>
                    <w:spacing w:line="240" w:lineRule="auto"/>
                    <w:ind w:firstLine="0" w:firstLineChars="0"/>
                    <w:jc w:val="center"/>
                    <w:textAlignment w:val="auto"/>
                    <w:rPr>
                      <w:rFonts w:hint="eastAsia"/>
                      <w:sz w:val="21"/>
                      <w:szCs w:val="21"/>
                    </w:rPr>
                  </w:pPr>
                  <w:r>
                    <w:rPr>
                      <w:rFonts w:hint="eastAsia"/>
                      <w:sz w:val="21"/>
                      <w:szCs w:val="21"/>
                    </w:rPr>
                    <w:t>(NDST/YQ-SY-20)</w:t>
                  </w:r>
                </w:p>
                <w:p w14:paraId="129A0DF4">
                  <w:pPr>
                    <w:keepNext w:val="0"/>
                    <w:keepLines w:val="0"/>
                    <w:pageBreakBefore w:val="0"/>
                    <w:kinsoku/>
                    <w:wordWrap/>
                    <w:overflowPunct w:val="0"/>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无油空压机</w:t>
                  </w:r>
                  <w:r>
                    <w:rPr>
                      <w:sz w:val="21"/>
                      <w:szCs w:val="21"/>
                    </w:rPr>
                    <w:t>OLF550AFV</w:t>
                  </w:r>
                </w:p>
                <w:p w14:paraId="0F7E0A00">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rFonts w:hint="eastAsia"/>
                      <w:sz w:val="21"/>
                      <w:szCs w:val="21"/>
                    </w:rPr>
                  </w:pPr>
                  <w:r>
                    <w:rPr>
                      <w:rFonts w:hint="eastAsia"/>
                      <w:sz w:val="21"/>
                      <w:szCs w:val="21"/>
                    </w:rPr>
                    <w:t>(NDST/YQ-SY-21)</w:t>
                  </w:r>
                </w:p>
              </w:tc>
            </w:tr>
            <w:tr w14:paraId="5A27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0" w:type="dxa"/>
                  <w:noWrap w:val="0"/>
                  <w:vAlign w:val="center"/>
                </w:tcPr>
                <w:p w14:paraId="0757C882">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sz w:val="21"/>
                      <w:szCs w:val="21"/>
                    </w:rPr>
                  </w:pPr>
                  <w:r>
                    <w:rPr>
                      <w:rFonts w:hint="eastAsia"/>
                      <w:sz w:val="21"/>
                      <w:szCs w:val="21"/>
                    </w:rPr>
                    <w:t>非甲烷总烃</w:t>
                  </w:r>
                </w:p>
              </w:tc>
              <w:tc>
                <w:tcPr>
                  <w:tcW w:w="2959" w:type="dxa"/>
                  <w:noWrap w:val="0"/>
                  <w:vAlign w:val="center"/>
                </w:tcPr>
                <w:p w14:paraId="4DAFE55E">
                  <w:pPr>
                    <w:keepNext w:val="0"/>
                    <w:keepLines w:val="0"/>
                    <w:pageBreakBefore w:val="0"/>
                    <w:widowControl/>
                    <w:kinsoku/>
                    <w:wordWrap/>
                    <w:overflowPunct w:val="0"/>
                    <w:topLinePunct w:val="0"/>
                    <w:autoSpaceDE/>
                    <w:autoSpaceDN/>
                    <w:bidi w:val="0"/>
                    <w:adjustRightInd/>
                    <w:spacing w:line="240" w:lineRule="auto"/>
                    <w:ind w:firstLine="0" w:firstLineChars="0"/>
                    <w:jc w:val="center"/>
                    <w:textAlignment w:val="auto"/>
                    <w:rPr>
                      <w:rFonts w:hint="eastAsia"/>
                      <w:sz w:val="21"/>
                      <w:szCs w:val="21"/>
                    </w:rPr>
                  </w:pPr>
                  <w:r>
                    <w:rPr>
                      <w:rFonts w:hint="eastAsia"/>
                      <w:sz w:val="21"/>
                      <w:szCs w:val="21"/>
                    </w:rPr>
                    <w:t>环境空气总烃、甲烷、非甲烷总烃的测定直接进样-气相色谱法</w:t>
                  </w:r>
                </w:p>
                <w:p w14:paraId="402118D5">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sz w:val="21"/>
                      <w:szCs w:val="21"/>
                    </w:rPr>
                  </w:pPr>
                  <w:r>
                    <w:rPr>
                      <w:rFonts w:hint="eastAsia"/>
                      <w:sz w:val="21"/>
                      <w:szCs w:val="21"/>
                    </w:rPr>
                    <w:t>HJ 604-2017</w:t>
                  </w:r>
                </w:p>
              </w:tc>
              <w:tc>
                <w:tcPr>
                  <w:tcW w:w="1100" w:type="dxa"/>
                  <w:noWrap w:val="0"/>
                  <w:vAlign w:val="center"/>
                </w:tcPr>
                <w:p w14:paraId="7B108032">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rFonts w:hint="eastAsia"/>
                      <w:sz w:val="21"/>
                      <w:szCs w:val="21"/>
                    </w:rPr>
                  </w:pPr>
                  <w:r>
                    <w:rPr>
                      <w:rFonts w:hint="eastAsia"/>
                      <w:sz w:val="21"/>
                      <w:szCs w:val="21"/>
                    </w:rPr>
                    <w:t>0.07 mg/m</w:t>
                  </w:r>
                  <w:r>
                    <w:rPr>
                      <w:rFonts w:hint="eastAsia"/>
                      <w:sz w:val="21"/>
                      <w:szCs w:val="21"/>
                      <w:vertAlign w:val="superscript"/>
                    </w:rPr>
                    <w:t>3</w:t>
                  </w:r>
                </w:p>
              </w:tc>
              <w:tc>
                <w:tcPr>
                  <w:tcW w:w="0" w:type="auto"/>
                  <w:noWrap w:val="0"/>
                  <w:vAlign w:val="center"/>
                </w:tcPr>
                <w:p w14:paraId="06B91FB6">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rFonts w:hint="eastAsia"/>
                      <w:sz w:val="21"/>
                      <w:szCs w:val="21"/>
                    </w:rPr>
                  </w:pPr>
                  <w:r>
                    <w:rPr>
                      <w:rFonts w:hint="eastAsia"/>
                      <w:sz w:val="21"/>
                      <w:szCs w:val="21"/>
                    </w:rPr>
                    <w:t>气相色谱仪GC-4000A（NDST/YQ-SY-35）</w:t>
                  </w:r>
                </w:p>
              </w:tc>
            </w:tr>
            <w:tr w14:paraId="6B26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0" w:type="dxa"/>
                  <w:noWrap w:val="0"/>
                  <w:vAlign w:val="center"/>
                </w:tcPr>
                <w:p w14:paraId="6AF130C7">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sz w:val="21"/>
                      <w:szCs w:val="21"/>
                    </w:rPr>
                  </w:pPr>
                  <w:r>
                    <w:rPr>
                      <w:color w:val="000000"/>
                      <w:sz w:val="21"/>
                      <w:szCs w:val="21"/>
                    </w:rPr>
                    <w:t>气象参数</w:t>
                  </w:r>
                </w:p>
              </w:tc>
              <w:tc>
                <w:tcPr>
                  <w:tcW w:w="2959" w:type="dxa"/>
                  <w:noWrap w:val="0"/>
                  <w:vAlign w:val="center"/>
                </w:tcPr>
                <w:p w14:paraId="00FDA64A">
                  <w:pPr>
                    <w:keepNext w:val="0"/>
                    <w:keepLines w:val="0"/>
                    <w:pageBreakBefore w:val="0"/>
                    <w:kinsoku/>
                    <w:wordWrap/>
                    <w:overflowPunct w:val="0"/>
                    <w:topLinePunct w:val="0"/>
                    <w:autoSpaceDE/>
                    <w:autoSpaceDN/>
                    <w:bidi w:val="0"/>
                    <w:adjustRightInd/>
                    <w:spacing w:line="240" w:lineRule="auto"/>
                    <w:ind w:firstLine="0" w:firstLineChars="0"/>
                    <w:jc w:val="center"/>
                    <w:textAlignment w:val="auto"/>
                    <w:rPr>
                      <w:rFonts w:hint="eastAsia"/>
                      <w:sz w:val="21"/>
                      <w:szCs w:val="21"/>
                    </w:rPr>
                  </w:pPr>
                  <w:r>
                    <w:rPr>
                      <w:rFonts w:hint="eastAsia"/>
                      <w:sz w:val="21"/>
                      <w:szCs w:val="21"/>
                    </w:rPr>
                    <w:t>气温、气压、风向、风速、湿度</w:t>
                  </w:r>
                </w:p>
              </w:tc>
              <w:tc>
                <w:tcPr>
                  <w:tcW w:w="1100" w:type="dxa"/>
                  <w:noWrap w:val="0"/>
                  <w:vAlign w:val="center"/>
                </w:tcPr>
                <w:p w14:paraId="3273E173">
                  <w:pPr>
                    <w:keepNext w:val="0"/>
                    <w:keepLines w:val="0"/>
                    <w:pageBreakBefore w:val="0"/>
                    <w:kinsoku/>
                    <w:wordWrap/>
                    <w:overflowPunct w:val="0"/>
                    <w:topLinePunct w:val="0"/>
                    <w:autoSpaceDE/>
                    <w:autoSpaceDN/>
                    <w:bidi w:val="0"/>
                    <w:adjustRightInd/>
                    <w:snapToGrid w:val="0"/>
                    <w:spacing w:line="240" w:lineRule="auto"/>
                    <w:ind w:firstLine="0" w:firstLineChars="0"/>
                    <w:jc w:val="center"/>
                    <w:textAlignment w:val="auto"/>
                    <w:rPr>
                      <w:sz w:val="21"/>
                      <w:szCs w:val="21"/>
                    </w:rPr>
                  </w:pPr>
                  <w:r>
                    <w:rPr>
                      <w:sz w:val="21"/>
                      <w:szCs w:val="21"/>
                    </w:rPr>
                    <w:t>/</w:t>
                  </w:r>
                </w:p>
              </w:tc>
              <w:tc>
                <w:tcPr>
                  <w:tcW w:w="0" w:type="auto"/>
                  <w:noWrap w:val="0"/>
                  <w:vAlign w:val="top"/>
                </w:tcPr>
                <w:p w14:paraId="73AA9449">
                  <w:pPr>
                    <w:keepNext w:val="0"/>
                    <w:keepLines w:val="0"/>
                    <w:pageBreakBefore w:val="0"/>
                    <w:widowControl/>
                    <w:kinsoku/>
                    <w:wordWrap/>
                    <w:overflowPunct w:val="0"/>
                    <w:topLinePunct w:val="0"/>
                    <w:autoSpaceDE/>
                    <w:autoSpaceDN/>
                    <w:bidi w:val="0"/>
                    <w:adjustRightInd/>
                    <w:spacing w:line="240" w:lineRule="auto"/>
                    <w:ind w:firstLine="0" w:firstLineChars="0"/>
                    <w:jc w:val="center"/>
                    <w:textAlignment w:val="auto"/>
                    <w:rPr>
                      <w:color w:val="000000"/>
                      <w:sz w:val="21"/>
                      <w:szCs w:val="21"/>
                    </w:rPr>
                  </w:pPr>
                  <w:r>
                    <w:rPr>
                      <w:rFonts w:hint="eastAsia"/>
                      <w:color w:val="000000"/>
                      <w:sz w:val="21"/>
                      <w:szCs w:val="21"/>
                    </w:rPr>
                    <w:t>三杯风向风速仪DEM6型</w:t>
                  </w:r>
                  <w:r>
                    <w:rPr>
                      <w:color w:val="000000"/>
                      <w:sz w:val="21"/>
                      <w:szCs w:val="21"/>
                    </w:rPr>
                    <w:t>（</w:t>
                  </w:r>
                  <w:r>
                    <w:rPr>
                      <w:rFonts w:hint="eastAsia"/>
                      <w:color w:val="000000"/>
                      <w:sz w:val="21"/>
                      <w:szCs w:val="21"/>
                    </w:rPr>
                    <w:t>NDST</w:t>
                  </w:r>
                  <w:r>
                    <w:rPr>
                      <w:color w:val="000000"/>
                      <w:sz w:val="21"/>
                      <w:szCs w:val="21"/>
                    </w:rPr>
                    <w:t>/YQ-WX-</w:t>
                  </w:r>
                  <w:r>
                    <w:rPr>
                      <w:rFonts w:hint="eastAsia"/>
                      <w:color w:val="000000"/>
                      <w:sz w:val="21"/>
                      <w:szCs w:val="21"/>
                    </w:rPr>
                    <w:t>89</w:t>
                  </w:r>
                  <w:r>
                    <w:rPr>
                      <w:color w:val="000000"/>
                      <w:sz w:val="21"/>
                      <w:szCs w:val="21"/>
                    </w:rPr>
                    <w:t>）</w:t>
                  </w:r>
                </w:p>
                <w:p w14:paraId="35209920">
                  <w:pPr>
                    <w:keepNext w:val="0"/>
                    <w:keepLines w:val="0"/>
                    <w:pageBreakBefore w:val="0"/>
                    <w:widowControl/>
                    <w:kinsoku/>
                    <w:wordWrap/>
                    <w:overflowPunct w:val="0"/>
                    <w:topLinePunct w:val="0"/>
                    <w:autoSpaceDE/>
                    <w:autoSpaceDN/>
                    <w:bidi w:val="0"/>
                    <w:adjustRightInd/>
                    <w:spacing w:line="240" w:lineRule="auto"/>
                    <w:ind w:firstLine="0" w:firstLineChars="0"/>
                    <w:jc w:val="center"/>
                    <w:textAlignment w:val="auto"/>
                    <w:rPr>
                      <w:color w:val="000000"/>
                      <w:sz w:val="21"/>
                      <w:szCs w:val="21"/>
                    </w:rPr>
                  </w:pPr>
                  <w:r>
                    <w:rPr>
                      <w:color w:val="000000"/>
                      <w:sz w:val="21"/>
                      <w:szCs w:val="21"/>
                    </w:rPr>
                    <w:t>空盒气压表DYM3型（</w:t>
                  </w:r>
                  <w:r>
                    <w:rPr>
                      <w:rFonts w:hint="eastAsia"/>
                      <w:color w:val="000000"/>
                      <w:sz w:val="21"/>
                      <w:szCs w:val="21"/>
                    </w:rPr>
                    <w:t>NDST</w:t>
                  </w:r>
                  <w:r>
                    <w:rPr>
                      <w:color w:val="000000"/>
                      <w:sz w:val="21"/>
                      <w:szCs w:val="21"/>
                    </w:rPr>
                    <w:t>/YQ-WX-</w:t>
                  </w:r>
                  <w:r>
                    <w:rPr>
                      <w:rFonts w:hint="eastAsia"/>
                      <w:color w:val="000000"/>
                      <w:sz w:val="21"/>
                      <w:szCs w:val="21"/>
                    </w:rPr>
                    <w:t>85</w:t>
                  </w:r>
                  <w:r>
                    <w:rPr>
                      <w:color w:val="000000"/>
                      <w:sz w:val="21"/>
                      <w:szCs w:val="21"/>
                    </w:rPr>
                    <w:t>）</w:t>
                  </w:r>
                </w:p>
                <w:p w14:paraId="712DADCF">
                  <w:pPr>
                    <w:keepNext w:val="0"/>
                    <w:keepLines w:val="0"/>
                    <w:pageBreakBefore w:val="0"/>
                    <w:widowControl/>
                    <w:kinsoku/>
                    <w:wordWrap/>
                    <w:overflowPunct w:val="0"/>
                    <w:topLinePunct w:val="0"/>
                    <w:autoSpaceDE/>
                    <w:autoSpaceDN/>
                    <w:bidi w:val="0"/>
                    <w:adjustRightInd/>
                    <w:spacing w:line="240" w:lineRule="auto"/>
                    <w:ind w:firstLine="0" w:firstLineChars="0"/>
                    <w:jc w:val="center"/>
                    <w:textAlignment w:val="auto"/>
                    <w:rPr>
                      <w:rFonts w:hint="eastAsia"/>
                      <w:sz w:val="21"/>
                      <w:szCs w:val="21"/>
                    </w:rPr>
                  </w:pPr>
                  <w:r>
                    <w:rPr>
                      <w:color w:val="000000"/>
                      <w:sz w:val="21"/>
                      <w:szCs w:val="21"/>
                    </w:rPr>
                    <w:t>温湿度表WS-1（</w:t>
                  </w:r>
                  <w:r>
                    <w:rPr>
                      <w:rFonts w:hint="eastAsia"/>
                      <w:color w:val="000000"/>
                      <w:sz w:val="21"/>
                      <w:szCs w:val="21"/>
                    </w:rPr>
                    <w:t>NDST</w:t>
                  </w:r>
                  <w:r>
                    <w:rPr>
                      <w:color w:val="000000"/>
                      <w:sz w:val="21"/>
                      <w:szCs w:val="21"/>
                    </w:rPr>
                    <w:t>/YQ-WX-</w:t>
                  </w:r>
                  <w:r>
                    <w:rPr>
                      <w:rFonts w:hint="eastAsia"/>
                      <w:color w:val="000000"/>
                      <w:sz w:val="21"/>
                      <w:szCs w:val="21"/>
                    </w:rPr>
                    <w:t>91</w:t>
                  </w:r>
                  <w:r>
                    <w:rPr>
                      <w:color w:val="000000"/>
                      <w:sz w:val="21"/>
                      <w:szCs w:val="21"/>
                    </w:rPr>
                    <w:t>）</w:t>
                  </w:r>
                </w:p>
              </w:tc>
            </w:tr>
          </w:tbl>
          <w:p w14:paraId="66EF9438">
            <w:pPr>
              <w:pStyle w:val="56"/>
              <w:keepNext w:val="0"/>
              <w:keepLines w:val="0"/>
              <w:pageBreakBefore w:val="0"/>
              <w:widowControl w:val="0"/>
              <w:kinsoku/>
              <w:wordWrap/>
              <w:overflowPunct/>
              <w:topLinePunct w:val="0"/>
              <w:autoSpaceDE w:val="0"/>
              <w:autoSpaceDN w:val="0"/>
              <w:bidi w:val="0"/>
              <w:snapToGrid/>
              <w:spacing w:before="0" w:line="360" w:lineRule="auto"/>
              <w:ind w:left="0" w:right="0" w:firstLine="472" w:firstLineChars="200"/>
              <w:textAlignment w:val="auto"/>
              <w:rPr>
                <w:rFonts w:ascii="Times New Roman" w:hAnsi="Times New Roman" w:eastAsia="宋体"/>
                <w:sz w:val="24"/>
              </w:rPr>
            </w:pPr>
            <w:r>
              <w:rPr>
                <w:rFonts w:ascii="Times New Roman" w:hAnsi="Times New Roman" w:eastAsia="宋体"/>
                <w:spacing w:val="-2"/>
                <w:sz w:val="24"/>
              </w:rPr>
              <w:t>⑤评价方法：</w:t>
            </w:r>
          </w:p>
          <w:p w14:paraId="03B6479E">
            <w:pPr>
              <w:pStyle w:val="56"/>
              <w:keepNext w:val="0"/>
              <w:keepLines w:val="0"/>
              <w:pageBreakBefore w:val="0"/>
              <w:widowControl w:val="0"/>
              <w:kinsoku/>
              <w:wordWrap/>
              <w:overflowPunct/>
              <w:topLinePunct w:val="0"/>
              <w:autoSpaceDE w:val="0"/>
              <w:autoSpaceDN w:val="0"/>
              <w:bidi w:val="0"/>
              <w:snapToGrid/>
              <w:spacing w:before="0" w:line="360" w:lineRule="auto"/>
              <w:ind w:left="0" w:right="0" w:firstLine="472" w:firstLineChars="200"/>
              <w:textAlignment w:val="auto"/>
              <w:rPr>
                <w:rFonts w:ascii="Times New Roman" w:hAnsi="Times New Roman" w:eastAsia="宋体"/>
                <w:sz w:val="24"/>
              </w:rPr>
            </w:pPr>
            <w:r>
              <w:rPr>
                <w:rFonts w:ascii="Times New Roman" w:hAnsi="Times New Roman" w:eastAsia="宋体"/>
                <w:spacing w:val="-2"/>
                <w:sz w:val="24"/>
              </w:rPr>
              <w:t>统计各监测点的小时浓度、日均浓度范围，最大质量浓度值标准指数及超标率。用单因子指数法进行空气环境质量现状评价，公式如下：</w:t>
            </w:r>
          </w:p>
          <w:p w14:paraId="42514A6D">
            <w:pPr>
              <w:pStyle w:val="56"/>
              <w:keepNext w:val="0"/>
              <w:keepLines w:val="0"/>
              <w:pageBreakBefore w:val="0"/>
              <w:widowControl w:val="0"/>
              <w:kinsoku/>
              <w:wordWrap/>
              <w:overflowPunct/>
              <w:topLinePunct w:val="0"/>
              <w:autoSpaceDE w:val="0"/>
              <w:autoSpaceDN w:val="0"/>
              <w:bidi w:val="0"/>
              <w:snapToGrid/>
              <w:spacing w:before="0" w:line="360" w:lineRule="auto"/>
              <w:ind w:right="0"/>
              <w:jc w:val="center"/>
              <w:textAlignment w:val="auto"/>
              <w:rPr>
                <w:rFonts w:ascii="Times New Roman" w:hAnsi="Times New Roman" w:eastAsia="宋体"/>
                <w:sz w:val="15"/>
              </w:rPr>
            </w:pPr>
            <w:r>
              <w:rPr>
                <w:rFonts w:ascii="Times New Roman" w:hAnsi="Times New Roman" w:eastAsia="宋体"/>
                <w:position w:val="2"/>
                <w:sz w:val="24"/>
              </w:rPr>
              <w:t>P</w:t>
            </w:r>
            <w:r>
              <w:rPr>
                <w:rFonts w:ascii="Times New Roman" w:hAnsi="Times New Roman" w:eastAsia="宋体"/>
                <w:sz w:val="15"/>
              </w:rPr>
              <w:t>i</w:t>
            </w:r>
            <w:r>
              <w:rPr>
                <w:rFonts w:ascii="Times New Roman" w:hAnsi="Times New Roman" w:eastAsia="宋体"/>
                <w:position w:val="2"/>
                <w:sz w:val="24"/>
              </w:rPr>
              <w:t>=C</w:t>
            </w:r>
            <w:r>
              <w:rPr>
                <w:rFonts w:ascii="Times New Roman" w:hAnsi="Times New Roman" w:eastAsia="宋体"/>
                <w:sz w:val="15"/>
              </w:rPr>
              <w:t>i</w:t>
            </w:r>
            <w:r>
              <w:rPr>
                <w:rFonts w:ascii="Times New Roman" w:hAnsi="Times New Roman" w:eastAsia="宋体"/>
                <w:position w:val="2"/>
                <w:sz w:val="24"/>
              </w:rPr>
              <w:t>/C</w:t>
            </w:r>
            <w:r>
              <w:rPr>
                <w:rFonts w:ascii="Times New Roman" w:hAnsi="Times New Roman" w:eastAsia="宋体"/>
                <w:sz w:val="15"/>
              </w:rPr>
              <w:t>oi</w:t>
            </w:r>
          </w:p>
          <w:p w14:paraId="3BA753B2">
            <w:pPr>
              <w:pStyle w:val="56"/>
              <w:keepNext w:val="0"/>
              <w:keepLines w:val="0"/>
              <w:pageBreakBefore w:val="0"/>
              <w:widowControl w:val="0"/>
              <w:kinsoku/>
              <w:wordWrap/>
              <w:overflowPunct/>
              <w:topLinePunct w:val="0"/>
              <w:autoSpaceDE w:val="0"/>
              <w:autoSpaceDN w:val="0"/>
              <w:bidi w:val="0"/>
              <w:snapToGrid/>
              <w:spacing w:before="0" w:line="360" w:lineRule="auto"/>
              <w:ind w:left="0" w:right="0" w:firstLine="472" w:firstLineChars="200"/>
              <w:textAlignment w:val="auto"/>
              <w:rPr>
                <w:rFonts w:ascii="Times New Roman" w:hAnsi="Times New Roman" w:eastAsia="宋体"/>
                <w:spacing w:val="-2"/>
                <w:position w:val="2"/>
                <w:sz w:val="24"/>
              </w:rPr>
            </w:pPr>
            <w:r>
              <w:rPr>
                <w:rFonts w:ascii="Times New Roman" w:hAnsi="Times New Roman" w:eastAsia="宋体"/>
                <w:spacing w:val="-2"/>
                <w:position w:val="2"/>
                <w:sz w:val="24"/>
              </w:rPr>
              <w:t>式中：P</w:t>
            </w:r>
            <w:r>
              <w:rPr>
                <w:rFonts w:ascii="Times New Roman" w:hAnsi="Times New Roman" w:eastAsia="宋体"/>
                <w:spacing w:val="-2"/>
                <w:sz w:val="15"/>
              </w:rPr>
              <w:t>i</w:t>
            </w:r>
            <w:r>
              <w:rPr>
                <w:rFonts w:ascii="Times New Roman" w:hAnsi="Times New Roman" w:eastAsia="宋体"/>
                <w:spacing w:val="-2"/>
                <w:position w:val="2"/>
                <w:sz w:val="24"/>
              </w:rPr>
              <w:t>——某污染物的单项质量指数；</w:t>
            </w:r>
          </w:p>
          <w:p w14:paraId="419F4644">
            <w:pPr>
              <w:pStyle w:val="56"/>
              <w:keepNext w:val="0"/>
              <w:keepLines w:val="0"/>
              <w:pageBreakBefore w:val="0"/>
              <w:widowControl w:val="0"/>
              <w:kinsoku/>
              <w:wordWrap/>
              <w:overflowPunct/>
              <w:topLinePunct w:val="0"/>
              <w:autoSpaceDE w:val="0"/>
              <w:autoSpaceDN w:val="0"/>
              <w:bidi w:val="0"/>
              <w:snapToGrid/>
              <w:spacing w:before="0" w:line="360" w:lineRule="auto"/>
              <w:ind w:left="0" w:right="0" w:firstLine="472" w:firstLineChars="200"/>
              <w:textAlignment w:val="auto"/>
              <w:rPr>
                <w:rFonts w:ascii="Times New Roman" w:hAnsi="Times New Roman" w:eastAsia="宋体"/>
                <w:spacing w:val="-2"/>
                <w:position w:val="2"/>
                <w:sz w:val="24"/>
                <w:vertAlign w:val="baseline"/>
              </w:rPr>
            </w:pPr>
            <w:r>
              <w:rPr>
                <w:rFonts w:ascii="Times New Roman" w:hAnsi="Times New Roman" w:eastAsia="宋体"/>
                <w:spacing w:val="-2"/>
                <w:position w:val="2"/>
                <w:sz w:val="24"/>
              </w:rPr>
              <w:t>C</w:t>
            </w:r>
            <w:r>
              <w:rPr>
                <w:rFonts w:ascii="Times New Roman" w:hAnsi="Times New Roman" w:eastAsia="宋体"/>
                <w:spacing w:val="-2"/>
                <w:sz w:val="15"/>
              </w:rPr>
              <w:t>i</w:t>
            </w:r>
            <w:r>
              <w:rPr>
                <w:rFonts w:ascii="Times New Roman" w:hAnsi="Times New Roman" w:eastAsia="宋体"/>
                <w:spacing w:val="-2"/>
                <w:position w:val="2"/>
                <w:sz w:val="24"/>
              </w:rPr>
              <w:t>——某污染物的实测浓度，mg/m</w:t>
            </w:r>
            <w:r>
              <w:rPr>
                <w:rFonts w:ascii="Times New Roman" w:hAnsi="Times New Roman" w:eastAsia="宋体"/>
                <w:spacing w:val="-2"/>
                <w:position w:val="2"/>
                <w:sz w:val="24"/>
                <w:vertAlign w:val="superscript"/>
              </w:rPr>
              <w:t>3</w:t>
            </w:r>
            <w:r>
              <w:rPr>
                <w:rFonts w:ascii="Times New Roman" w:hAnsi="Times New Roman" w:eastAsia="宋体"/>
                <w:spacing w:val="-2"/>
                <w:position w:val="2"/>
                <w:sz w:val="24"/>
                <w:vertAlign w:val="baseline"/>
              </w:rPr>
              <w:t>；</w:t>
            </w:r>
          </w:p>
          <w:p w14:paraId="7286AA32">
            <w:pPr>
              <w:pStyle w:val="56"/>
              <w:keepNext w:val="0"/>
              <w:keepLines w:val="0"/>
              <w:pageBreakBefore w:val="0"/>
              <w:widowControl w:val="0"/>
              <w:kinsoku/>
              <w:wordWrap/>
              <w:overflowPunct/>
              <w:topLinePunct w:val="0"/>
              <w:autoSpaceDE w:val="0"/>
              <w:autoSpaceDN w:val="0"/>
              <w:bidi w:val="0"/>
              <w:snapToGrid/>
              <w:spacing w:before="0" w:line="360" w:lineRule="auto"/>
              <w:ind w:left="0" w:right="0" w:firstLine="472" w:firstLineChars="200"/>
              <w:textAlignment w:val="auto"/>
              <w:rPr>
                <w:rFonts w:ascii="Times New Roman" w:hAnsi="Times New Roman" w:eastAsia="宋体"/>
                <w:sz w:val="24"/>
              </w:rPr>
            </w:pPr>
            <w:r>
              <w:rPr>
                <w:rFonts w:ascii="Times New Roman" w:hAnsi="Times New Roman" w:eastAsia="宋体"/>
                <w:spacing w:val="-2"/>
                <w:position w:val="2"/>
                <w:sz w:val="24"/>
                <w:vertAlign w:val="baseline"/>
              </w:rPr>
              <w:t>C</w:t>
            </w:r>
            <w:r>
              <w:rPr>
                <w:rFonts w:ascii="Times New Roman" w:hAnsi="Times New Roman" w:eastAsia="宋体"/>
                <w:spacing w:val="-2"/>
                <w:sz w:val="15"/>
                <w:vertAlign w:val="baseline"/>
              </w:rPr>
              <w:t>oi</w:t>
            </w:r>
            <w:r>
              <w:rPr>
                <w:rFonts w:ascii="Times New Roman" w:hAnsi="Times New Roman" w:eastAsia="宋体"/>
                <w:spacing w:val="-2"/>
                <w:position w:val="2"/>
                <w:sz w:val="24"/>
                <w:vertAlign w:val="baseline"/>
              </w:rPr>
              <w:t>——某污染物的评价标准，mg/m</w:t>
            </w:r>
            <w:r>
              <w:rPr>
                <w:rFonts w:ascii="Times New Roman" w:hAnsi="Times New Roman" w:eastAsia="宋体"/>
                <w:spacing w:val="-2"/>
                <w:position w:val="2"/>
                <w:sz w:val="24"/>
                <w:vertAlign w:val="superscript"/>
              </w:rPr>
              <w:t>3</w:t>
            </w:r>
            <w:r>
              <w:rPr>
                <w:rFonts w:ascii="Times New Roman" w:hAnsi="Times New Roman" w:eastAsia="宋体"/>
                <w:spacing w:val="-2"/>
                <w:position w:val="2"/>
                <w:sz w:val="24"/>
                <w:vertAlign w:val="baseline"/>
              </w:rPr>
              <w:t>。</w:t>
            </w:r>
          </w:p>
          <w:p w14:paraId="3CA3A190">
            <w:pPr>
              <w:pStyle w:val="56"/>
              <w:keepNext w:val="0"/>
              <w:keepLines w:val="0"/>
              <w:pageBreakBefore w:val="0"/>
              <w:widowControl w:val="0"/>
              <w:kinsoku/>
              <w:wordWrap/>
              <w:overflowPunct/>
              <w:topLinePunct w:val="0"/>
              <w:autoSpaceDE w:val="0"/>
              <w:autoSpaceDN w:val="0"/>
              <w:bidi w:val="0"/>
              <w:snapToGrid/>
              <w:spacing w:before="0" w:line="360" w:lineRule="auto"/>
              <w:ind w:left="0" w:right="0" w:firstLine="472" w:firstLineChars="200"/>
              <w:textAlignment w:val="auto"/>
              <w:rPr>
                <w:rFonts w:ascii="Times New Roman" w:hAnsi="Times New Roman" w:eastAsia="宋体"/>
                <w:sz w:val="24"/>
              </w:rPr>
            </w:pPr>
            <w:r>
              <w:rPr>
                <w:rFonts w:ascii="Times New Roman" w:hAnsi="Times New Roman" w:eastAsia="宋体"/>
                <w:spacing w:val="-2"/>
                <w:sz w:val="24"/>
              </w:rPr>
              <w:t>标准指数&gt;1</w:t>
            </w:r>
            <w:r>
              <w:rPr>
                <w:rFonts w:ascii="Times New Roman" w:hAnsi="Times New Roman" w:eastAsia="宋体"/>
                <w:spacing w:val="-3"/>
                <w:sz w:val="24"/>
              </w:rPr>
              <w:t>，表明该参数超过了规定的空气环境质量标准限值，标准指数</w:t>
            </w:r>
            <w:r>
              <w:rPr>
                <w:rFonts w:ascii="Times New Roman" w:hAnsi="Times New Roman" w:eastAsia="宋体"/>
                <w:spacing w:val="-1"/>
                <w:sz w:val="24"/>
              </w:rPr>
              <w:t>越大，说明超标越严重。</w:t>
            </w:r>
          </w:p>
          <w:p w14:paraId="6C388ECA">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right="0" w:firstLine="472" w:firstLineChars="200"/>
              <w:textAlignment w:val="auto"/>
              <w:rPr>
                <w:rFonts w:hint="eastAsia" w:ascii="Times New Roman" w:hAnsi="Times New Roman" w:eastAsia="宋体"/>
                <w:spacing w:val="-4"/>
                <w:sz w:val="24"/>
                <w:lang w:eastAsia="zh-CN"/>
              </w:rPr>
            </w:pPr>
            <w:r>
              <w:rPr>
                <w:rFonts w:ascii="Times New Roman" w:hAnsi="Times New Roman" w:eastAsia="宋体"/>
                <w:spacing w:val="-2"/>
                <w:sz w:val="24"/>
              </w:rPr>
              <w:t>⑥评价标准：TSP执行《环境空气质量标准》（GB3095-2012）</w:t>
            </w:r>
            <w:r>
              <w:rPr>
                <w:rFonts w:ascii="Times New Roman" w:hAnsi="Times New Roman" w:eastAsia="宋体"/>
                <w:spacing w:val="-4"/>
                <w:sz w:val="24"/>
              </w:rPr>
              <w:t>二级标准</w:t>
            </w:r>
            <w:r>
              <w:rPr>
                <w:rFonts w:hint="eastAsia" w:ascii="Times New Roman" w:hAnsi="Times New Roman" w:eastAsia="宋体"/>
                <w:spacing w:val="-4"/>
                <w:sz w:val="24"/>
                <w:lang w:eastAsia="zh-CN"/>
              </w:rPr>
              <w:t>，</w:t>
            </w:r>
            <w:r>
              <w:rPr>
                <w:rFonts w:hint="eastAsia" w:ascii="Times New Roman" w:hAnsi="Times New Roman" w:eastAsia="宋体"/>
                <w:spacing w:val="-4"/>
                <w:sz w:val="24"/>
              </w:rPr>
              <w:t>氨、硫化氢参考《环境影响评价技术导则大气环境》（HJ 2.2—2018）附录D中参考限值，非甲烷总烃参照《大气污染物综合排放标准详解》中的标准限值；</w:t>
            </w:r>
            <w:r>
              <w:rPr>
                <w:rFonts w:hint="eastAsia"/>
                <w:spacing w:val="-4"/>
                <w:sz w:val="24"/>
                <w:lang w:eastAsia="zh-CN"/>
              </w:rPr>
              <w:t>臭气浓度</w:t>
            </w:r>
            <w:r>
              <w:rPr>
                <w:rFonts w:hint="eastAsia" w:ascii="Times New Roman" w:hAnsi="Times New Roman" w:eastAsia="宋体"/>
                <w:spacing w:val="-4"/>
                <w:sz w:val="24"/>
              </w:rPr>
              <w:t>参照《恶臭污染物排放标准》(GB14554-93)中的标准限值</w:t>
            </w:r>
            <w:r>
              <w:rPr>
                <w:rFonts w:hint="eastAsia"/>
                <w:spacing w:val="-4"/>
                <w:sz w:val="24"/>
                <w:lang w:eastAsia="zh-CN"/>
              </w:rPr>
              <w:t>。</w:t>
            </w:r>
          </w:p>
          <w:p w14:paraId="0982FC4E">
            <w:pPr>
              <w:ind w:left="0" w:leftChars="0" w:firstLine="464" w:firstLineChars="200"/>
              <w:rPr>
                <w:rFonts w:hint="eastAsia" w:ascii="Times New Roman" w:hAnsi="Times New Roman" w:eastAsia="宋体"/>
                <w:spacing w:val="-4"/>
                <w:sz w:val="24"/>
                <w:lang w:eastAsia="zh-CN"/>
              </w:rPr>
            </w:pPr>
            <w:r>
              <w:rPr>
                <w:rFonts w:hint="eastAsia" w:ascii="Times New Roman" w:hAnsi="Times New Roman" w:eastAsia="宋体"/>
                <w:spacing w:val="-4"/>
                <w:sz w:val="24"/>
              </w:rPr>
              <w:t>⑦监测结果：现状监测结果及评价见表3-3</w:t>
            </w:r>
            <w:r>
              <w:rPr>
                <w:rFonts w:hint="eastAsia" w:ascii="Times New Roman" w:hAnsi="Times New Roman" w:eastAsia="宋体"/>
                <w:spacing w:val="-4"/>
                <w:sz w:val="24"/>
                <w:lang w:eastAsia="zh-CN"/>
              </w:rPr>
              <w:t>。</w:t>
            </w:r>
          </w:p>
          <w:p w14:paraId="330C4C5F">
            <w:pPr>
              <w:pStyle w:val="8"/>
              <w:numPr>
                <w:ilvl w:val="5"/>
                <w:numId w:val="0"/>
              </w:numPr>
              <w:bidi w:val="0"/>
              <w:ind w:left="0" w:leftChars="0" w:firstLine="480" w:firstLineChars="200"/>
              <w:rPr>
                <w:rFonts w:hint="eastAsia"/>
                <w:lang w:eastAsia="zh-CN"/>
              </w:rPr>
            </w:pPr>
            <w:r>
              <w:rPr>
                <w:rFonts w:hint="default" w:ascii="Times New Roman" w:hAnsi="Times New Roman" w:eastAsia="宋体" w:cs="Times New Roman"/>
                <w:b/>
                <w:i w:val="0"/>
                <w:color w:val="auto"/>
                <w:kern w:val="2"/>
                <w:sz w:val="24"/>
                <w:szCs w:val="24"/>
                <w:shd w:val="clear" w:fill="FFFFFF"/>
                <w:lang w:val="en-US" w:eastAsia="zh-CN" w:bidi="ar-SA"/>
              </w:rPr>
              <w:t>表3-3</w:t>
            </w:r>
            <w:r>
              <w:rPr>
                <w:rFonts w:hint="eastAsia"/>
              </w:rPr>
              <w:t>环境空气质量现状评价表</w:t>
            </w:r>
          </w:p>
          <w:tbl>
            <w:tblPr>
              <w:tblStyle w:val="2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15"/>
              <w:gridCol w:w="1860"/>
              <w:gridCol w:w="928"/>
              <w:gridCol w:w="1221"/>
              <w:gridCol w:w="914"/>
              <w:gridCol w:w="1245"/>
              <w:gridCol w:w="619"/>
            </w:tblGrid>
            <w:tr w14:paraId="3CCA5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54" w:type="pct"/>
                  <w:vAlign w:val="center"/>
                </w:tcPr>
                <w:p w14:paraId="002C9D98">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ascii="Times New Roman" w:hAnsi="Times New Roman" w:eastAsia="宋体"/>
                      <w:b/>
                      <w:sz w:val="21"/>
                      <w:highlight w:val="none"/>
                    </w:rPr>
                  </w:pPr>
                  <w:r>
                    <w:rPr>
                      <w:rFonts w:ascii="Times New Roman" w:hAnsi="Times New Roman" w:eastAsia="宋体"/>
                      <w:b/>
                      <w:spacing w:val="-6"/>
                      <w:sz w:val="21"/>
                      <w:highlight w:val="none"/>
                    </w:rPr>
                    <w:t>监测</w:t>
                  </w:r>
                </w:p>
                <w:p w14:paraId="5D944290">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ascii="Times New Roman" w:hAnsi="Times New Roman" w:eastAsia="宋体"/>
                      <w:b/>
                      <w:sz w:val="21"/>
                      <w:highlight w:val="none"/>
                    </w:rPr>
                  </w:pPr>
                  <w:r>
                    <w:rPr>
                      <w:rFonts w:ascii="Times New Roman" w:hAnsi="Times New Roman" w:eastAsia="宋体"/>
                      <w:b/>
                      <w:spacing w:val="-6"/>
                      <w:sz w:val="21"/>
                      <w:highlight w:val="none"/>
                    </w:rPr>
                    <w:t>因子</w:t>
                  </w:r>
                </w:p>
              </w:tc>
              <w:tc>
                <w:tcPr>
                  <w:tcW w:w="1080" w:type="pct"/>
                  <w:vAlign w:val="center"/>
                </w:tcPr>
                <w:p w14:paraId="6162C0F1">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ascii="Times New Roman" w:hAnsi="Times New Roman" w:eastAsia="宋体"/>
                      <w:b/>
                      <w:sz w:val="21"/>
                      <w:highlight w:val="none"/>
                    </w:rPr>
                  </w:pPr>
                  <w:r>
                    <w:rPr>
                      <w:rFonts w:ascii="Times New Roman" w:hAnsi="Times New Roman" w:eastAsia="宋体"/>
                      <w:b/>
                      <w:spacing w:val="-4"/>
                      <w:sz w:val="21"/>
                      <w:highlight w:val="none"/>
                    </w:rPr>
                    <w:t>监测浓度范围</w:t>
                  </w:r>
                </w:p>
              </w:tc>
              <w:tc>
                <w:tcPr>
                  <w:tcW w:w="539" w:type="pct"/>
                  <w:vAlign w:val="center"/>
                </w:tcPr>
                <w:p w14:paraId="65224D48">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ascii="Times New Roman" w:hAnsi="Times New Roman" w:eastAsia="宋体"/>
                      <w:b/>
                      <w:sz w:val="21"/>
                      <w:highlight w:val="none"/>
                    </w:rPr>
                  </w:pPr>
                  <w:r>
                    <w:rPr>
                      <w:rFonts w:ascii="Times New Roman" w:hAnsi="Times New Roman" w:eastAsia="宋体"/>
                      <w:b/>
                      <w:spacing w:val="-5"/>
                      <w:sz w:val="21"/>
                      <w:highlight w:val="none"/>
                    </w:rPr>
                    <w:t>检出限</w:t>
                  </w:r>
                </w:p>
              </w:tc>
              <w:tc>
                <w:tcPr>
                  <w:tcW w:w="709" w:type="pct"/>
                  <w:vAlign w:val="center"/>
                </w:tcPr>
                <w:p w14:paraId="0355F857">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ascii="Times New Roman" w:hAnsi="Times New Roman" w:eastAsia="宋体"/>
                      <w:b/>
                      <w:sz w:val="21"/>
                      <w:highlight w:val="none"/>
                    </w:rPr>
                  </w:pPr>
                  <w:r>
                    <w:rPr>
                      <w:rFonts w:ascii="Times New Roman" w:hAnsi="Times New Roman" w:eastAsia="宋体"/>
                      <w:b/>
                      <w:spacing w:val="-6"/>
                      <w:sz w:val="21"/>
                      <w:highlight w:val="none"/>
                    </w:rPr>
                    <w:t>标准限值</w:t>
                  </w:r>
                </w:p>
              </w:tc>
              <w:tc>
                <w:tcPr>
                  <w:tcW w:w="531" w:type="pct"/>
                  <w:vAlign w:val="center"/>
                </w:tcPr>
                <w:p w14:paraId="4AEFC963">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ascii="Times New Roman" w:hAnsi="Times New Roman" w:eastAsia="宋体"/>
                      <w:b/>
                      <w:sz w:val="21"/>
                      <w:highlight w:val="none"/>
                    </w:rPr>
                  </w:pPr>
                  <w:r>
                    <w:rPr>
                      <w:rFonts w:ascii="Times New Roman" w:hAnsi="Times New Roman" w:eastAsia="宋体"/>
                      <w:b/>
                      <w:spacing w:val="-6"/>
                      <w:sz w:val="21"/>
                      <w:highlight w:val="none"/>
                    </w:rPr>
                    <w:t>单位</w:t>
                  </w:r>
                </w:p>
              </w:tc>
              <w:tc>
                <w:tcPr>
                  <w:tcW w:w="723" w:type="pct"/>
                  <w:vAlign w:val="center"/>
                </w:tcPr>
                <w:p w14:paraId="6965BE8D">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ascii="Times New Roman" w:hAnsi="Times New Roman" w:eastAsia="宋体"/>
                      <w:b/>
                      <w:sz w:val="21"/>
                      <w:highlight w:val="none"/>
                    </w:rPr>
                  </w:pPr>
                  <w:r>
                    <w:rPr>
                      <w:rFonts w:ascii="Times New Roman" w:hAnsi="Times New Roman" w:eastAsia="宋体"/>
                      <w:b/>
                      <w:spacing w:val="-4"/>
                      <w:sz w:val="21"/>
                      <w:highlight w:val="none"/>
                    </w:rPr>
                    <w:t>标准指数</w:t>
                  </w:r>
                </w:p>
                <w:p w14:paraId="5DD677FF">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ascii="Times New Roman" w:hAnsi="Times New Roman" w:eastAsia="宋体"/>
                      <w:b/>
                      <w:sz w:val="13"/>
                      <w:highlight w:val="none"/>
                    </w:rPr>
                  </w:pPr>
                  <w:r>
                    <w:rPr>
                      <w:rFonts w:ascii="Times New Roman" w:hAnsi="Times New Roman" w:eastAsia="宋体"/>
                      <w:b/>
                      <w:spacing w:val="-5"/>
                      <w:position w:val="2"/>
                      <w:sz w:val="21"/>
                      <w:highlight w:val="none"/>
                    </w:rPr>
                    <w:t>P</w:t>
                  </w:r>
                  <w:r>
                    <w:rPr>
                      <w:rFonts w:ascii="Times New Roman" w:hAnsi="Times New Roman" w:eastAsia="宋体"/>
                      <w:b/>
                      <w:spacing w:val="-5"/>
                      <w:sz w:val="13"/>
                      <w:highlight w:val="none"/>
                    </w:rPr>
                    <w:t>i</w:t>
                  </w:r>
                </w:p>
              </w:tc>
              <w:tc>
                <w:tcPr>
                  <w:tcW w:w="359" w:type="pct"/>
                  <w:vAlign w:val="center"/>
                </w:tcPr>
                <w:p w14:paraId="162AD1FF">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ascii="Times New Roman" w:hAnsi="Times New Roman" w:eastAsia="宋体"/>
                      <w:b/>
                      <w:sz w:val="21"/>
                      <w:highlight w:val="none"/>
                    </w:rPr>
                  </w:pPr>
                  <w:r>
                    <w:rPr>
                      <w:rFonts w:ascii="Times New Roman" w:hAnsi="Times New Roman" w:eastAsia="宋体"/>
                      <w:b/>
                      <w:spacing w:val="-6"/>
                      <w:sz w:val="21"/>
                      <w:highlight w:val="none"/>
                    </w:rPr>
                    <w:t>达标</w:t>
                  </w:r>
                </w:p>
                <w:p w14:paraId="7F48D53E">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ascii="Times New Roman" w:hAnsi="Times New Roman" w:eastAsia="宋体"/>
                      <w:b/>
                      <w:sz w:val="21"/>
                      <w:highlight w:val="none"/>
                    </w:rPr>
                  </w:pPr>
                  <w:r>
                    <w:rPr>
                      <w:rFonts w:ascii="Times New Roman" w:hAnsi="Times New Roman" w:eastAsia="宋体"/>
                      <w:b/>
                      <w:spacing w:val="-6"/>
                      <w:sz w:val="21"/>
                      <w:highlight w:val="none"/>
                    </w:rPr>
                    <w:t>情况</w:t>
                  </w:r>
                </w:p>
              </w:tc>
            </w:tr>
            <w:tr w14:paraId="2A6F6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54" w:type="pct"/>
                  <w:vAlign w:val="center"/>
                </w:tcPr>
                <w:p w14:paraId="59F33243">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6"/>
                      <w:sz w:val="21"/>
                      <w:highlight w:val="none"/>
                      <w:lang w:val="en-US" w:eastAsia="zh-CN"/>
                    </w:rPr>
                  </w:pPr>
                  <w:r>
                    <w:rPr>
                      <w:rFonts w:hint="eastAsia" w:ascii="Times New Roman" w:hAnsi="Times New Roman" w:eastAsia="宋体"/>
                      <w:b w:val="0"/>
                      <w:bCs/>
                      <w:spacing w:val="-6"/>
                      <w:sz w:val="21"/>
                      <w:highlight w:val="none"/>
                      <w:lang w:val="en-US" w:eastAsia="zh-CN"/>
                    </w:rPr>
                    <w:t>总悬浮颗粒物</w:t>
                  </w:r>
                </w:p>
              </w:tc>
              <w:tc>
                <w:tcPr>
                  <w:tcW w:w="1080" w:type="pct"/>
                  <w:vAlign w:val="center"/>
                </w:tcPr>
                <w:p w14:paraId="433FAF68">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4"/>
                      <w:sz w:val="21"/>
                      <w:highlight w:val="none"/>
                      <w:lang w:val="en-US" w:eastAsia="zh-CN"/>
                    </w:rPr>
                  </w:pPr>
                  <w:r>
                    <w:rPr>
                      <w:rFonts w:hint="eastAsia" w:ascii="Times New Roman" w:hAnsi="Times New Roman"/>
                      <w:b w:val="0"/>
                      <w:bCs/>
                      <w:spacing w:val="-4"/>
                      <w:sz w:val="21"/>
                      <w:highlight w:val="none"/>
                      <w:lang w:val="en-US" w:eastAsia="zh-CN"/>
                    </w:rPr>
                    <w:t>0.098~0.104</w:t>
                  </w:r>
                </w:p>
              </w:tc>
              <w:tc>
                <w:tcPr>
                  <w:tcW w:w="539" w:type="pct"/>
                  <w:vAlign w:val="center"/>
                </w:tcPr>
                <w:p w14:paraId="4A5DC680">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5"/>
                      <w:sz w:val="21"/>
                      <w:highlight w:val="none"/>
                      <w:lang w:val="en-US" w:eastAsia="zh-CN"/>
                    </w:rPr>
                  </w:pPr>
                  <w:r>
                    <w:rPr>
                      <w:rFonts w:hint="eastAsia" w:ascii="Times New Roman" w:hAnsi="Times New Roman"/>
                      <w:spacing w:val="-2"/>
                      <w:sz w:val="21"/>
                      <w:highlight w:val="none"/>
                      <w:lang w:val="en-US" w:eastAsia="zh-CN"/>
                    </w:rPr>
                    <w:t>0.007</w:t>
                  </w:r>
                </w:p>
              </w:tc>
              <w:tc>
                <w:tcPr>
                  <w:tcW w:w="709" w:type="pct"/>
                  <w:vAlign w:val="center"/>
                </w:tcPr>
                <w:p w14:paraId="14D68F55">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6"/>
                      <w:sz w:val="21"/>
                      <w:highlight w:val="none"/>
                      <w:lang w:val="en-US" w:eastAsia="zh-CN"/>
                    </w:rPr>
                  </w:pPr>
                  <w:r>
                    <w:rPr>
                      <w:rFonts w:hint="eastAsia" w:ascii="Times New Roman" w:hAnsi="Times New Roman" w:eastAsia="宋体"/>
                      <w:b w:val="0"/>
                      <w:bCs/>
                      <w:spacing w:val="-6"/>
                      <w:sz w:val="21"/>
                      <w:highlight w:val="none"/>
                      <w:lang w:val="en-US" w:eastAsia="zh-CN"/>
                    </w:rPr>
                    <w:t>0.3</w:t>
                  </w:r>
                </w:p>
              </w:tc>
              <w:tc>
                <w:tcPr>
                  <w:tcW w:w="531" w:type="pct"/>
                  <w:vMerge w:val="restart"/>
                  <w:vAlign w:val="center"/>
                </w:tcPr>
                <w:p w14:paraId="2CF00860">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6"/>
                      <w:sz w:val="21"/>
                      <w:highlight w:val="none"/>
                      <w:lang w:val="en-US" w:eastAsia="zh-CN"/>
                    </w:rPr>
                  </w:pPr>
                  <w:r>
                    <w:rPr>
                      <w:rFonts w:hint="eastAsia" w:ascii="Times New Roman" w:hAnsi="Times New Roman" w:eastAsia="宋体"/>
                      <w:b w:val="0"/>
                      <w:bCs/>
                      <w:spacing w:val="-6"/>
                      <w:sz w:val="21"/>
                      <w:highlight w:val="none"/>
                      <w:lang w:val="en-US" w:eastAsia="zh-CN"/>
                    </w:rPr>
                    <w:t>mg/m</w:t>
                  </w:r>
                  <w:r>
                    <w:rPr>
                      <w:rFonts w:hint="eastAsia" w:ascii="Times New Roman" w:hAnsi="Times New Roman" w:eastAsia="宋体"/>
                      <w:b w:val="0"/>
                      <w:bCs/>
                      <w:spacing w:val="-6"/>
                      <w:sz w:val="21"/>
                      <w:highlight w:val="none"/>
                      <w:vertAlign w:val="superscript"/>
                      <w:lang w:val="en-US" w:eastAsia="zh-CN"/>
                    </w:rPr>
                    <w:t>3</w:t>
                  </w:r>
                </w:p>
              </w:tc>
              <w:tc>
                <w:tcPr>
                  <w:tcW w:w="723" w:type="pct"/>
                  <w:vAlign w:val="center"/>
                </w:tcPr>
                <w:p w14:paraId="5F744742">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5"/>
                      <w:position w:val="2"/>
                      <w:sz w:val="21"/>
                      <w:highlight w:val="none"/>
                      <w:lang w:val="en-US" w:eastAsia="zh-CN"/>
                    </w:rPr>
                  </w:pPr>
                </w:p>
              </w:tc>
              <w:tc>
                <w:tcPr>
                  <w:tcW w:w="359" w:type="pct"/>
                  <w:vAlign w:val="center"/>
                </w:tcPr>
                <w:p w14:paraId="1C7DDC4B">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6"/>
                      <w:sz w:val="21"/>
                      <w:highlight w:val="none"/>
                      <w:lang w:val="en-US" w:eastAsia="zh-CN"/>
                    </w:rPr>
                  </w:pPr>
                  <w:r>
                    <w:rPr>
                      <w:rFonts w:hint="eastAsia" w:ascii="Times New Roman" w:hAnsi="Times New Roman" w:eastAsia="宋体"/>
                      <w:b w:val="0"/>
                      <w:bCs/>
                      <w:spacing w:val="-6"/>
                      <w:sz w:val="21"/>
                      <w:highlight w:val="none"/>
                      <w:lang w:val="en-US" w:eastAsia="zh-CN"/>
                    </w:rPr>
                    <w:t>达标</w:t>
                  </w:r>
                </w:p>
              </w:tc>
            </w:tr>
            <w:tr w14:paraId="47CC2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54" w:type="pct"/>
                  <w:vAlign w:val="center"/>
                </w:tcPr>
                <w:p w14:paraId="43CEB50A">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eastAsia" w:ascii="Times New Roman" w:hAnsi="Times New Roman" w:eastAsia="宋体"/>
                      <w:b w:val="0"/>
                      <w:bCs/>
                      <w:spacing w:val="-6"/>
                      <w:sz w:val="21"/>
                      <w:highlight w:val="none"/>
                      <w:lang w:val="en-US" w:eastAsia="zh-CN"/>
                    </w:rPr>
                  </w:pPr>
                  <w:r>
                    <w:rPr>
                      <w:rFonts w:hint="eastAsia" w:ascii="Times New Roman" w:hAnsi="Times New Roman" w:eastAsia="宋体"/>
                      <w:b w:val="0"/>
                      <w:bCs/>
                      <w:spacing w:val="-6"/>
                      <w:sz w:val="21"/>
                      <w:highlight w:val="none"/>
                      <w:lang w:val="en-US" w:eastAsia="zh-CN"/>
                    </w:rPr>
                    <w:t>氨</w:t>
                  </w:r>
                </w:p>
              </w:tc>
              <w:tc>
                <w:tcPr>
                  <w:tcW w:w="1080" w:type="pct"/>
                  <w:vAlign w:val="center"/>
                </w:tcPr>
                <w:p w14:paraId="291FC536">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4"/>
                      <w:sz w:val="21"/>
                      <w:highlight w:val="none"/>
                      <w:lang w:val="en-US" w:eastAsia="zh-CN"/>
                    </w:rPr>
                  </w:pPr>
                  <w:r>
                    <w:rPr>
                      <w:rFonts w:hint="eastAsia" w:ascii="Times New Roman" w:hAnsi="Times New Roman" w:eastAsia="宋体"/>
                      <w:b w:val="0"/>
                      <w:bCs/>
                      <w:spacing w:val="-4"/>
                      <w:sz w:val="21"/>
                      <w:highlight w:val="none"/>
                      <w:lang w:val="en-US" w:eastAsia="zh-CN"/>
                    </w:rPr>
                    <w:t>0.0</w:t>
                  </w:r>
                  <w:r>
                    <w:rPr>
                      <w:rFonts w:hint="eastAsia" w:ascii="Times New Roman" w:hAnsi="Times New Roman"/>
                      <w:b w:val="0"/>
                      <w:bCs/>
                      <w:spacing w:val="-4"/>
                      <w:sz w:val="21"/>
                      <w:highlight w:val="none"/>
                      <w:lang w:val="en-US" w:eastAsia="zh-CN"/>
                    </w:rPr>
                    <w:t>1</w:t>
                  </w:r>
                  <w:r>
                    <w:rPr>
                      <w:rFonts w:hint="eastAsia" w:ascii="Times New Roman" w:hAnsi="Times New Roman" w:eastAsia="宋体"/>
                      <w:b w:val="0"/>
                      <w:bCs/>
                      <w:spacing w:val="-4"/>
                      <w:sz w:val="21"/>
                      <w:highlight w:val="none"/>
                      <w:lang w:val="en-US" w:eastAsia="zh-CN"/>
                    </w:rPr>
                    <w:t>~0.0</w:t>
                  </w:r>
                  <w:r>
                    <w:rPr>
                      <w:rFonts w:hint="eastAsia" w:ascii="Times New Roman" w:hAnsi="Times New Roman"/>
                      <w:b w:val="0"/>
                      <w:bCs/>
                      <w:spacing w:val="-4"/>
                      <w:sz w:val="21"/>
                      <w:highlight w:val="none"/>
                      <w:lang w:val="en-US" w:eastAsia="zh-CN"/>
                    </w:rPr>
                    <w:t>3</w:t>
                  </w:r>
                </w:p>
              </w:tc>
              <w:tc>
                <w:tcPr>
                  <w:tcW w:w="539" w:type="pct"/>
                  <w:vAlign w:val="center"/>
                </w:tcPr>
                <w:p w14:paraId="0733BDA5">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ascii="Times New Roman" w:hAnsi="Times New Roman" w:eastAsia="宋体"/>
                      <w:b w:val="0"/>
                      <w:bCs/>
                      <w:spacing w:val="-5"/>
                      <w:sz w:val="21"/>
                      <w:highlight w:val="none"/>
                    </w:rPr>
                  </w:pPr>
                  <w:r>
                    <w:rPr>
                      <w:rFonts w:ascii="Times New Roman" w:hAnsi="Times New Roman" w:eastAsia="宋体"/>
                      <w:spacing w:val="-2"/>
                      <w:sz w:val="21"/>
                      <w:highlight w:val="none"/>
                    </w:rPr>
                    <w:t>0.01</w:t>
                  </w:r>
                </w:p>
              </w:tc>
              <w:tc>
                <w:tcPr>
                  <w:tcW w:w="709" w:type="pct"/>
                  <w:vAlign w:val="center"/>
                </w:tcPr>
                <w:p w14:paraId="66306380">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6"/>
                      <w:sz w:val="21"/>
                      <w:highlight w:val="none"/>
                      <w:lang w:val="en-US" w:eastAsia="zh-CN"/>
                    </w:rPr>
                  </w:pPr>
                  <w:r>
                    <w:rPr>
                      <w:rFonts w:hint="eastAsia" w:ascii="Times New Roman" w:hAnsi="Times New Roman" w:eastAsia="宋体"/>
                      <w:b w:val="0"/>
                      <w:bCs/>
                      <w:spacing w:val="-6"/>
                      <w:sz w:val="21"/>
                      <w:highlight w:val="none"/>
                      <w:lang w:val="en-US" w:eastAsia="zh-CN"/>
                    </w:rPr>
                    <w:t>0.2</w:t>
                  </w:r>
                </w:p>
              </w:tc>
              <w:tc>
                <w:tcPr>
                  <w:tcW w:w="531" w:type="pct"/>
                  <w:vMerge w:val="continue"/>
                  <w:vAlign w:val="center"/>
                </w:tcPr>
                <w:p w14:paraId="3B17D47B">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ascii="Times New Roman" w:hAnsi="Times New Roman" w:eastAsia="宋体"/>
                      <w:b w:val="0"/>
                      <w:bCs/>
                      <w:spacing w:val="-6"/>
                      <w:sz w:val="21"/>
                      <w:highlight w:val="none"/>
                    </w:rPr>
                  </w:pPr>
                </w:p>
              </w:tc>
              <w:tc>
                <w:tcPr>
                  <w:tcW w:w="723" w:type="pct"/>
                  <w:vAlign w:val="center"/>
                </w:tcPr>
                <w:p w14:paraId="6BDBBCD5">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5"/>
                      <w:position w:val="2"/>
                      <w:sz w:val="21"/>
                      <w:highlight w:val="none"/>
                      <w:lang w:val="en-US" w:eastAsia="zh-CN"/>
                    </w:rPr>
                  </w:pPr>
                </w:p>
              </w:tc>
              <w:tc>
                <w:tcPr>
                  <w:tcW w:w="359" w:type="pct"/>
                  <w:vAlign w:val="center"/>
                </w:tcPr>
                <w:p w14:paraId="0CC5600A">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ascii="Times New Roman" w:hAnsi="Times New Roman" w:eastAsia="宋体"/>
                      <w:b w:val="0"/>
                      <w:bCs/>
                      <w:spacing w:val="-6"/>
                      <w:sz w:val="21"/>
                      <w:highlight w:val="none"/>
                    </w:rPr>
                  </w:pPr>
                  <w:r>
                    <w:rPr>
                      <w:rFonts w:hint="eastAsia" w:ascii="Times New Roman" w:hAnsi="Times New Roman" w:eastAsia="宋体"/>
                      <w:b w:val="0"/>
                      <w:bCs/>
                      <w:spacing w:val="-6"/>
                      <w:sz w:val="21"/>
                      <w:highlight w:val="none"/>
                      <w:lang w:val="en-US" w:eastAsia="zh-CN"/>
                    </w:rPr>
                    <w:t>达标</w:t>
                  </w:r>
                </w:p>
              </w:tc>
            </w:tr>
            <w:tr w14:paraId="173B9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54" w:type="pct"/>
                  <w:vAlign w:val="center"/>
                </w:tcPr>
                <w:p w14:paraId="475373F2">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eastAsia" w:ascii="Times New Roman" w:hAnsi="Times New Roman" w:eastAsia="宋体"/>
                      <w:b w:val="0"/>
                      <w:bCs/>
                      <w:spacing w:val="-6"/>
                      <w:sz w:val="21"/>
                      <w:highlight w:val="none"/>
                      <w:lang w:val="en-US" w:eastAsia="zh-CN"/>
                    </w:rPr>
                  </w:pPr>
                  <w:r>
                    <w:rPr>
                      <w:rFonts w:hint="eastAsia" w:ascii="Times New Roman" w:hAnsi="Times New Roman" w:eastAsia="宋体"/>
                      <w:b w:val="0"/>
                      <w:bCs/>
                      <w:spacing w:val="-6"/>
                      <w:sz w:val="21"/>
                      <w:highlight w:val="none"/>
                      <w:lang w:val="en-US" w:eastAsia="zh-CN"/>
                    </w:rPr>
                    <w:t>硫化氢</w:t>
                  </w:r>
                </w:p>
              </w:tc>
              <w:tc>
                <w:tcPr>
                  <w:tcW w:w="1080" w:type="pct"/>
                  <w:vAlign w:val="center"/>
                </w:tcPr>
                <w:p w14:paraId="3EA5D126">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4"/>
                      <w:sz w:val="21"/>
                      <w:highlight w:val="none"/>
                      <w:lang w:val="en-US" w:eastAsia="zh-CN"/>
                    </w:rPr>
                  </w:pPr>
                  <w:r>
                    <w:rPr>
                      <w:rFonts w:hint="eastAsia" w:ascii="Times New Roman" w:hAnsi="Times New Roman"/>
                      <w:b w:val="0"/>
                      <w:bCs/>
                      <w:spacing w:val="-4"/>
                      <w:sz w:val="21"/>
                      <w:highlight w:val="none"/>
                      <w:lang w:val="en-US" w:eastAsia="zh-CN"/>
                    </w:rPr>
                    <w:t>0.001~0.004</w:t>
                  </w:r>
                </w:p>
              </w:tc>
              <w:tc>
                <w:tcPr>
                  <w:tcW w:w="539" w:type="pct"/>
                  <w:vAlign w:val="center"/>
                </w:tcPr>
                <w:p w14:paraId="587DB2C7">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ascii="Times New Roman" w:hAnsi="Times New Roman" w:eastAsia="宋体"/>
                      <w:b w:val="0"/>
                      <w:bCs/>
                      <w:spacing w:val="-5"/>
                      <w:sz w:val="21"/>
                      <w:highlight w:val="none"/>
                    </w:rPr>
                  </w:pPr>
                  <w:r>
                    <w:rPr>
                      <w:rFonts w:ascii="Times New Roman" w:hAnsi="Times New Roman" w:eastAsia="宋体"/>
                      <w:spacing w:val="-2"/>
                      <w:sz w:val="21"/>
                      <w:highlight w:val="none"/>
                    </w:rPr>
                    <w:t>0.0</w:t>
                  </w:r>
                  <w:r>
                    <w:rPr>
                      <w:rFonts w:hint="eastAsia" w:ascii="Times New Roman" w:hAnsi="Times New Roman"/>
                      <w:spacing w:val="-2"/>
                      <w:sz w:val="21"/>
                      <w:highlight w:val="none"/>
                      <w:lang w:val="en-US" w:eastAsia="zh-CN"/>
                    </w:rPr>
                    <w:t>0</w:t>
                  </w:r>
                  <w:r>
                    <w:rPr>
                      <w:rFonts w:ascii="Times New Roman" w:hAnsi="Times New Roman" w:eastAsia="宋体"/>
                      <w:spacing w:val="-2"/>
                      <w:sz w:val="21"/>
                      <w:highlight w:val="none"/>
                    </w:rPr>
                    <w:t>1</w:t>
                  </w:r>
                </w:p>
              </w:tc>
              <w:tc>
                <w:tcPr>
                  <w:tcW w:w="709" w:type="pct"/>
                  <w:vAlign w:val="center"/>
                </w:tcPr>
                <w:p w14:paraId="10641BAC">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6"/>
                      <w:sz w:val="21"/>
                      <w:highlight w:val="none"/>
                      <w:lang w:val="en-US" w:eastAsia="zh-CN"/>
                    </w:rPr>
                  </w:pPr>
                  <w:r>
                    <w:rPr>
                      <w:rFonts w:hint="eastAsia" w:ascii="Times New Roman" w:hAnsi="Times New Roman" w:eastAsia="宋体"/>
                      <w:b w:val="0"/>
                      <w:bCs/>
                      <w:spacing w:val="-6"/>
                      <w:sz w:val="21"/>
                      <w:highlight w:val="none"/>
                      <w:lang w:val="en-US" w:eastAsia="zh-CN"/>
                    </w:rPr>
                    <w:t>0.01</w:t>
                  </w:r>
                </w:p>
              </w:tc>
              <w:tc>
                <w:tcPr>
                  <w:tcW w:w="531" w:type="pct"/>
                  <w:vMerge w:val="continue"/>
                  <w:vAlign w:val="center"/>
                </w:tcPr>
                <w:p w14:paraId="2504B003">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ascii="Times New Roman" w:hAnsi="Times New Roman" w:eastAsia="宋体"/>
                      <w:b w:val="0"/>
                      <w:bCs/>
                      <w:spacing w:val="-6"/>
                      <w:sz w:val="21"/>
                      <w:highlight w:val="none"/>
                    </w:rPr>
                  </w:pPr>
                </w:p>
              </w:tc>
              <w:tc>
                <w:tcPr>
                  <w:tcW w:w="723" w:type="pct"/>
                  <w:vAlign w:val="center"/>
                </w:tcPr>
                <w:p w14:paraId="065C69F7">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5"/>
                      <w:position w:val="2"/>
                      <w:sz w:val="21"/>
                      <w:highlight w:val="none"/>
                      <w:lang w:val="en-US" w:eastAsia="zh-CN"/>
                    </w:rPr>
                  </w:pPr>
                </w:p>
              </w:tc>
              <w:tc>
                <w:tcPr>
                  <w:tcW w:w="359" w:type="pct"/>
                  <w:vAlign w:val="center"/>
                </w:tcPr>
                <w:p w14:paraId="5B32CE22">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ascii="Times New Roman" w:hAnsi="Times New Roman" w:eastAsia="宋体"/>
                      <w:b w:val="0"/>
                      <w:bCs/>
                      <w:spacing w:val="-6"/>
                      <w:sz w:val="21"/>
                      <w:highlight w:val="none"/>
                    </w:rPr>
                  </w:pPr>
                  <w:r>
                    <w:rPr>
                      <w:rFonts w:hint="eastAsia" w:ascii="Times New Roman" w:hAnsi="Times New Roman" w:eastAsia="宋体"/>
                      <w:b w:val="0"/>
                      <w:bCs/>
                      <w:spacing w:val="-6"/>
                      <w:sz w:val="21"/>
                      <w:highlight w:val="none"/>
                      <w:lang w:val="en-US" w:eastAsia="zh-CN"/>
                    </w:rPr>
                    <w:t>达标</w:t>
                  </w:r>
                </w:p>
              </w:tc>
            </w:tr>
            <w:tr w14:paraId="45325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54" w:type="pct"/>
                  <w:vAlign w:val="center"/>
                </w:tcPr>
                <w:p w14:paraId="0350598A">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6"/>
                      <w:sz w:val="21"/>
                      <w:highlight w:val="none"/>
                      <w:lang w:val="en-US" w:eastAsia="zh-CN"/>
                    </w:rPr>
                  </w:pPr>
                  <w:r>
                    <w:rPr>
                      <w:rFonts w:hint="eastAsia" w:ascii="Times New Roman" w:hAnsi="Times New Roman" w:eastAsia="宋体"/>
                      <w:b w:val="0"/>
                      <w:bCs/>
                      <w:spacing w:val="-6"/>
                      <w:sz w:val="21"/>
                      <w:highlight w:val="none"/>
                      <w:lang w:val="en-US" w:eastAsia="zh-CN"/>
                    </w:rPr>
                    <w:t>非甲烷总烃</w:t>
                  </w:r>
                </w:p>
              </w:tc>
              <w:tc>
                <w:tcPr>
                  <w:tcW w:w="1080" w:type="pct"/>
                  <w:vAlign w:val="center"/>
                </w:tcPr>
                <w:p w14:paraId="351C7316">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4"/>
                      <w:sz w:val="21"/>
                      <w:highlight w:val="none"/>
                      <w:lang w:val="en-US" w:eastAsia="zh-CN"/>
                    </w:rPr>
                  </w:pPr>
                  <w:r>
                    <w:rPr>
                      <w:rFonts w:hint="eastAsia" w:ascii="Times New Roman" w:hAnsi="Times New Roman" w:eastAsia="宋体"/>
                      <w:b w:val="0"/>
                      <w:bCs/>
                      <w:spacing w:val="-4"/>
                      <w:sz w:val="21"/>
                      <w:highlight w:val="none"/>
                      <w:lang w:val="en-US" w:eastAsia="zh-CN"/>
                    </w:rPr>
                    <w:t>0.</w:t>
                  </w:r>
                  <w:r>
                    <w:rPr>
                      <w:rFonts w:hint="eastAsia" w:ascii="Times New Roman" w:hAnsi="Times New Roman"/>
                      <w:b w:val="0"/>
                      <w:bCs/>
                      <w:spacing w:val="-4"/>
                      <w:sz w:val="21"/>
                      <w:highlight w:val="none"/>
                      <w:lang w:val="en-US" w:eastAsia="zh-CN"/>
                    </w:rPr>
                    <w:t>41</w:t>
                  </w:r>
                  <w:r>
                    <w:rPr>
                      <w:rFonts w:hint="eastAsia" w:ascii="Times New Roman" w:hAnsi="Times New Roman" w:eastAsia="宋体"/>
                      <w:b w:val="0"/>
                      <w:bCs/>
                      <w:spacing w:val="-4"/>
                      <w:sz w:val="21"/>
                      <w:highlight w:val="none"/>
                      <w:lang w:val="en-US" w:eastAsia="zh-CN"/>
                    </w:rPr>
                    <w:t>~0.</w:t>
                  </w:r>
                  <w:r>
                    <w:rPr>
                      <w:rFonts w:hint="eastAsia" w:ascii="Times New Roman" w:hAnsi="Times New Roman"/>
                      <w:b w:val="0"/>
                      <w:bCs/>
                      <w:spacing w:val="-4"/>
                      <w:sz w:val="21"/>
                      <w:highlight w:val="none"/>
                      <w:lang w:val="en-US" w:eastAsia="zh-CN"/>
                    </w:rPr>
                    <w:t>57</w:t>
                  </w:r>
                </w:p>
              </w:tc>
              <w:tc>
                <w:tcPr>
                  <w:tcW w:w="539" w:type="pct"/>
                  <w:vAlign w:val="center"/>
                </w:tcPr>
                <w:p w14:paraId="082A371D">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5"/>
                      <w:sz w:val="21"/>
                      <w:highlight w:val="none"/>
                      <w:lang w:val="en-US" w:eastAsia="zh-CN"/>
                    </w:rPr>
                  </w:pPr>
                  <w:r>
                    <w:rPr>
                      <w:rFonts w:hint="eastAsia" w:ascii="Times New Roman" w:hAnsi="Times New Roman" w:eastAsia="宋体"/>
                      <w:b w:val="0"/>
                      <w:bCs/>
                      <w:spacing w:val="-5"/>
                      <w:sz w:val="21"/>
                      <w:highlight w:val="none"/>
                      <w:lang w:val="en-US" w:eastAsia="zh-CN"/>
                    </w:rPr>
                    <w:t>0.07</w:t>
                  </w:r>
                </w:p>
              </w:tc>
              <w:tc>
                <w:tcPr>
                  <w:tcW w:w="709" w:type="pct"/>
                  <w:vAlign w:val="center"/>
                </w:tcPr>
                <w:p w14:paraId="3AD46D82">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6"/>
                      <w:sz w:val="21"/>
                      <w:highlight w:val="none"/>
                      <w:lang w:val="en-US" w:eastAsia="zh-CN"/>
                    </w:rPr>
                  </w:pPr>
                  <w:r>
                    <w:rPr>
                      <w:rFonts w:hint="eastAsia" w:ascii="Times New Roman" w:hAnsi="Times New Roman" w:eastAsia="宋体"/>
                      <w:b w:val="0"/>
                      <w:bCs/>
                      <w:spacing w:val="-6"/>
                      <w:sz w:val="21"/>
                      <w:highlight w:val="none"/>
                      <w:lang w:val="en-US" w:eastAsia="zh-CN"/>
                    </w:rPr>
                    <w:t>2</w:t>
                  </w:r>
                </w:p>
              </w:tc>
              <w:tc>
                <w:tcPr>
                  <w:tcW w:w="531" w:type="pct"/>
                  <w:vMerge w:val="continue"/>
                  <w:vAlign w:val="center"/>
                </w:tcPr>
                <w:p w14:paraId="4529CBF8">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ascii="Times New Roman" w:hAnsi="Times New Roman" w:eastAsia="宋体"/>
                      <w:b w:val="0"/>
                      <w:bCs/>
                      <w:spacing w:val="-6"/>
                      <w:sz w:val="21"/>
                      <w:highlight w:val="none"/>
                    </w:rPr>
                  </w:pPr>
                </w:p>
              </w:tc>
              <w:tc>
                <w:tcPr>
                  <w:tcW w:w="723" w:type="pct"/>
                  <w:vAlign w:val="center"/>
                </w:tcPr>
                <w:p w14:paraId="737A8C37">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5"/>
                      <w:position w:val="2"/>
                      <w:sz w:val="21"/>
                      <w:highlight w:val="none"/>
                      <w:lang w:val="en-US" w:eastAsia="zh-CN"/>
                    </w:rPr>
                  </w:pPr>
                </w:p>
              </w:tc>
              <w:tc>
                <w:tcPr>
                  <w:tcW w:w="359" w:type="pct"/>
                  <w:vAlign w:val="center"/>
                </w:tcPr>
                <w:p w14:paraId="3E548EF0">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ascii="Times New Roman" w:hAnsi="Times New Roman" w:eastAsia="宋体"/>
                      <w:b w:val="0"/>
                      <w:bCs/>
                      <w:spacing w:val="-6"/>
                      <w:sz w:val="21"/>
                      <w:highlight w:val="none"/>
                    </w:rPr>
                  </w:pPr>
                  <w:r>
                    <w:rPr>
                      <w:rFonts w:hint="eastAsia" w:ascii="Times New Roman" w:hAnsi="Times New Roman" w:eastAsia="宋体"/>
                      <w:b w:val="0"/>
                      <w:bCs/>
                      <w:spacing w:val="-6"/>
                      <w:sz w:val="21"/>
                      <w:highlight w:val="none"/>
                      <w:lang w:val="en-US" w:eastAsia="zh-CN"/>
                    </w:rPr>
                    <w:t>达标</w:t>
                  </w:r>
                </w:p>
              </w:tc>
            </w:tr>
            <w:tr w14:paraId="1D734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54" w:type="pct"/>
                  <w:vAlign w:val="center"/>
                </w:tcPr>
                <w:p w14:paraId="326FB024">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eastAsia" w:ascii="Times New Roman" w:hAnsi="Times New Roman" w:eastAsia="宋体"/>
                      <w:b w:val="0"/>
                      <w:bCs/>
                      <w:spacing w:val="-6"/>
                      <w:sz w:val="21"/>
                      <w:highlight w:val="none"/>
                      <w:lang w:val="en-US" w:eastAsia="zh-CN"/>
                    </w:rPr>
                  </w:pPr>
                  <w:r>
                    <w:rPr>
                      <w:rFonts w:hint="eastAsia" w:ascii="Times New Roman" w:hAnsi="Times New Roman"/>
                      <w:b w:val="0"/>
                      <w:bCs/>
                      <w:spacing w:val="-6"/>
                      <w:sz w:val="21"/>
                      <w:highlight w:val="none"/>
                      <w:lang w:val="en-US" w:eastAsia="zh-CN"/>
                    </w:rPr>
                    <w:t>臭气浓度</w:t>
                  </w:r>
                </w:p>
              </w:tc>
              <w:tc>
                <w:tcPr>
                  <w:tcW w:w="1080" w:type="pct"/>
                  <w:vAlign w:val="center"/>
                </w:tcPr>
                <w:p w14:paraId="253DE0BE">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eastAsia" w:ascii="Times New Roman" w:hAnsi="Times New Roman" w:eastAsia="宋体"/>
                      <w:b w:val="0"/>
                      <w:bCs/>
                      <w:spacing w:val="-4"/>
                      <w:sz w:val="21"/>
                      <w:highlight w:val="none"/>
                      <w:lang w:val="en-US" w:eastAsia="zh-CN"/>
                    </w:rPr>
                  </w:pPr>
                  <w:r>
                    <w:rPr>
                      <w:rFonts w:hint="eastAsia"/>
                      <w:sz w:val="24"/>
                      <w:highlight w:val="none"/>
                    </w:rPr>
                    <w:t>＜10</w:t>
                  </w:r>
                </w:p>
              </w:tc>
              <w:tc>
                <w:tcPr>
                  <w:tcW w:w="539" w:type="pct"/>
                  <w:vAlign w:val="center"/>
                </w:tcPr>
                <w:p w14:paraId="7EE7AA1D">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5"/>
                      <w:sz w:val="21"/>
                      <w:highlight w:val="none"/>
                      <w:lang w:val="en-US" w:eastAsia="zh-CN"/>
                    </w:rPr>
                  </w:pPr>
                  <w:r>
                    <w:rPr>
                      <w:rFonts w:hint="eastAsia" w:ascii="Times New Roman" w:hAnsi="Times New Roman"/>
                      <w:b w:val="0"/>
                      <w:bCs/>
                      <w:spacing w:val="-5"/>
                      <w:sz w:val="21"/>
                      <w:highlight w:val="none"/>
                      <w:lang w:val="en-US" w:eastAsia="zh-CN"/>
                    </w:rPr>
                    <w:t>10</w:t>
                  </w:r>
                </w:p>
              </w:tc>
              <w:tc>
                <w:tcPr>
                  <w:tcW w:w="709" w:type="pct"/>
                  <w:vAlign w:val="center"/>
                </w:tcPr>
                <w:p w14:paraId="32E5D247">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6"/>
                      <w:sz w:val="21"/>
                      <w:highlight w:val="none"/>
                      <w:lang w:val="en-US" w:eastAsia="zh-CN"/>
                    </w:rPr>
                  </w:pPr>
                  <w:r>
                    <w:rPr>
                      <w:rFonts w:hint="eastAsia" w:ascii="Times New Roman" w:hAnsi="Times New Roman"/>
                      <w:b w:val="0"/>
                      <w:bCs/>
                      <w:spacing w:val="-6"/>
                      <w:sz w:val="21"/>
                      <w:highlight w:val="none"/>
                      <w:lang w:val="en-US" w:eastAsia="zh-CN"/>
                    </w:rPr>
                    <w:t>20</w:t>
                  </w:r>
                </w:p>
              </w:tc>
              <w:tc>
                <w:tcPr>
                  <w:tcW w:w="531" w:type="pct"/>
                  <w:vAlign w:val="center"/>
                </w:tcPr>
                <w:p w14:paraId="2601ACCF">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eastAsia" w:ascii="Times New Roman" w:hAnsi="Times New Roman" w:eastAsia="宋体"/>
                      <w:b w:val="0"/>
                      <w:bCs/>
                      <w:spacing w:val="-6"/>
                      <w:sz w:val="21"/>
                      <w:highlight w:val="none"/>
                      <w:lang w:eastAsia="zh-CN"/>
                    </w:rPr>
                  </w:pPr>
                  <w:r>
                    <w:rPr>
                      <w:rFonts w:hint="eastAsia" w:ascii="Times New Roman" w:hAnsi="Times New Roman"/>
                      <w:b w:val="0"/>
                      <w:bCs/>
                      <w:spacing w:val="-6"/>
                      <w:sz w:val="21"/>
                      <w:highlight w:val="none"/>
                      <w:lang w:eastAsia="zh-CN"/>
                    </w:rPr>
                    <w:t>无量纲</w:t>
                  </w:r>
                </w:p>
              </w:tc>
              <w:tc>
                <w:tcPr>
                  <w:tcW w:w="723" w:type="pct"/>
                  <w:vAlign w:val="center"/>
                </w:tcPr>
                <w:p w14:paraId="0E21A51B">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default" w:ascii="Times New Roman" w:hAnsi="Times New Roman" w:eastAsia="宋体"/>
                      <w:b w:val="0"/>
                      <w:bCs/>
                      <w:spacing w:val="-5"/>
                      <w:position w:val="2"/>
                      <w:sz w:val="21"/>
                      <w:highlight w:val="none"/>
                      <w:lang w:val="en-US" w:eastAsia="zh-CN"/>
                    </w:rPr>
                  </w:pPr>
                </w:p>
              </w:tc>
              <w:tc>
                <w:tcPr>
                  <w:tcW w:w="359" w:type="pct"/>
                  <w:vAlign w:val="center"/>
                </w:tcPr>
                <w:p w14:paraId="79D98CD7">
                  <w:pPr>
                    <w:pStyle w:val="5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center"/>
                    <w:textAlignment w:val="auto"/>
                    <w:rPr>
                      <w:rFonts w:hint="eastAsia" w:ascii="Times New Roman" w:hAnsi="Times New Roman" w:eastAsia="宋体"/>
                      <w:b w:val="0"/>
                      <w:bCs/>
                      <w:spacing w:val="-6"/>
                      <w:sz w:val="21"/>
                      <w:highlight w:val="none"/>
                      <w:lang w:val="en-US" w:eastAsia="zh-CN"/>
                    </w:rPr>
                  </w:pPr>
                  <w:r>
                    <w:rPr>
                      <w:rFonts w:hint="eastAsia" w:ascii="Times New Roman" w:hAnsi="Times New Roman" w:eastAsia="宋体"/>
                      <w:b w:val="0"/>
                      <w:bCs/>
                      <w:spacing w:val="-6"/>
                      <w:sz w:val="21"/>
                      <w:highlight w:val="none"/>
                      <w:lang w:val="en-US" w:eastAsia="zh-CN"/>
                    </w:rPr>
                    <w:t>达标</w:t>
                  </w:r>
                </w:p>
              </w:tc>
            </w:tr>
          </w:tbl>
          <w:p w14:paraId="778FDB76">
            <w:pPr>
              <w:keepNext w:val="0"/>
              <w:keepLines w:val="0"/>
              <w:pageBreakBefore w:val="0"/>
              <w:widowControl w:val="0"/>
              <w:kinsoku/>
              <w:wordWrap/>
              <w:overflowPunct w:val="0"/>
              <w:topLinePunct w:val="0"/>
              <w:autoSpaceDE/>
              <w:autoSpaceDN/>
              <w:bidi w:val="0"/>
              <w:adjustRightInd/>
              <w:snapToGrid/>
              <w:ind w:left="0" w:leftChars="0" w:firstLine="464" w:firstLineChars="200"/>
              <w:textAlignment w:val="auto"/>
              <w:rPr>
                <w:rFonts w:hint="eastAsia" w:ascii="Times New Roman" w:hAnsi="Times New Roman" w:eastAsia="宋体"/>
                <w:spacing w:val="-4"/>
                <w:sz w:val="24"/>
                <w:lang w:eastAsia="zh-CN"/>
              </w:rPr>
            </w:pPr>
            <w:r>
              <w:rPr>
                <w:rFonts w:hint="eastAsia"/>
                <w:spacing w:val="-4"/>
                <w:sz w:val="24"/>
                <w:lang w:eastAsia="zh-CN"/>
              </w:rPr>
              <w:t>注：小于检出限按检出限计算。</w:t>
            </w:r>
          </w:p>
          <w:p w14:paraId="5BAB8721">
            <w:pPr>
              <w:keepNext w:val="0"/>
              <w:keepLines w:val="0"/>
              <w:pageBreakBefore w:val="0"/>
              <w:widowControl w:val="0"/>
              <w:kinsoku/>
              <w:wordWrap/>
              <w:overflowPunct w:val="0"/>
              <w:topLinePunct w:val="0"/>
              <w:autoSpaceDE/>
              <w:autoSpaceDN/>
              <w:bidi w:val="0"/>
              <w:adjustRightInd/>
              <w:snapToGrid/>
              <w:ind w:left="0" w:leftChars="0" w:firstLine="464" w:firstLineChars="200"/>
              <w:textAlignment w:val="auto"/>
              <w:rPr>
                <w:u w:val="single"/>
              </w:rPr>
            </w:pPr>
            <w:r>
              <w:rPr>
                <w:rFonts w:hint="eastAsia" w:ascii="Times New Roman" w:hAnsi="Times New Roman" w:eastAsia="宋体"/>
                <w:spacing w:val="-4"/>
                <w:sz w:val="24"/>
                <w:u w:val="single"/>
              </w:rPr>
              <w:t>根据以上统计分析结果可知，项目监测因子浓度均满足相应的质量标准限值。</w:t>
            </w:r>
          </w:p>
          <w:p w14:paraId="7A2861DC">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3.2、</w:t>
            </w:r>
            <w:r>
              <w:rPr>
                <w:rFonts w:hint="eastAsia"/>
              </w:rPr>
              <w:t>地表水环境质量现状</w:t>
            </w:r>
          </w:p>
          <w:p w14:paraId="5767849D">
            <w:pPr>
              <w:ind w:firstLine="480"/>
            </w:pPr>
            <w:r>
              <w:rPr>
                <w:rFonts w:hint="eastAsia"/>
              </w:rPr>
              <w:t>根据《环境影响评价技术导则 地表水环境》（HJ2.3-2018）表1，本项目营运期废水</w:t>
            </w:r>
            <w:r>
              <w:rPr>
                <w:rFonts w:hint="eastAsia"/>
                <w:lang w:eastAsia="zh-CN"/>
              </w:rPr>
              <w:t>不外排</w:t>
            </w:r>
            <w:r>
              <w:rPr>
                <w:rFonts w:hint="eastAsia"/>
              </w:rPr>
              <w:t>，按三级B评价，因此，本次评价可不进行地表水环境质量现状调查。</w:t>
            </w:r>
          </w:p>
          <w:p w14:paraId="077C06E3">
            <w:pPr>
              <w:ind w:firstLine="480"/>
            </w:pPr>
            <w:r>
              <w:rPr>
                <w:rFonts w:hint="eastAsia"/>
              </w:rPr>
              <w:t>根据《建设项目环境影响报告表编制技术指南（污染影响类）（试行）》，“（三）区域环境质量现状、环境保护目标及评价标准引用与建设项目距离近的有效数据，包括近3年的规划环境影响评价的监测数据，所在流域控制单元内国家、地方控制断面监测数据，生态环境主管部门发布的水环境质量数据或地表水达标情况的结论。”</w:t>
            </w:r>
          </w:p>
          <w:p w14:paraId="43298EEC">
            <w:pPr>
              <w:keepNext w:val="0"/>
              <w:keepLines w:val="0"/>
              <w:widowControl/>
              <w:suppressLineNumbers w:val="0"/>
              <w:jc w:val="left"/>
              <w:rPr>
                <w:u w:val="single"/>
              </w:rPr>
            </w:pPr>
            <w:r>
              <w:rPr>
                <w:rFonts w:hint="eastAsia" w:ascii="Times New Roman" w:hAnsi="Times New Roman" w:eastAsia="宋体"/>
                <w:spacing w:val="-4"/>
                <w:sz w:val="24"/>
              </w:rPr>
              <w:t>距离本项目最近的地表水体为项目</w:t>
            </w:r>
            <w:r>
              <w:rPr>
                <w:rFonts w:hint="eastAsia"/>
                <w:spacing w:val="-4"/>
                <w:sz w:val="24"/>
                <w:lang w:eastAsia="zh-CN"/>
              </w:rPr>
              <w:t>南</w:t>
            </w:r>
            <w:r>
              <w:rPr>
                <w:rFonts w:hint="eastAsia" w:ascii="Times New Roman" w:hAnsi="Times New Roman" w:eastAsia="宋体"/>
                <w:spacing w:val="-4"/>
                <w:sz w:val="24"/>
              </w:rPr>
              <w:t>面约</w:t>
            </w:r>
            <w:r>
              <w:rPr>
                <w:rFonts w:hint="eastAsia"/>
                <w:spacing w:val="-4"/>
                <w:sz w:val="24"/>
                <w:lang w:val="en-US" w:eastAsia="zh-CN"/>
              </w:rPr>
              <w:t>2000</w:t>
            </w:r>
            <w:r>
              <w:rPr>
                <w:rFonts w:hint="eastAsia" w:ascii="Times New Roman" w:hAnsi="Times New Roman" w:eastAsia="宋体"/>
                <w:spacing w:val="-4"/>
                <w:sz w:val="24"/>
              </w:rPr>
              <w:t>m处的</w:t>
            </w:r>
            <w:r>
              <w:rPr>
                <w:rFonts w:hint="eastAsia"/>
                <w:spacing w:val="-4"/>
                <w:sz w:val="24"/>
                <w:lang w:eastAsia="zh-CN"/>
              </w:rPr>
              <w:t>湘</w:t>
            </w:r>
            <w:r>
              <w:rPr>
                <w:rFonts w:hint="eastAsia" w:ascii="Times New Roman" w:hAnsi="Times New Roman" w:eastAsia="宋体"/>
                <w:spacing w:val="-4"/>
                <w:sz w:val="24"/>
              </w:rPr>
              <w:t>江。</w:t>
            </w:r>
            <w:r>
              <w:rPr>
                <w:rFonts w:hint="eastAsia"/>
                <w:spacing w:val="-4"/>
                <w:sz w:val="24"/>
                <w:lang w:eastAsia="zh-CN"/>
              </w:rPr>
              <w:t>全州县湘江</w:t>
            </w:r>
            <w:r>
              <w:rPr>
                <w:rFonts w:hint="eastAsia" w:ascii="Times New Roman" w:hAnsi="Times New Roman" w:eastAsia="宋体"/>
                <w:spacing w:val="-4"/>
                <w:sz w:val="24"/>
              </w:rPr>
              <w:t>水质执行《地表水环境质量标准》（GB3838-2002）Ⅳ类标准。</w:t>
            </w:r>
            <w:r>
              <w:rPr>
                <w:rFonts w:hint="eastAsia" w:ascii="Times New Roman" w:hAnsi="Times New Roman" w:eastAsia="宋体"/>
                <w:spacing w:val="-4"/>
                <w:sz w:val="24"/>
                <w:u w:val="single"/>
              </w:rPr>
              <w:t>根据《202</w:t>
            </w:r>
            <w:r>
              <w:rPr>
                <w:rFonts w:hint="eastAsia"/>
                <w:spacing w:val="-4"/>
                <w:sz w:val="24"/>
                <w:u w:val="single"/>
                <w:lang w:val="en-US" w:eastAsia="zh-CN"/>
              </w:rPr>
              <w:t>4</w:t>
            </w:r>
            <w:r>
              <w:rPr>
                <w:rFonts w:hint="eastAsia" w:ascii="Times New Roman" w:hAnsi="Times New Roman" w:eastAsia="宋体"/>
                <w:spacing w:val="-4"/>
                <w:sz w:val="24"/>
                <w:u w:val="single"/>
              </w:rPr>
              <w:t>年桂林市生态环境状况公报》：</w:t>
            </w:r>
            <w:r>
              <w:rPr>
                <w:rFonts w:hint="eastAsia" w:ascii="Times New Roman" w:hAnsi="Times New Roman" w:eastAsia="宋体" w:cs="Times New Roman"/>
                <w:spacing w:val="-4"/>
                <w:sz w:val="24"/>
                <w:lang w:val="en-US" w:eastAsia="zh-CN"/>
              </w:rPr>
              <w:t>县域主要河流漓江兴安县段、灵川县段、阳朔县段</w:t>
            </w:r>
            <w:r>
              <w:rPr>
                <w:rFonts w:hint="default" w:ascii="Times New Roman" w:hAnsi="Times New Roman" w:eastAsia="宋体" w:cs="Times New Roman"/>
                <w:spacing w:val="-4"/>
                <w:sz w:val="24"/>
                <w:lang w:val="en-US" w:eastAsia="zh-CN"/>
              </w:rPr>
              <w:t>、湘江全州县段、兴安县段、洛清江永福县段、资江及支流夫夷水资源县段、恭城河恭城段等监测断面年均水质均达到Ⅱ类，水质评价均为优，各断面水质符合水环境功能区保护目标要求</w:t>
            </w:r>
            <w:r>
              <w:rPr>
                <w:rFonts w:hint="eastAsia"/>
                <w:spacing w:val="-4"/>
                <w:sz w:val="24"/>
                <w:lang w:eastAsia="zh-CN"/>
              </w:rPr>
              <w:t>，</w:t>
            </w:r>
            <w:r>
              <w:rPr>
                <w:rFonts w:hint="eastAsia"/>
                <w:u w:val="none"/>
              </w:rPr>
              <w:t>项目周边地表水环境较好。</w:t>
            </w:r>
          </w:p>
          <w:p w14:paraId="20A5DCB4">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3.3、</w:t>
            </w:r>
            <w:r>
              <w:rPr>
                <w:rFonts w:hint="eastAsia"/>
              </w:rPr>
              <w:t>声环境质量</w:t>
            </w:r>
          </w:p>
          <w:p w14:paraId="1A57FAB1">
            <w:pPr>
              <w:ind w:left="0" w:leftChars="0" w:firstLine="472" w:firstLineChars="200"/>
              <w:rPr>
                <w:rFonts w:hint="eastAsia"/>
              </w:rPr>
            </w:pPr>
            <w:r>
              <w:rPr>
                <w:rFonts w:hint="eastAsia"/>
                <w:spacing w:val="-2"/>
                <w:u w:val="single"/>
                <w:lang w:eastAsia="zh-CN"/>
              </w:rPr>
              <w:t>根据现场勘查，项目厂界</w:t>
            </w:r>
            <w:r>
              <w:rPr>
                <w:rFonts w:hint="eastAsia"/>
                <w:spacing w:val="-2"/>
                <w:u w:val="single"/>
                <w:lang w:val="en-US" w:eastAsia="zh-CN"/>
              </w:rPr>
              <w:t>50m范围内无声环境保护目标，</w:t>
            </w:r>
            <w:r>
              <w:rPr>
                <w:rFonts w:hint="eastAsia"/>
                <w:spacing w:val="-2"/>
                <w:lang w:val="en-US" w:eastAsia="zh-CN"/>
              </w:rPr>
              <w:t>固本评价不开展声环境现状监测调查</w:t>
            </w:r>
            <w:r>
              <w:rPr>
                <w:rFonts w:ascii="Times New Roman" w:hAnsi="Times New Roman" w:eastAsia="宋体"/>
                <w:spacing w:val="-2"/>
              </w:rPr>
              <w:t>。</w:t>
            </w:r>
          </w:p>
          <w:p w14:paraId="177FFA68">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3.4、</w:t>
            </w:r>
            <w:r>
              <w:rPr>
                <w:rFonts w:hint="eastAsia"/>
              </w:rPr>
              <w:t>地下水、土壤环境</w:t>
            </w:r>
          </w:p>
          <w:p w14:paraId="1BB190E6">
            <w:pPr>
              <w:ind w:firstLine="480"/>
            </w:pPr>
            <w:r>
              <w:rPr>
                <w:rFonts w:hint="eastAsia"/>
              </w:rPr>
              <w:t>根据《建设项目环境影响报告表编制技术指南（污染影响类）（试行）》，原则上不开展地下水、土壤环境质量现状调查。</w:t>
            </w:r>
          </w:p>
          <w:p w14:paraId="2CF4E947">
            <w:pPr>
              <w:ind w:firstLine="480"/>
            </w:pPr>
            <w:r>
              <w:rPr>
                <w:rFonts w:hint="eastAsia"/>
              </w:rPr>
              <w:t>项目正常生产过程不存在地下水、土壤环境污染途径，各区域均按照相关要求采取了源头控制、分区防渗等措施，可有效防治土壤、地下水污染。不会对地下水、土壤环境造成污染。因此不开展地下水、土壤环境质量现状调查。</w:t>
            </w:r>
          </w:p>
          <w:p w14:paraId="2D77EDB7">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3.5、</w:t>
            </w:r>
            <w:r>
              <w:rPr>
                <w:rFonts w:hint="eastAsia"/>
              </w:rPr>
              <w:t>生态环境现状</w:t>
            </w:r>
          </w:p>
          <w:p w14:paraId="700EA892">
            <w:pPr>
              <w:ind w:firstLine="480"/>
              <w:rPr>
                <w:rFonts w:hint="eastAsia" w:eastAsia="宋体"/>
                <w:lang w:eastAsia="zh-CN"/>
              </w:rPr>
            </w:pPr>
            <w:r>
              <w:rPr>
                <w:rFonts w:hint="eastAsia"/>
                <w:highlight w:val="none"/>
              </w:rPr>
              <w:t>本项目</w:t>
            </w:r>
            <w:r>
              <w:rPr>
                <w:rFonts w:hint="eastAsia" w:ascii="Times New Roman" w:hAnsi="Times New Roman" w:cs="Times New Roman"/>
                <w:kern w:val="2"/>
                <w:sz w:val="24"/>
                <w:szCs w:val="24"/>
                <w:highlight w:val="none"/>
                <w:lang w:val="en-US" w:bidi="ar-SA"/>
              </w:rPr>
              <w:t>桂林市全州县工业集中区综合产业园城西片区</w:t>
            </w:r>
            <w:r>
              <w:rPr>
                <w:rFonts w:ascii="Times New Roman" w:hAnsi="Times New Roman" w:eastAsia="宋体"/>
                <w:sz w:val="24"/>
              </w:rPr>
              <w:t>，现状为</w:t>
            </w:r>
            <w:r>
              <w:rPr>
                <w:rFonts w:hint="eastAsia" w:ascii="Times New Roman" w:hAnsi="Times New Roman" w:eastAsia="宋体"/>
                <w:sz w:val="24"/>
              </w:rPr>
              <w:t>公用设施用地</w:t>
            </w:r>
            <w:r>
              <w:rPr>
                <w:rFonts w:ascii="Times New Roman" w:hAnsi="Times New Roman" w:eastAsia="宋体"/>
                <w:sz w:val="24"/>
              </w:rPr>
              <w:t>，</w:t>
            </w:r>
            <w:r>
              <w:rPr>
                <w:rFonts w:hint="eastAsia"/>
                <w:sz w:val="24"/>
                <w:lang w:eastAsia="zh-CN"/>
              </w:rPr>
              <w:t>用地范围内不涉及生态环境保护目标，故不进行生态现状调查。</w:t>
            </w:r>
          </w:p>
          <w:p w14:paraId="354322C9">
            <w:pPr>
              <w:ind w:firstLine="480"/>
            </w:pPr>
          </w:p>
        </w:tc>
      </w:tr>
      <w:tr w14:paraId="14BF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6B21E67">
            <w:pPr>
              <w:spacing w:line="276" w:lineRule="auto"/>
              <w:ind w:firstLine="0" w:firstLineChars="0"/>
              <w:jc w:val="center"/>
            </w:pPr>
            <w:r>
              <w:t>环境保护目标</w:t>
            </w:r>
          </w:p>
        </w:tc>
        <w:tc>
          <w:tcPr>
            <w:tcW w:w="8363" w:type="dxa"/>
          </w:tcPr>
          <w:p w14:paraId="596C13BE">
            <w:pPr>
              <w:pStyle w:val="4"/>
              <w:numPr>
                <w:ilvl w:val="1"/>
                <w:numId w:val="0"/>
              </w:numPr>
              <w:bidi w:val="0"/>
              <w:ind w:left="0" w:leftChars="0" w:firstLine="0" w:firstLineChars="0"/>
              <w:rPr>
                <w:rFonts w:hint="eastAsia"/>
              </w:rPr>
            </w:pPr>
            <w:r>
              <w:rPr>
                <w:rFonts w:hint="default" w:ascii="Times New Roman" w:hAnsi="Times New Roman" w:eastAsia="宋体" w:cs="Times New Roman"/>
                <w:b/>
                <w:i w:val="0"/>
                <w:kern w:val="2"/>
                <w:sz w:val="24"/>
                <w:szCs w:val="24"/>
                <w:lang w:val="en-US" w:eastAsia="zh-CN" w:bidi="ar-SA"/>
              </w:rPr>
              <w:t>3.6、</w:t>
            </w:r>
            <w:r>
              <w:rPr>
                <w:rFonts w:hint="eastAsia"/>
              </w:rPr>
              <w:t>大气环境保护目标</w:t>
            </w:r>
          </w:p>
          <w:p w14:paraId="460DF316">
            <w:pPr>
              <w:bidi w:val="0"/>
            </w:pPr>
            <w:r>
              <w:rPr>
                <w:rFonts w:hint="eastAsia"/>
              </w:rPr>
              <w:t>本项目位于</w:t>
            </w:r>
            <w:r>
              <w:rPr>
                <w:rFonts w:hint="eastAsia" w:ascii="Times New Roman" w:hAnsi="Times New Roman" w:cs="Times New Roman"/>
                <w:kern w:val="2"/>
                <w:sz w:val="24"/>
                <w:szCs w:val="24"/>
                <w:highlight w:val="none"/>
                <w:lang w:val="en-US" w:bidi="ar-SA"/>
              </w:rPr>
              <w:t>桂林市全州县工业集中区综合产业园城西片区</w:t>
            </w:r>
            <w:r>
              <w:rPr>
                <w:rFonts w:hint="eastAsia"/>
              </w:rPr>
              <w:t>，根据区域调查及现场踏勘调查，厂界外500米范围内，无自然保护区、风景名胜区、文化区</w:t>
            </w:r>
            <w:r>
              <w:rPr>
                <w:rFonts w:hint="eastAsia"/>
                <w:lang w:eastAsia="zh-CN"/>
              </w:rPr>
              <w:t>，仅有</w:t>
            </w:r>
            <w:r>
              <w:rPr>
                <w:rFonts w:hint="eastAsia"/>
                <w:lang w:val="en-US" w:eastAsia="zh-CN"/>
              </w:rPr>
              <w:t>3处散居民房和1处待拆迁民房</w:t>
            </w:r>
            <w:r>
              <w:rPr>
                <w:rFonts w:hint="eastAsia"/>
              </w:rPr>
              <w:t>。</w:t>
            </w:r>
          </w:p>
          <w:p w14:paraId="0BDCDF33">
            <w:pPr>
              <w:pStyle w:val="4"/>
              <w:numPr>
                <w:ilvl w:val="1"/>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3.7、</w:t>
            </w:r>
            <w:r>
              <w:rPr>
                <w:rFonts w:hint="eastAsia"/>
                <w:lang w:eastAsia="zh-CN"/>
              </w:rPr>
              <w:t>声环境保护目标</w:t>
            </w:r>
          </w:p>
          <w:p w14:paraId="761B547E">
            <w:pPr>
              <w:rPr>
                <w:rFonts w:hint="eastAsia"/>
              </w:rPr>
            </w:pPr>
            <w:r>
              <w:rPr>
                <w:rFonts w:hint="eastAsia"/>
              </w:rPr>
              <w:t>本项目厂界外周边50米范围内不存在声环境保护目标。</w:t>
            </w:r>
          </w:p>
          <w:p w14:paraId="04D2C5BC">
            <w:pPr>
              <w:pStyle w:val="4"/>
              <w:numPr>
                <w:ilvl w:val="1"/>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3.8、</w:t>
            </w:r>
            <w:r>
              <w:rPr>
                <w:rFonts w:hint="eastAsia"/>
              </w:rPr>
              <w:t>地表水环境保护目标</w:t>
            </w:r>
          </w:p>
          <w:p w14:paraId="0D27A72E">
            <w:pPr>
              <w:rPr>
                <w:rFonts w:hint="eastAsia"/>
                <w:lang w:val="en-US" w:eastAsia="zh-CN"/>
              </w:rPr>
            </w:pPr>
            <w:r>
              <w:rPr>
                <w:rFonts w:hint="eastAsia"/>
              </w:rPr>
              <w:t>项目所在区域地表水环境保护目标</w:t>
            </w:r>
            <w:r>
              <w:rPr>
                <w:rFonts w:hint="eastAsia"/>
                <w:lang w:eastAsia="zh-CN"/>
              </w:rPr>
              <w:t>为距项目南侧约</w:t>
            </w:r>
            <w:r>
              <w:rPr>
                <w:rFonts w:hint="eastAsia"/>
                <w:lang w:val="en-US" w:eastAsia="zh-CN"/>
              </w:rPr>
              <w:t>2000m的湘江。</w:t>
            </w:r>
          </w:p>
          <w:p w14:paraId="3BEAD9C5">
            <w:pPr>
              <w:pStyle w:val="4"/>
              <w:numPr>
                <w:ilvl w:val="1"/>
                <w:numId w:val="0"/>
              </w:numPr>
              <w:bidi w:val="0"/>
              <w:ind w:left="0" w:leftChars="0" w:firstLine="0" w:firstLineChars="0"/>
              <w:rPr>
                <w:rFonts w:hint="default"/>
                <w:lang w:val="en-US"/>
              </w:rPr>
            </w:pPr>
            <w:r>
              <w:rPr>
                <w:rFonts w:hint="default" w:ascii="Times New Roman" w:hAnsi="Times New Roman" w:eastAsia="宋体" w:cs="Times New Roman"/>
                <w:b/>
                <w:i w:val="0"/>
                <w:kern w:val="2"/>
                <w:sz w:val="24"/>
                <w:szCs w:val="24"/>
                <w:lang w:val="en-US" w:eastAsia="zh-CN" w:bidi="ar-SA"/>
              </w:rPr>
              <w:t>3.9、</w:t>
            </w:r>
            <w:r>
              <w:rPr>
                <w:rFonts w:hint="default"/>
                <w:lang w:val="en-US"/>
              </w:rPr>
              <w:t>地下水环境保护目标</w:t>
            </w:r>
          </w:p>
          <w:p w14:paraId="389FF500">
            <w:pPr>
              <w:rPr>
                <w:rFonts w:hint="default"/>
                <w:lang w:val="en-US"/>
              </w:rPr>
            </w:pPr>
            <w:r>
              <w:rPr>
                <w:rFonts w:hint="default"/>
                <w:lang w:val="en-US"/>
              </w:rPr>
              <w:t>本项目厂界外500米范围内无地下水集中式饮用水水源和热水、矿泉水、温泉等特殊地下水资源。</w:t>
            </w:r>
          </w:p>
          <w:p w14:paraId="63BD16BB">
            <w:pPr>
              <w:pStyle w:val="4"/>
              <w:numPr>
                <w:ilvl w:val="1"/>
                <w:numId w:val="0"/>
              </w:numPr>
              <w:bidi w:val="0"/>
              <w:ind w:left="0" w:leftChars="0" w:firstLine="0" w:firstLineChars="0"/>
              <w:rPr>
                <w:rFonts w:hint="default"/>
                <w:lang w:val="en-US"/>
              </w:rPr>
            </w:pPr>
            <w:r>
              <w:rPr>
                <w:rFonts w:hint="default" w:ascii="Times New Roman" w:hAnsi="Times New Roman" w:eastAsia="宋体" w:cs="Times New Roman"/>
                <w:b/>
                <w:i w:val="0"/>
                <w:kern w:val="2"/>
                <w:sz w:val="24"/>
                <w:szCs w:val="24"/>
                <w:lang w:val="en-US" w:eastAsia="zh-CN" w:bidi="ar-SA"/>
              </w:rPr>
              <w:t>3.10、</w:t>
            </w:r>
            <w:r>
              <w:rPr>
                <w:rFonts w:hint="eastAsia"/>
                <w:lang w:val="en-US" w:eastAsia="zh-CN"/>
              </w:rPr>
              <w:t>生态</w:t>
            </w:r>
            <w:r>
              <w:rPr>
                <w:rFonts w:hint="default"/>
                <w:lang w:val="en-US"/>
              </w:rPr>
              <w:t>环境保护目标</w:t>
            </w:r>
          </w:p>
          <w:p w14:paraId="44C2B294">
            <w:pPr>
              <w:rPr>
                <w:rFonts w:hint="default"/>
                <w:lang w:val="en-US"/>
              </w:rPr>
            </w:pPr>
            <w:r>
              <w:rPr>
                <w:rFonts w:hint="eastAsia"/>
              </w:rPr>
              <w:t>本项目位于</w:t>
            </w:r>
            <w:r>
              <w:rPr>
                <w:rFonts w:hint="eastAsia" w:ascii="Times New Roman" w:hAnsi="Times New Roman" w:cs="Times New Roman"/>
                <w:kern w:val="2"/>
                <w:sz w:val="24"/>
                <w:szCs w:val="24"/>
                <w:highlight w:val="none"/>
                <w:lang w:val="en-US" w:bidi="ar-SA"/>
              </w:rPr>
              <w:t>桂林市全州县工业集中区综合产业园城西片区</w:t>
            </w:r>
            <w:r>
              <w:rPr>
                <w:rFonts w:hint="eastAsia" w:cs="Times New Roman"/>
                <w:kern w:val="2"/>
                <w:sz w:val="24"/>
                <w:szCs w:val="24"/>
                <w:highlight w:val="none"/>
                <w:lang w:val="en-US" w:eastAsia="zh-CN" w:bidi="ar-SA"/>
              </w:rPr>
              <w:t>，</w:t>
            </w:r>
            <w:r>
              <w:rPr>
                <w:rFonts w:hint="default"/>
                <w:lang w:val="en-US"/>
              </w:rPr>
              <w:t>用地范围内不涉及生态环境保护目标。</w:t>
            </w:r>
          </w:p>
          <w:p w14:paraId="4A451DE0">
            <w:pPr>
              <w:pStyle w:val="8"/>
              <w:numPr>
                <w:ilvl w:val="5"/>
                <w:numId w:val="0"/>
              </w:numPr>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表3-4</w:t>
            </w:r>
            <w:r>
              <w:rPr>
                <w:rFonts w:hint="eastAsia"/>
              </w:rPr>
              <w:t>主要环境保护目标一览表</w:t>
            </w:r>
          </w:p>
          <w:tbl>
            <w:tblPr>
              <w:tblStyle w:val="26"/>
              <w:tblW w:w="8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2268"/>
              <w:gridCol w:w="1361"/>
              <w:gridCol w:w="1134"/>
              <w:gridCol w:w="2721"/>
            </w:tblGrid>
            <w:tr w14:paraId="184B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4" w:type="dxa"/>
                  <w:shd w:val="clear" w:color="auto" w:fill="auto"/>
                  <w:vAlign w:val="center"/>
                </w:tcPr>
                <w:p w14:paraId="38364346">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ascii="宋体" w:hAnsi="宋体" w:eastAsia="宋体" w:cs="宋体"/>
                      <w:b/>
                      <w:kern w:val="2"/>
                      <w:sz w:val="21"/>
                      <w:szCs w:val="24"/>
                      <w:lang w:val="en-US" w:eastAsia="zh-CN" w:bidi="ar-SA"/>
                    </w:rPr>
                  </w:pPr>
                  <w:r>
                    <w:rPr>
                      <w:b/>
                      <w:spacing w:val="-6"/>
                      <w:sz w:val="21"/>
                    </w:rPr>
                    <w:t>序号</w:t>
                  </w:r>
                </w:p>
              </w:tc>
              <w:tc>
                <w:tcPr>
                  <w:tcW w:w="2268" w:type="dxa"/>
                  <w:shd w:val="clear" w:color="auto" w:fill="auto"/>
                  <w:vAlign w:val="center"/>
                </w:tcPr>
                <w:p w14:paraId="1FDDA103">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ascii="宋体" w:hAnsi="宋体" w:eastAsia="宋体" w:cs="宋体"/>
                      <w:b/>
                      <w:kern w:val="2"/>
                      <w:sz w:val="21"/>
                      <w:szCs w:val="24"/>
                      <w:lang w:val="en-US" w:eastAsia="zh-CN" w:bidi="ar-SA"/>
                    </w:rPr>
                  </w:pPr>
                  <w:r>
                    <w:rPr>
                      <w:b/>
                      <w:spacing w:val="-6"/>
                      <w:sz w:val="21"/>
                    </w:rPr>
                    <w:t>名称</w:t>
                  </w:r>
                </w:p>
              </w:tc>
              <w:tc>
                <w:tcPr>
                  <w:tcW w:w="1361" w:type="dxa"/>
                  <w:shd w:val="clear" w:color="auto" w:fill="auto"/>
                  <w:vAlign w:val="center"/>
                </w:tcPr>
                <w:p w14:paraId="5DB1057F">
                  <w:pPr>
                    <w:pStyle w:val="56"/>
                    <w:keepNext w:val="0"/>
                    <w:keepLines w:val="0"/>
                    <w:pageBreakBefore w:val="0"/>
                    <w:widowControl w:val="0"/>
                    <w:kinsoku/>
                    <w:wordWrap/>
                    <w:overflowPunct w:val="0"/>
                    <w:topLinePunct w:val="0"/>
                    <w:autoSpaceDE/>
                    <w:autoSpaceDN/>
                    <w:bidi w:val="0"/>
                    <w:adjustRightInd/>
                    <w:snapToGrid/>
                    <w:spacing w:line="240" w:lineRule="auto"/>
                    <w:ind w:left="0" w:right="0" w:firstLine="0" w:firstLineChars="0"/>
                    <w:jc w:val="center"/>
                    <w:textAlignment w:val="auto"/>
                    <w:rPr>
                      <w:rFonts w:ascii="Times New Roman" w:hAnsi="宋体" w:eastAsia="宋体" w:cs="宋体"/>
                      <w:b/>
                      <w:kern w:val="2"/>
                      <w:sz w:val="21"/>
                      <w:szCs w:val="24"/>
                      <w:lang w:val="en-US" w:eastAsia="zh-CN" w:bidi="ar-SA"/>
                    </w:rPr>
                  </w:pPr>
                  <w:r>
                    <w:rPr>
                      <w:b/>
                      <w:spacing w:val="-12"/>
                      <w:sz w:val="21"/>
                    </w:rPr>
                    <w:t>方位、距离</w:t>
                  </w:r>
                  <w:r>
                    <w:rPr>
                      <w:rFonts w:ascii="Times New Roman"/>
                      <w:b/>
                      <w:spacing w:val="-5"/>
                      <w:sz w:val="21"/>
                    </w:rPr>
                    <w:t>(m)</w:t>
                  </w:r>
                </w:p>
              </w:tc>
              <w:tc>
                <w:tcPr>
                  <w:tcW w:w="1134" w:type="dxa"/>
                  <w:shd w:val="clear" w:color="auto" w:fill="auto"/>
                  <w:vAlign w:val="center"/>
                </w:tcPr>
                <w:p w14:paraId="6FB2A37D">
                  <w:pPr>
                    <w:pStyle w:val="56"/>
                    <w:keepNext w:val="0"/>
                    <w:keepLines w:val="0"/>
                    <w:pageBreakBefore w:val="0"/>
                    <w:widowControl w:val="0"/>
                    <w:kinsoku/>
                    <w:wordWrap/>
                    <w:overflowPunct w:val="0"/>
                    <w:topLinePunct w:val="0"/>
                    <w:autoSpaceDE/>
                    <w:autoSpaceDN/>
                    <w:bidi w:val="0"/>
                    <w:adjustRightInd/>
                    <w:snapToGrid/>
                    <w:spacing w:line="240" w:lineRule="auto"/>
                    <w:ind w:left="0" w:right="0" w:rightChars="0" w:firstLine="0" w:firstLineChars="0"/>
                    <w:jc w:val="center"/>
                    <w:textAlignment w:val="auto"/>
                    <w:rPr>
                      <w:rFonts w:ascii="宋体" w:hAnsi="宋体" w:eastAsia="宋体" w:cs="宋体"/>
                      <w:b/>
                      <w:kern w:val="2"/>
                      <w:sz w:val="21"/>
                      <w:szCs w:val="24"/>
                      <w:lang w:val="en-US" w:eastAsia="zh-CN" w:bidi="ar-SA"/>
                    </w:rPr>
                  </w:pPr>
                  <w:r>
                    <w:rPr>
                      <w:b/>
                      <w:spacing w:val="-4"/>
                      <w:sz w:val="21"/>
                    </w:rPr>
                    <w:t>人口规模</w:t>
                  </w:r>
                </w:p>
              </w:tc>
              <w:tc>
                <w:tcPr>
                  <w:tcW w:w="2721" w:type="dxa"/>
                  <w:shd w:val="clear" w:color="auto" w:fill="auto"/>
                  <w:vAlign w:val="center"/>
                </w:tcPr>
                <w:p w14:paraId="331D11AA">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ascii="宋体" w:hAnsi="宋体" w:eastAsia="宋体" w:cs="宋体"/>
                      <w:b/>
                      <w:kern w:val="2"/>
                      <w:sz w:val="21"/>
                      <w:szCs w:val="24"/>
                      <w:lang w:val="en-US" w:eastAsia="zh-CN" w:bidi="ar-SA"/>
                    </w:rPr>
                  </w:pPr>
                  <w:r>
                    <w:rPr>
                      <w:b/>
                      <w:spacing w:val="-4"/>
                      <w:sz w:val="21"/>
                    </w:rPr>
                    <w:t>保护级别</w:t>
                  </w:r>
                </w:p>
              </w:tc>
            </w:tr>
            <w:tr w14:paraId="7462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shd w:val="clear" w:color="auto" w:fill="auto"/>
                  <w:vAlign w:val="center"/>
                </w:tcPr>
                <w:p w14:paraId="673158BE">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firstLine="0" w:firstLineChars="0"/>
                    <w:jc w:val="center"/>
                    <w:textAlignment w:val="auto"/>
                    <w:rPr>
                      <w:rFonts w:hint="eastAsia" w:ascii="Times New Roman" w:hAnsi="宋体" w:eastAsia="宋体" w:cs="宋体"/>
                      <w:kern w:val="2"/>
                      <w:sz w:val="21"/>
                      <w:szCs w:val="24"/>
                      <w:lang w:val="en-US" w:eastAsia="zh-CN" w:bidi="ar-SA"/>
                    </w:rPr>
                  </w:pPr>
                  <w:r>
                    <w:rPr>
                      <w:rFonts w:hint="eastAsia" w:ascii="Times New Roman"/>
                      <w:w w:val="99"/>
                      <w:sz w:val="21"/>
                      <w:lang w:val="en-US" w:eastAsia="zh-CN"/>
                    </w:rPr>
                    <w:t>1</w:t>
                  </w:r>
                </w:p>
              </w:tc>
              <w:tc>
                <w:tcPr>
                  <w:tcW w:w="2268" w:type="dxa"/>
                  <w:shd w:val="clear" w:color="auto" w:fill="auto"/>
                  <w:vAlign w:val="center"/>
                </w:tcPr>
                <w:p w14:paraId="64BDF99C">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ascii="宋体" w:hAnsi="宋体" w:eastAsia="宋体" w:cs="宋体"/>
                      <w:kern w:val="2"/>
                      <w:sz w:val="21"/>
                      <w:szCs w:val="24"/>
                      <w:lang w:val="en-US" w:eastAsia="zh-CN" w:bidi="ar-SA"/>
                    </w:rPr>
                  </w:pPr>
                  <w:r>
                    <w:rPr>
                      <w:rFonts w:hint="eastAsia" w:cs="宋体"/>
                      <w:kern w:val="2"/>
                      <w:sz w:val="21"/>
                      <w:szCs w:val="24"/>
                      <w:lang w:val="en-US" w:eastAsia="zh-CN" w:bidi="ar-SA"/>
                    </w:rPr>
                    <w:t>南侧散户民居</w:t>
                  </w:r>
                </w:p>
              </w:tc>
              <w:tc>
                <w:tcPr>
                  <w:tcW w:w="1361" w:type="dxa"/>
                  <w:shd w:val="clear" w:color="auto" w:fill="auto"/>
                  <w:vAlign w:val="center"/>
                </w:tcPr>
                <w:p w14:paraId="3D107194">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宋体" w:eastAsia="Times New Roman" w:cs="宋体"/>
                      <w:kern w:val="2"/>
                      <w:sz w:val="21"/>
                      <w:szCs w:val="24"/>
                      <w:lang w:val="en-US" w:eastAsia="zh-CN" w:bidi="ar-SA"/>
                    </w:rPr>
                  </w:pPr>
                  <w:r>
                    <w:rPr>
                      <w:rFonts w:hint="eastAsia" w:ascii="Times New Roman" w:eastAsia="Times New Roman" w:cs="宋体"/>
                      <w:kern w:val="2"/>
                      <w:sz w:val="21"/>
                      <w:szCs w:val="24"/>
                      <w:lang w:val="en-US" w:eastAsia="zh-CN" w:bidi="ar-SA"/>
                    </w:rPr>
                    <w:t>南/约400</w:t>
                  </w:r>
                </w:p>
              </w:tc>
              <w:tc>
                <w:tcPr>
                  <w:tcW w:w="1134" w:type="dxa"/>
                  <w:shd w:val="clear" w:color="auto" w:fill="auto"/>
                  <w:vAlign w:val="center"/>
                </w:tcPr>
                <w:p w14:paraId="07891223">
                  <w:pPr>
                    <w:pStyle w:val="56"/>
                    <w:keepNext w:val="0"/>
                    <w:keepLines w:val="0"/>
                    <w:pageBreakBefore w:val="0"/>
                    <w:widowControl w:val="0"/>
                    <w:kinsoku/>
                    <w:wordWrap/>
                    <w:overflowPunct w:val="0"/>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5</w:t>
                  </w:r>
                </w:p>
              </w:tc>
              <w:tc>
                <w:tcPr>
                  <w:tcW w:w="2721" w:type="dxa"/>
                  <w:vMerge w:val="restart"/>
                  <w:shd w:val="clear" w:color="auto" w:fill="auto"/>
                  <w:vAlign w:val="center"/>
                </w:tcPr>
                <w:p w14:paraId="18BB4EBE">
                  <w:pPr>
                    <w:pStyle w:val="56"/>
                    <w:keepNext w:val="0"/>
                    <w:keepLines w:val="0"/>
                    <w:pageBreakBefore w:val="0"/>
                    <w:widowControl w:val="0"/>
                    <w:kinsoku/>
                    <w:wordWrap/>
                    <w:overflowPunct w:val="0"/>
                    <w:topLinePunct w:val="0"/>
                    <w:autoSpaceDE/>
                    <w:autoSpaceDN/>
                    <w:bidi w:val="0"/>
                    <w:adjustRightInd/>
                    <w:snapToGrid/>
                    <w:spacing w:line="240" w:lineRule="auto"/>
                    <w:ind w:left="0" w:right="0" w:firstLine="0" w:firstLineChars="0"/>
                    <w:jc w:val="center"/>
                    <w:textAlignment w:val="auto"/>
                    <w:rPr>
                      <w:sz w:val="21"/>
                    </w:rPr>
                  </w:pPr>
                  <w:r>
                    <w:rPr>
                      <w:spacing w:val="-3"/>
                      <w:sz w:val="21"/>
                    </w:rPr>
                    <w:t>《环境空气质量标准》</w:t>
                  </w:r>
                </w:p>
                <w:p w14:paraId="0CF86F41">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ascii="宋体" w:hAnsi="宋体" w:eastAsia="宋体" w:cs="宋体"/>
                      <w:kern w:val="2"/>
                      <w:sz w:val="21"/>
                      <w:szCs w:val="24"/>
                      <w:lang w:val="en-US" w:eastAsia="zh-CN" w:bidi="ar-SA"/>
                    </w:rPr>
                  </w:pPr>
                  <w:r>
                    <w:rPr>
                      <w:spacing w:val="-2"/>
                      <w:sz w:val="21"/>
                    </w:rPr>
                    <w:t>（</w:t>
                  </w:r>
                  <w:r>
                    <w:rPr>
                      <w:rFonts w:ascii="Times New Roman" w:eastAsia="Times New Roman"/>
                      <w:spacing w:val="-2"/>
                      <w:sz w:val="21"/>
                    </w:rPr>
                    <w:t>GB3095-2012</w:t>
                  </w:r>
                  <w:r>
                    <w:rPr>
                      <w:spacing w:val="-2"/>
                      <w:sz w:val="21"/>
                    </w:rPr>
                    <w:t>）</w:t>
                  </w:r>
                  <w:r>
                    <w:rPr>
                      <w:spacing w:val="-4"/>
                      <w:sz w:val="21"/>
                    </w:rPr>
                    <w:t>二级标准</w:t>
                  </w:r>
                </w:p>
              </w:tc>
            </w:tr>
            <w:tr w14:paraId="5706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shd w:val="clear" w:color="auto" w:fill="auto"/>
                  <w:vAlign w:val="center"/>
                </w:tcPr>
                <w:p w14:paraId="52F22817">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firstLine="0" w:firstLineChars="0"/>
                    <w:jc w:val="center"/>
                    <w:textAlignment w:val="auto"/>
                    <w:rPr>
                      <w:rFonts w:hint="eastAsia" w:ascii="Times New Roman" w:hAnsi="宋体" w:eastAsia="宋体" w:cs="宋体"/>
                      <w:kern w:val="2"/>
                      <w:sz w:val="21"/>
                      <w:szCs w:val="24"/>
                      <w:lang w:val="en-US" w:eastAsia="zh-CN" w:bidi="ar-SA"/>
                    </w:rPr>
                  </w:pPr>
                  <w:r>
                    <w:rPr>
                      <w:rFonts w:hint="eastAsia" w:ascii="Times New Roman"/>
                      <w:w w:val="99"/>
                      <w:sz w:val="21"/>
                      <w:lang w:val="en-US" w:eastAsia="zh-CN"/>
                    </w:rPr>
                    <w:t>2</w:t>
                  </w:r>
                </w:p>
              </w:tc>
              <w:tc>
                <w:tcPr>
                  <w:tcW w:w="2268" w:type="dxa"/>
                  <w:shd w:val="clear" w:color="auto" w:fill="auto"/>
                  <w:vAlign w:val="center"/>
                </w:tcPr>
                <w:p w14:paraId="7AA5A862">
                  <w:pPr>
                    <w:pStyle w:val="56"/>
                    <w:keepNext w:val="0"/>
                    <w:keepLines w:val="0"/>
                    <w:pageBreakBefore w:val="0"/>
                    <w:widowControl w:val="0"/>
                    <w:kinsoku/>
                    <w:wordWrap/>
                    <w:overflowPunct w:val="0"/>
                    <w:topLinePunct w:val="0"/>
                    <w:autoSpaceDE/>
                    <w:autoSpaceDN/>
                    <w:bidi w:val="0"/>
                    <w:adjustRightInd/>
                    <w:snapToGrid/>
                    <w:spacing w:line="240" w:lineRule="auto"/>
                    <w:ind w:left="0" w:right="0" w:firstLine="0" w:firstLineChars="0"/>
                    <w:jc w:val="center"/>
                    <w:textAlignment w:val="auto"/>
                    <w:rPr>
                      <w:rFonts w:ascii="宋体" w:hAnsi="宋体" w:eastAsia="宋体" w:cs="宋体"/>
                      <w:kern w:val="2"/>
                      <w:sz w:val="21"/>
                      <w:szCs w:val="24"/>
                      <w:lang w:val="en-US" w:eastAsia="zh-CN" w:bidi="ar-SA"/>
                    </w:rPr>
                  </w:pPr>
                  <w:r>
                    <w:rPr>
                      <w:rFonts w:hint="eastAsia" w:cs="宋体"/>
                      <w:kern w:val="2"/>
                      <w:sz w:val="21"/>
                      <w:szCs w:val="24"/>
                      <w:lang w:val="en-US" w:eastAsia="zh-CN" w:bidi="ar-SA"/>
                    </w:rPr>
                    <w:t>西南侧散户民居</w:t>
                  </w:r>
                </w:p>
              </w:tc>
              <w:tc>
                <w:tcPr>
                  <w:tcW w:w="1361" w:type="dxa"/>
                  <w:shd w:val="clear" w:color="auto" w:fill="auto"/>
                  <w:vAlign w:val="center"/>
                </w:tcPr>
                <w:p w14:paraId="1E57AE6D">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宋体" w:eastAsia="Times New Roman" w:cs="宋体"/>
                      <w:kern w:val="2"/>
                      <w:sz w:val="21"/>
                      <w:szCs w:val="24"/>
                      <w:lang w:val="en-US" w:eastAsia="zh-CN" w:bidi="ar-SA"/>
                    </w:rPr>
                  </w:pPr>
                  <w:r>
                    <w:rPr>
                      <w:rFonts w:hint="eastAsia" w:cs="宋体"/>
                      <w:kern w:val="2"/>
                      <w:sz w:val="21"/>
                      <w:szCs w:val="24"/>
                      <w:lang w:val="en-US" w:eastAsia="zh-CN" w:bidi="ar-SA"/>
                    </w:rPr>
                    <w:t>西南</w:t>
                  </w:r>
                  <w:r>
                    <w:rPr>
                      <w:rFonts w:hint="eastAsia" w:ascii="Times New Roman" w:eastAsia="Times New Roman" w:cs="宋体"/>
                      <w:kern w:val="2"/>
                      <w:sz w:val="21"/>
                      <w:szCs w:val="24"/>
                      <w:lang w:val="en-US" w:eastAsia="zh-CN" w:bidi="ar-SA"/>
                    </w:rPr>
                    <w:t>/约340</w:t>
                  </w:r>
                </w:p>
              </w:tc>
              <w:tc>
                <w:tcPr>
                  <w:tcW w:w="1134" w:type="dxa"/>
                  <w:shd w:val="clear" w:color="auto" w:fill="auto"/>
                  <w:vAlign w:val="center"/>
                </w:tcPr>
                <w:p w14:paraId="38D0D334">
                  <w:pPr>
                    <w:pStyle w:val="56"/>
                    <w:keepNext w:val="0"/>
                    <w:keepLines w:val="0"/>
                    <w:pageBreakBefore w:val="0"/>
                    <w:widowControl w:val="0"/>
                    <w:kinsoku/>
                    <w:wordWrap/>
                    <w:overflowPunct w:val="0"/>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5</w:t>
                  </w:r>
                </w:p>
              </w:tc>
              <w:tc>
                <w:tcPr>
                  <w:tcW w:w="2721" w:type="dxa"/>
                  <w:vMerge w:val="continue"/>
                  <w:vAlign w:val="center"/>
                </w:tcPr>
                <w:p w14:paraId="31FA1546">
                  <w:pPr>
                    <w:keepNext w:val="0"/>
                    <w:keepLines w:val="0"/>
                    <w:pageBreakBefore w:val="0"/>
                    <w:widowControl w:val="0"/>
                    <w:kinsoku/>
                    <w:wordWrap/>
                    <w:overflowPunct w:val="0"/>
                    <w:topLinePunct w:val="0"/>
                    <w:autoSpaceDE/>
                    <w:autoSpaceDN/>
                    <w:bidi w:val="0"/>
                    <w:adjustRightInd/>
                    <w:snapToGrid/>
                    <w:spacing w:line="240" w:lineRule="auto"/>
                    <w:ind w:left="0" w:right="0" w:firstLine="0" w:firstLineChars="0"/>
                    <w:jc w:val="center"/>
                    <w:textAlignment w:val="auto"/>
                    <w:rPr>
                      <w:vertAlign w:val="baseline"/>
                    </w:rPr>
                  </w:pPr>
                </w:p>
              </w:tc>
            </w:tr>
            <w:tr w14:paraId="7E9D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shd w:val="clear" w:color="auto" w:fill="auto"/>
                  <w:vAlign w:val="center"/>
                </w:tcPr>
                <w:p w14:paraId="3C85A698">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firstLine="0" w:firstLineChars="0"/>
                    <w:jc w:val="center"/>
                    <w:textAlignment w:val="auto"/>
                    <w:rPr>
                      <w:rFonts w:hint="eastAsia" w:ascii="Times New Roman" w:eastAsia="宋体"/>
                      <w:w w:val="99"/>
                      <w:sz w:val="21"/>
                      <w:lang w:val="en-US" w:eastAsia="zh-CN"/>
                    </w:rPr>
                  </w:pPr>
                  <w:r>
                    <w:rPr>
                      <w:rFonts w:hint="eastAsia" w:ascii="Times New Roman"/>
                      <w:w w:val="99"/>
                      <w:sz w:val="21"/>
                      <w:lang w:val="en-US" w:eastAsia="zh-CN"/>
                    </w:rPr>
                    <w:t>3</w:t>
                  </w:r>
                </w:p>
              </w:tc>
              <w:tc>
                <w:tcPr>
                  <w:tcW w:w="2268" w:type="dxa"/>
                  <w:shd w:val="clear" w:color="auto" w:fill="auto"/>
                  <w:vAlign w:val="center"/>
                </w:tcPr>
                <w:p w14:paraId="1DCE6F0C">
                  <w:pPr>
                    <w:pStyle w:val="56"/>
                    <w:keepNext w:val="0"/>
                    <w:keepLines w:val="0"/>
                    <w:pageBreakBefore w:val="0"/>
                    <w:widowControl w:val="0"/>
                    <w:kinsoku/>
                    <w:wordWrap/>
                    <w:overflowPunct w:val="0"/>
                    <w:topLinePunct w:val="0"/>
                    <w:autoSpaceDE/>
                    <w:autoSpaceDN/>
                    <w:bidi w:val="0"/>
                    <w:adjustRightInd/>
                    <w:snapToGrid/>
                    <w:spacing w:line="240" w:lineRule="auto"/>
                    <w:ind w:left="0" w:right="0" w:firstLine="0" w:firstLineChars="0"/>
                    <w:jc w:val="center"/>
                    <w:textAlignment w:val="auto"/>
                    <w:rPr>
                      <w:rFonts w:hint="eastAsia" w:cs="宋体"/>
                      <w:kern w:val="2"/>
                      <w:sz w:val="21"/>
                      <w:szCs w:val="24"/>
                      <w:lang w:val="en-US" w:eastAsia="zh-CN" w:bidi="ar-SA"/>
                    </w:rPr>
                  </w:pPr>
                  <w:r>
                    <w:rPr>
                      <w:rFonts w:hint="eastAsia" w:cs="宋体"/>
                      <w:kern w:val="2"/>
                      <w:sz w:val="21"/>
                      <w:szCs w:val="24"/>
                      <w:lang w:val="en-US" w:eastAsia="zh-CN" w:bidi="ar-SA"/>
                    </w:rPr>
                    <w:t>西南侧散户民居</w:t>
                  </w:r>
                </w:p>
              </w:tc>
              <w:tc>
                <w:tcPr>
                  <w:tcW w:w="1361" w:type="dxa"/>
                  <w:shd w:val="clear" w:color="auto" w:fill="auto"/>
                  <w:vAlign w:val="center"/>
                </w:tcPr>
                <w:p w14:paraId="0EA4E3CE">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hint="eastAsia" w:cs="宋体"/>
                      <w:kern w:val="2"/>
                      <w:sz w:val="21"/>
                      <w:szCs w:val="24"/>
                      <w:lang w:val="en-US" w:eastAsia="zh-CN" w:bidi="ar-SA"/>
                    </w:rPr>
                  </w:pPr>
                  <w:r>
                    <w:rPr>
                      <w:rFonts w:hint="eastAsia" w:cs="宋体"/>
                      <w:kern w:val="2"/>
                      <w:sz w:val="21"/>
                      <w:szCs w:val="24"/>
                      <w:lang w:val="en-US" w:eastAsia="zh-CN" w:bidi="ar-SA"/>
                    </w:rPr>
                    <w:t>西南</w:t>
                  </w:r>
                  <w:r>
                    <w:rPr>
                      <w:rFonts w:hint="eastAsia" w:ascii="Times New Roman" w:eastAsia="Times New Roman" w:cs="宋体"/>
                      <w:kern w:val="2"/>
                      <w:sz w:val="21"/>
                      <w:szCs w:val="24"/>
                      <w:lang w:val="en-US" w:eastAsia="zh-CN" w:bidi="ar-SA"/>
                    </w:rPr>
                    <w:t>/约100</w:t>
                  </w:r>
                </w:p>
              </w:tc>
              <w:tc>
                <w:tcPr>
                  <w:tcW w:w="1134" w:type="dxa"/>
                  <w:shd w:val="clear" w:color="auto" w:fill="auto"/>
                  <w:vAlign w:val="center"/>
                </w:tcPr>
                <w:p w14:paraId="7CD8A3EE">
                  <w:pPr>
                    <w:pStyle w:val="56"/>
                    <w:keepNext w:val="0"/>
                    <w:keepLines w:val="0"/>
                    <w:pageBreakBefore w:val="0"/>
                    <w:widowControl w:val="0"/>
                    <w:kinsoku/>
                    <w:wordWrap/>
                    <w:overflowPunct w:val="0"/>
                    <w:topLinePunct w:val="0"/>
                    <w:autoSpaceDE/>
                    <w:autoSpaceDN/>
                    <w:bidi w:val="0"/>
                    <w:adjustRightInd/>
                    <w:snapToGrid/>
                    <w:spacing w:line="240" w:lineRule="auto"/>
                    <w:ind w:left="0" w:right="0" w:rightChars="0" w:firstLine="0" w:firstLineChars="0"/>
                    <w:jc w:val="center"/>
                    <w:textAlignment w:val="auto"/>
                    <w:rPr>
                      <w:rFonts w:hint="default" w:cs="宋体"/>
                      <w:kern w:val="2"/>
                      <w:sz w:val="21"/>
                      <w:szCs w:val="24"/>
                      <w:lang w:val="en-US" w:eastAsia="zh-CN" w:bidi="ar-SA"/>
                    </w:rPr>
                  </w:pPr>
                  <w:r>
                    <w:rPr>
                      <w:rFonts w:hint="eastAsia" w:cs="宋体"/>
                      <w:kern w:val="2"/>
                      <w:sz w:val="21"/>
                      <w:szCs w:val="24"/>
                      <w:lang w:val="en-US" w:eastAsia="zh-CN" w:bidi="ar-SA"/>
                    </w:rPr>
                    <w:t>5</w:t>
                  </w:r>
                </w:p>
              </w:tc>
              <w:tc>
                <w:tcPr>
                  <w:tcW w:w="2721" w:type="dxa"/>
                  <w:vMerge w:val="continue"/>
                  <w:vAlign w:val="center"/>
                </w:tcPr>
                <w:p w14:paraId="1640D764">
                  <w:pPr>
                    <w:keepNext w:val="0"/>
                    <w:keepLines w:val="0"/>
                    <w:pageBreakBefore w:val="0"/>
                    <w:widowControl w:val="0"/>
                    <w:kinsoku/>
                    <w:wordWrap/>
                    <w:overflowPunct w:val="0"/>
                    <w:topLinePunct w:val="0"/>
                    <w:autoSpaceDE/>
                    <w:autoSpaceDN/>
                    <w:bidi w:val="0"/>
                    <w:adjustRightInd/>
                    <w:snapToGrid/>
                    <w:spacing w:line="240" w:lineRule="auto"/>
                    <w:ind w:left="0" w:right="0" w:firstLine="0" w:firstLineChars="0"/>
                    <w:jc w:val="center"/>
                    <w:textAlignment w:val="auto"/>
                    <w:rPr>
                      <w:vertAlign w:val="baseline"/>
                    </w:rPr>
                  </w:pPr>
                </w:p>
              </w:tc>
            </w:tr>
            <w:tr w14:paraId="033F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shd w:val="clear" w:color="auto" w:fill="auto"/>
                  <w:vAlign w:val="center"/>
                </w:tcPr>
                <w:p w14:paraId="5DE5CD6F">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firstLine="0" w:firstLineChars="0"/>
                    <w:jc w:val="center"/>
                    <w:textAlignment w:val="auto"/>
                    <w:rPr>
                      <w:rFonts w:hint="eastAsia" w:ascii="Times New Roman" w:hAnsi="宋体" w:eastAsia="宋体" w:cs="宋体"/>
                      <w:kern w:val="2"/>
                      <w:sz w:val="21"/>
                      <w:szCs w:val="24"/>
                      <w:lang w:val="en-US" w:eastAsia="zh-CN" w:bidi="ar-SA"/>
                    </w:rPr>
                  </w:pPr>
                  <w:r>
                    <w:rPr>
                      <w:rFonts w:hint="eastAsia" w:ascii="Times New Roman"/>
                      <w:w w:val="99"/>
                      <w:sz w:val="21"/>
                      <w:lang w:val="en-US" w:eastAsia="zh-CN"/>
                    </w:rPr>
                    <w:t>4</w:t>
                  </w:r>
                </w:p>
              </w:tc>
              <w:tc>
                <w:tcPr>
                  <w:tcW w:w="2268" w:type="dxa"/>
                  <w:shd w:val="clear" w:color="auto" w:fill="auto"/>
                  <w:vAlign w:val="center"/>
                </w:tcPr>
                <w:p w14:paraId="6578DD24">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ascii="宋体" w:hAnsi="宋体" w:eastAsia="宋体" w:cs="宋体"/>
                      <w:kern w:val="2"/>
                      <w:sz w:val="21"/>
                      <w:szCs w:val="24"/>
                      <w:lang w:val="en-US" w:eastAsia="zh-CN" w:bidi="ar-SA"/>
                    </w:rPr>
                  </w:pPr>
                  <w:r>
                    <w:rPr>
                      <w:rFonts w:hint="eastAsia" w:cs="宋体"/>
                      <w:kern w:val="2"/>
                      <w:sz w:val="21"/>
                      <w:szCs w:val="24"/>
                      <w:lang w:val="en-US" w:eastAsia="zh-CN" w:bidi="ar-SA"/>
                    </w:rPr>
                    <w:t>东南侧散户民居</w:t>
                  </w:r>
                </w:p>
              </w:tc>
              <w:tc>
                <w:tcPr>
                  <w:tcW w:w="1361" w:type="dxa"/>
                  <w:shd w:val="clear" w:color="auto" w:fill="auto"/>
                  <w:vAlign w:val="center"/>
                </w:tcPr>
                <w:p w14:paraId="1A0291B6">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宋体" w:eastAsia="Times New Roman" w:cs="宋体"/>
                      <w:kern w:val="2"/>
                      <w:sz w:val="21"/>
                      <w:szCs w:val="24"/>
                      <w:lang w:val="en-US" w:eastAsia="zh-CN" w:bidi="ar-SA"/>
                    </w:rPr>
                  </w:pPr>
                  <w:r>
                    <w:rPr>
                      <w:rFonts w:hint="eastAsia" w:cs="宋体"/>
                      <w:kern w:val="2"/>
                      <w:sz w:val="21"/>
                      <w:szCs w:val="24"/>
                      <w:lang w:val="en-US" w:eastAsia="zh-CN" w:bidi="ar-SA"/>
                    </w:rPr>
                    <w:t>东南</w:t>
                  </w:r>
                  <w:r>
                    <w:rPr>
                      <w:rFonts w:hint="eastAsia" w:ascii="Times New Roman" w:eastAsia="Times New Roman" w:cs="宋体"/>
                      <w:kern w:val="2"/>
                      <w:sz w:val="21"/>
                      <w:szCs w:val="24"/>
                      <w:lang w:val="en-US" w:eastAsia="zh-CN" w:bidi="ar-SA"/>
                    </w:rPr>
                    <w:t>/约150</w:t>
                  </w:r>
                </w:p>
              </w:tc>
              <w:tc>
                <w:tcPr>
                  <w:tcW w:w="1134" w:type="dxa"/>
                  <w:shd w:val="clear" w:color="auto" w:fill="auto"/>
                  <w:vAlign w:val="center"/>
                </w:tcPr>
                <w:p w14:paraId="58D869A1">
                  <w:pPr>
                    <w:pStyle w:val="56"/>
                    <w:keepNext w:val="0"/>
                    <w:keepLines w:val="0"/>
                    <w:pageBreakBefore w:val="0"/>
                    <w:widowControl w:val="0"/>
                    <w:kinsoku/>
                    <w:wordWrap/>
                    <w:overflowPunct w:val="0"/>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5</w:t>
                  </w:r>
                </w:p>
              </w:tc>
              <w:tc>
                <w:tcPr>
                  <w:tcW w:w="2721" w:type="dxa"/>
                  <w:vMerge w:val="continue"/>
                  <w:vAlign w:val="center"/>
                </w:tcPr>
                <w:p w14:paraId="5F71B224">
                  <w:pPr>
                    <w:keepNext w:val="0"/>
                    <w:keepLines w:val="0"/>
                    <w:pageBreakBefore w:val="0"/>
                    <w:widowControl w:val="0"/>
                    <w:kinsoku/>
                    <w:wordWrap/>
                    <w:overflowPunct w:val="0"/>
                    <w:topLinePunct w:val="0"/>
                    <w:autoSpaceDE/>
                    <w:autoSpaceDN/>
                    <w:bidi w:val="0"/>
                    <w:adjustRightInd/>
                    <w:snapToGrid/>
                    <w:spacing w:line="240" w:lineRule="auto"/>
                    <w:ind w:left="0" w:right="0" w:firstLine="0" w:firstLineChars="0"/>
                    <w:jc w:val="center"/>
                    <w:textAlignment w:val="auto"/>
                    <w:rPr>
                      <w:vertAlign w:val="baseline"/>
                    </w:rPr>
                  </w:pPr>
                </w:p>
              </w:tc>
            </w:tr>
            <w:tr w14:paraId="3336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24" w:type="dxa"/>
                  <w:shd w:val="clear" w:color="auto" w:fill="auto"/>
                  <w:vAlign w:val="center"/>
                </w:tcPr>
                <w:p w14:paraId="56329F84">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宋体" w:eastAsia="宋体" w:cs="宋体"/>
                      <w:kern w:val="2"/>
                      <w:sz w:val="21"/>
                      <w:szCs w:val="24"/>
                      <w:lang w:val="en-US" w:eastAsia="zh-CN" w:bidi="ar-SA"/>
                    </w:rPr>
                  </w:pPr>
                  <w:r>
                    <w:rPr>
                      <w:rFonts w:hint="eastAsia" w:ascii="Times New Roman"/>
                      <w:spacing w:val="-5"/>
                      <w:sz w:val="21"/>
                      <w:lang w:val="en-US" w:eastAsia="zh-CN"/>
                    </w:rPr>
                    <w:t>5</w:t>
                  </w:r>
                </w:p>
              </w:tc>
              <w:tc>
                <w:tcPr>
                  <w:tcW w:w="2268" w:type="dxa"/>
                  <w:shd w:val="clear" w:color="auto" w:fill="auto"/>
                  <w:vAlign w:val="center"/>
                </w:tcPr>
                <w:p w14:paraId="17E5DCB6">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ascii="宋体" w:hAnsi="宋体" w:eastAsia="宋体" w:cs="宋体"/>
                      <w:kern w:val="2"/>
                      <w:sz w:val="21"/>
                      <w:szCs w:val="24"/>
                      <w:lang w:val="en-US" w:eastAsia="zh-CN" w:bidi="ar-SA"/>
                    </w:rPr>
                  </w:pPr>
                  <w:r>
                    <w:rPr>
                      <w:rFonts w:hint="eastAsia"/>
                      <w:spacing w:val="-5"/>
                      <w:sz w:val="21"/>
                      <w:lang w:eastAsia="zh-CN"/>
                    </w:rPr>
                    <w:t>湘</w:t>
                  </w:r>
                  <w:r>
                    <w:rPr>
                      <w:spacing w:val="-5"/>
                      <w:sz w:val="21"/>
                    </w:rPr>
                    <w:t>江</w:t>
                  </w:r>
                </w:p>
              </w:tc>
              <w:tc>
                <w:tcPr>
                  <w:tcW w:w="1361" w:type="dxa"/>
                  <w:shd w:val="clear" w:color="auto" w:fill="auto"/>
                  <w:vAlign w:val="center"/>
                </w:tcPr>
                <w:p w14:paraId="22C0924B">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宋体" w:eastAsia="宋体" w:cs="宋体"/>
                      <w:kern w:val="2"/>
                      <w:sz w:val="21"/>
                      <w:szCs w:val="24"/>
                      <w:lang w:val="en-US" w:eastAsia="zh-CN" w:bidi="ar-SA"/>
                    </w:rPr>
                  </w:pPr>
                  <w:r>
                    <w:rPr>
                      <w:spacing w:val="-2"/>
                      <w:sz w:val="21"/>
                    </w:rPr>
                    <w:t>南</w:t>
                  </w:r>
                  <w:r>
                    <w:rPr>
                      <w:rFonts w:ascii="Times New Roman" w:eastAsia="Times New Roman"/>
                      <w:spacing w:val="-5"/>
                      <w:sz w:val="21"/>
                    </w:rPr>
                    <w:t>/</w:t>
                  </w:r>
                  <w:r>
                    <w:rPr>
                      <w:rFonts w:hint="eastAsia" w:ascii="Times New Roman" w:eastAsia="宋体"/>
                      <w:spacing w:val="-5"/>
                      <w:sz w:val="21"/>
                      <w:lang w:val="en-US" w:eastAsia="zh-CN"/>
                    </w:rPr>
                    <w:t>2000</w:t>
                  </w:r>
                </w:p>
              </w:tc>
              <w:tc>
                <w:tcPr>
                  <w:tcW w:w="1134" w:type="dxa"/>
                  <w:shd w:val="clear" w:color="auto" w:fill="auto"/>
                  <w:vAlign w:val="center"/>
                </w:tcPr>
                <w:p w14:paraId="693EF033">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firstLine="0" w:firstLineChars="0"/>
                    <w:jc w:val="center"/>
                    <w:textAlignment w:val="auto"/>
                    <w:rPr>
                      <w:rFonts w:ascii="Times New Roman" w:hAnsi="宋体" w:eastAsia="宋体" w:cs="宋体"/>
                      <w:kern w:val="2"/>
                      <w:sz w:val="21"/>
                      <w:szCs w:val="24"/>
                      <w:lang w:val="en-US" w:eastAsia="zh-CN" w:bidi="ar-SA"/>
                    </w:rPr>
                  </w:pPr>
                  <w:r>
                    <w:rPr>
                      <w:rFonts w:ascii="Times New Roman"/>
                      <w:w w:val="99"/>
                      <w:sz w:val="21"/>
                    </w:rPr>
                    <w:t>/</w:t>
                  </w:r>
                </w:p>
              </w:tc>
              <w:tc>
                <w:tcPr>
                  <w:tcW w:w="2721" w:type="dxa"/>
                  <w:shd w:val="clear" w:color="auto" w:fill="auto"/>
                  <w:vAlign w:val="center"/>
                </w:tcPr>
                <w:p w14:paraId="0816CC27">
                  <w:pPr>
                    <w:pStyle w:val="56"/>
                    <w:keepNext w:val="0"/>
                    <w:keepLines w:val="0"/>
                    <w:pageBreakBefore w:val="0"/>
                    <w:widowControl w:val="0"/>
                    <w:kinsoku/>
                    <w:wordWrap/>
                    <w:overflowPunct w:val="0"/>
                    <w:topLinePunct w:val="0"/>
                    <w:autoSpaceDE/>
                    <w:autoSpaceDN/>
                    <w:bidi w:val="0"/>
                    <w:adjustRightInd/>
                    <w:snapToGrid/>
                    <w:spacing w:line="240" w:lineRule="auto"/>
                    <w:ind w:left="0" w:right="0" w:firstLine="0" w:firstLineChars="0"/>
                    <w:jc w:val="center"/>
                    <w:textAlignment w:val="auto"/>
                    <w:rPr>
                      <w:sz w:val="21"/>
                    </w:rPr>
                  </w:pPr>
                  <w:r>
                    <w:rPr>
                      <w:spacing w:val="-3"/>
                      <w:sz w:val="21"/>
                    </w:rPr>
                    <w:t>《地表水环境质量标准》</w:t>
                  </w:r>
                </w:p>
                <w:p w14:paraId="529DA4CC">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ascii="宋体" w:hAnsi="宋体" w:eastAsia="宋体" w:cs="宋体"/>
                      <w:kern w:val="2"/>
                      <w:sz w:val="21"/>
                      <w:szCs w:val="24"/>
                      <w:lang w:val="en-US" w:eastAsia="zh-CN" w:bidi="ar-SA"/>
                    </w:rPr>
                  </w:pPr>
                  <w:r>
                    <w:rPr>
                      <w:spacing w:val="-2"/>
                      <w:sz w:val="21"/>
                    </w:rPr>
                    <w:t>（</w:t>
                  </w:r>
                  <w:r>
                    <w:rPr>
                      <w:rFonts w:ascii="Times New Roman" w:hAnsi="Times New Roman" w:eastAsia="Times New Roman"/>
                      <w:spacing w:val="-2"/>
                      <w:sz w:val="21"/>
                    </w:rPr>
                    <w:t>GB3838-2002</w:t>
                  </w:r>
                  <w:r>
                    <w:rPr>
                      <w:spacing w:val="-2"/>
                      <w:sz w:val="21"/>
                    </w:rPr>
                    <w:t>）</w:t>
                  </w:r>
                  <w:r>
                    <w:rPr>
                      <w:spacing w:val="-6"/>
                      <w:sz w:val="21"/>
                    </w:rPr>
                    <w:t>Ⅳ类</w:t>
                  </w:r>
                </w:p>
              </w:tc>
            </w:tr>
          </w:tbl>
          <w:p w14:paraId="0123ABE3">
            <w:pPr>
              <w:ind w:firstLine="480"/>
            </w:pPr>
          </w:p>
        </w:tc>
      </w:tr>
      <w:tr w14:paraId="1BAF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6937581">
            <w:pPr>
              <w:spacing w:line="276" w:lineRule="auto"/>
              <w:ind w:firstLine="0" w:firstLineChars="0"/>
              <w:jc w:val="center"/>
            </w:pPr>
            <w:r>
              <w:t>污染物排放控制标准</w:t>
            </w:r>
          </w:p>
        </w:tc>
        <w:tc>
          <w:tcPr>
            <w:tcW w:w="8363" w:type="dxa"/>
          </w:tcPr>
          <w:p w14:paraId="320F854B">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3.11、</w:t>
            </w:r>
            <w:r>
              <w:rPr>
                <w:rFonts w:hint="eastAsia" w:ascii="Times New Roman" w:hAnsi="Times New Roman" w:eastAsia="宋体"/>
                <w:b/>
                <w:spacing w:val="-4"/>
                <w:sz w:val="24"/>
                <w:lang w:eastAsia="zh-CN"/>
              </w:rPr>
              <w:t>大气污染物排放</w:t>
            </w:r>
            <w:r>
              <w:rPr>
                <w:rFonts w:ascii="Times New Roman" w:hAnsi="Times New Roman" w:eastAsia="宋体"/>
                <w:b/>
                <w:spacing w:val="-4"/>
                <w:sz w:val="24"/>
              </w:rPr>
              <w:t>标准</w:t>
            </w:r>
          </w:p>
          <w:p w14:paraId="21810BB1">
            <w:pPr>
              <w:bidi w:val="0"/>
              <w:rPr>
                <w:b/>
                <w:bCs/>
              </w:rPr>
            </w:pPr>
            <w:r>
              <w:rPr>
                <w:rFonts w:hint="eastAsia"/>
                <w:b/>
                <w:bCs/>
                <w:lang w:eastAsia="zh-CN"/>
              </w:rPr>
              <w:t>（</w:t>
            </w:r>
            <w:r>
              <w:rPr>
                <w:rFonts w:hint="eastAsia"/>
                <w:b/>
                <w:bCs/>
                <w:lang w:val="en-US" w:eastAsia="zh-CN"/>
              </w:rPr>
              <w:t>1</w:t>
            </w:r>
            <w:r>
              <w:rPr>
                <w:rFonts w:hint="eastAsia"/>
                <w:b/>
                <w:bCs/>
                <w:lang w:eastAsia="zh-CN"/>
              </w:rPr>
              <w:t>）</w:t>
            </w:r>
            <w:r>
              <w:rPr>
                <w:b/>
                <w:bCs/>
              </w:rPr>
              <w:t>废气</w:t>
            </w:r>
          </w:p>
          <w:p w14:paraId="229F4364">
            <w:pPr>
              <w:bidi w:val="0"/>
              <w:rPr>
                <w:rFonts w:hint="eastAsia" w:eastAsia="宋体"/>
                <w:lang w:eastAsia="zh-CN"/>
              </w:rPr>
            </w:pPr>
            <w:r>
              <w:t>施工期</w:t>
            </w:r>
            <w:r>
              <w:rPr>
                <w:rFonts w:hint="eastAsia"/>
                <w:lang w:eastAsia="zh-CN"/>
              </w:rPr>
              <w:t>：</w:t>
            </w:r>
          </w:p>
          <w:p w14:paraId="3A0DF79E">
            <w:pPr>
              <w:bidi w:val="0"/>
            </w:pPr>
            <w:r>
              <w:t>废气执行《大气污染物综合排放标准》（GB 16297-1996）中表2无组织排放浓度限值：</w:t>
            </w:r>
          </w:p>
          <w:p w14:paraId="6DA47AAC">
            <w:pPr>
              <w:pStyle w:val="8"/>
              <w:numPr>
                <w:ilvl w:val="5"/>
                <w:numId w:val="0"/>
              </w:numPr>
              <w:bidi w:val="0"/>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表3-5</w:t>
            </w:r>
            <w:r>
              <w:t>大气污染物综合排放标准（摘录）</w:t>
            </w:r>
          </w:p>
          <w:tbl>
            <w:tblPr>
              <w:tblStyle w:val="25"/>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653"/>
              <w:gridCol w:w="2835"/>
              <w:gridCol w:w="2592"/>
            </w:tblGrid>
            <w:tr w14:paraId="78D71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53" w:type="dxa"/>
                  <w:vMerge w:val="restart"/>
                  <w:vAlign w:val="center"/>
                </w:tcPr>
                <w:p w14:paraId="485E82B2">
                  <w:pPr>
                    <w:pStyle w:val="42"/>
                    <w:bidi w:val="0"/>
                  </w:pPr>
                  <w:r>
                    <w:t>污染物</w:t>
                  </w:r>
                </w:p>
              </w:tc>
              <w:tc>
                <w:tcPr>
                  <w:tcW w:w="5427" w:type="dxa"/>
                  <w:gridSpan w:val="2"/>
                  <w:vAlign w:val="center"/>
                </w:tcPr>
                <w:p w14:paraId="3BF54B54">
                  <w:pPr>
                    <w:pStyle w:val="42"/>
                    <w:bidi w:val="0"/>
                  </w:pPr>
                  <w:r>
                    <w:t>无组织排放浓度限值</w:t>
                  </w:r>
                </w:p>
              </w:tc>
            </w:tr>
            <w:tr w14:paraId="1142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53" w:type="dxa"/>
                  <w:vMerge w:val="continue"/>
                  <w:tcBorders>
                    <w:top w:val="nil"/>
                  </w:tcBorders>
                  <w:vAlign w:val="center"/>
                </w:tcPr>
                <w:p w14:paraId="6D26D24B">
                  <w:pPr>
                    <w:pStyle w:val="42"/>
                    <w:bidi w:val="0"/>
                  </w:pPr>
                </w:p>
              </w:tc>
              <w:tc>
                <w:tcPr>
                  <w:tcW w:w="2835" w:type="dxa"/>
                  <w:vAlign w:val="center"/>
                </w:tcPr>
                <w:p w14:paraId="26A709CC">
                  <w:pPr>
                    <w:pStyle w:val="42"/>
                    <w:bidi w:val="0"/>
                  </w:pPr>
                  <w:r>
                    <w:t>监控点</w:t>
                  </w:r>
                </w:p>
              </w:tc>
              <w:tc>
                <w:tcPr>
                  <w:tcW w:w="2592" w:type="dxa"/>
                  <w:vAlign w:val="center"/>
                </w:tcPr>
                <w:p w14:paraId="69AFF6D5">
                  <w:pPr>
                    <w:pStyle w:val="42"/>
                    <w:bidi w:val="0"/>
                  </w:pPr>
                  <w:r>
                    <w:t>浓度（mg/m3）</w:t>
                  </w:r>
                </w:p>
              </w:tc>
            </w:tr>
            <w:tr w14:paraId="4999F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53" w:type="dxa"/>
                  <w:vAlign w:val="center"/>
                </w:tcPr>
                <w:p w14:paraId="46AC37CA">
                  <w:pPr>
                    <w:pStyle w:val="42"/>
                    <w:bidi w:val="0"/>
                  </w:pPr>
                  <w:r>
                    <w:t>颗粒物（其他）</w:t>
                  </w:r>
                </w:p>
              </w:tc>
              <w:tc>
                <w:tcPr>
                  <w:tcW w:w="2835" w:type="dxa"/>
                  <w:vAlign w:val="center"/>
                </w:tcPr>
                <w:p w14:paraId="1E6DB6EB">
                  <w:pPr>
                    <w:pStyle w:val="42"/>
                    <w:bidi w:val="0"/>
                  </w:pPr>
                  <w:r>
                    <w:t>周界外浓度最高点</w:t>
                  </w:r>
                </w:p>
              </w:tc>
              <w:tc>
                <w:tcPr>
                  <w:tcW w:w="2592" w:type="dxa"/>
                  <w:vAlign w:val="center"/>
                </w:tcPr>
                <w:p w14:paraId="1941FB87">
                  <w:pPr>
                    <w:pStyle w:val="42"/>
                    <w:bidi w:val="0"/>
                  </w:pPr>
                  <w:r>
                    <w:t>1.0</w:t>
                  </w:r>
                </w:p>
              </w:tc>
            </w:tr>
          </w:tbl>
          <w:p w14:paraId="6F6ACAE9">
            <w:pPr>
              <w:bidi w:val="0"/>
              <w:rPr>
                <w:rFonts w:hint="eastAsia"/>
                <w:lang w:eastAsia="zh-CN"/>
              </w:rPr>
            </w:pPr>
            <w:r>
              <w:t>营运期</w:t>
            </w:r>
            <w:r>
              <w:rPr>
                <w:rFonts w:hint="eastAsia"/>
                <w:lang w:eastAsia="zh-CN"/>
              </w:rPr>
              <w:t>：</w:t>
            </w:r>
          </w:p>
          <w:p w14:paraId="71B76899">
            <w:pPr>
              <w:bidi w:val="0"/>
            </w:pPr>
            <w:r>
              <w:rPr>
                <w:rFonts w:hint="eastAsia"/>
              </w:rPr>
              <w:t>项目采用蒸汽锅炉，使用</w:t>
            </w:r>
            <w:r>
              <w:rPr>
                <w:rFonts w:hint="eastAsia"/>
                <w:lang w:eastAsia="zh-CN"/>
              </w:rPr>
              <w:t>生物质</w:t>
            </w:r>
            <w:r>
              <w:rPr>
                <w:rFonts w:hint="eastAsia"/>
              </w:rPr>
              <w:t>为燃料。废气中SO</w:t>
            </w:r>
            <w:r>
              <w:rPr>
                <w:rFonts w:hint="eastAsia"/>
                <w:vertAlign w:val="subscript"/>
              </w:rPr>
              <w:t>2</w:t>
            </w:r>
            <w:r>
              <w:rPr>
                <w:rFonts w:hint="eastAsia"/>
              </w:rPr>
              <w:t>、NOx和颗粒物参照执行《锅炉大气污染物排放标准》(GB13271-2014)</w:t>
            </w:r>
            <w:r>
              <w:rPr>
                <w:rFonts w:hint="eastAsia"/>
                <w:lang w:eastAsia="zh-CN"/>
              </w:rPr>
              <w:t>表</w:t>
            </w:r>
            <w:r>
              <w:rPr>
                <w:rFonts w:hint="eastAsia"/>
                <w:lang w:val="en-US" w:eastAsia="zh-CN"/>
              </w:rPr>
              <w:t>2</w:t>
            </w:r>
            <w:r>
              <w:rPr>
                <w:rFonts w:hint="eastAsia"/>
                <w:lang w:eastAsia="zh-CN"/>
              </w:rPr>
              <w:t>燃煤</w:t>
            </w:r>
            <w:r>
              <w:rPr>
                <w:rFonts w:hint="eastAsia"/>
              </w:rPr>
              <w:t>锅炉大气污染物排放限值</w:t>
            </w:r>
            <w:r>
              <w:rPr>
                <w:rFonts w:hint="eastAsia"/>
                <w:lang w:eastAsia="zh-CN"/>
              </w:rPr>
              <w:t>，</w:t>
            </w:r>
            <w:r>
              <w:t>相关标准限值见表3-</w:t>
            </w:r>
            <w:r>
              <w:rPr>
                <w:rFonts w:hint="eastAsia"/>
                <w:lang w:val="en-US" w:eastAsia="zh-CN"/>
              </w:rPr>
              <w:t>6</w:t>
            </w:r>
            <w:r>
              <w:t>。</w:t>
            </w:r>
          </w:p>
          <w:p w14:paraId="7EFA415E">
            <w:pPr>
              <w:pStyle w:val="8"/>
              <w:numPr>
                <w:ilvl w:val="5"/>
                <w:numId w:val="0"/>
              </w:numPr>
              <w:bidi w:val="0"/>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表3-6</w:t>
            </w:r>
            <w:r>
              <w:rPr>
                <w:rFonts w:hint="eastAsia"/>
              </w:rPr>
              <w:t>《锅炉大气污染物排放标准》(GB13271-2014)</w:t>
            </w:r>
            <w:r>
              <w:t>（摘录）</w:t>
            </w:r>
          </w:p>
          <w:tbl>
            <w:tblPr>
              <w:tblStyle w:val="2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67"/>
              <w:gridCol w:w="3665"/>
              <w:gridCol w:w="2070"/>
            </w:tblGrid>
            <w:tr w14:paraId="3F4C4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6" w:type="pct"/>
                  <w:vAlign w:val="center"/>
                </w:tcPr>
                <w:p w14:paraId="58EB7D7F">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lang w:eastAsia="zh-CN"/>
                    </w:rPr>
                  </w:pPr>
                  <w:r>
                    <w:t>污染物</w:t>
                  </w:r>
                  <w:r>
                    <w:rPr>
                      <w:rFonts w:hint="eastAsia"/>
                      <w:lang w:eastAsia="zh-CN"/>
                    </w:rPr>
                    <w:t>项目</w:t>
                  </w:r>
                </w:p>
              </w:tc>
              <w:tc>
                <w:tcPr>
                  <w:tcW w:w="2130" w:type="pct"/>
                  <w:vAlign w:val="center"/>
                </w:tcPr>
                <w:p w14:paraId="0E82274C">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rPr>
                      <w:rFonts w:hint="eastAsia"/>
                      <w:lang w:eastAsia="zh-CN"/>
                    </w:rPr>
                    <w:t>燃气锅炉限值</w:t>
                  </w:r>
                  <w:r>
                    <w:t>（mg/m</w:t>
                  </w:r>
                  <w:r>
                    <w:rPr>
                      <w:vertAlign w:val="superscript"/>
                    </w:rPr>
                    <w:t>3</w:t>
                  </w:r>
                  <w:r>
                    <w:t>）</w:t>
                  </w:r>
                </w:p>
              </w:tc>
              <w:tc>
                <w:tcPr>
                  <w:tcW w:w="1203" w:type="pct"/>
                  <w:vAlign w:val="center"/>
                </w:tcPr>
                <w:p w14:paraId="2E27B1F7">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污染物排放监</w:t>
                  </w:r>
                </w:p>
                <w:p w14:paraId="5CAF2A59">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控位置</w:t>
                  </w:r>
                </w:p>
              </w:tc>
            </w:tr>
            <w:tr w14:paraId="11F7B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66" w:type="pct"/>
                  <w:vAlign w:val="center"/>
                </w:tcPr>
                <w:p w14:paraId="4B200DC6">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lang w:eastAsia="zh-CN"/>
                    </w:rPr>
                  </w:pPr>
                  <w:r>
                    <w:rPr>
                      <w:rFonts w:hint="eastAsia"/>
                      <w:lang w:eastAsia="zh-CN"/>
                    </w:rPr>
                    <w:t>颗粒物</w:t>
                  </w:r>
                </w:p>
              </w:tc>
              <w:tc>
                <w:tcPr>
                  <w:tcW w:w="2130" w:type="pct"/>
                  <w:vAlign w:val="center"/>
                </w:tcPr>
                <w:p w14:paraId="0567919F">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lang w:val="en-US" w:eastAsia="zh-CN"/>
                    </w:rPr>
                  </w:pPr>
                  <w:r>
                    <w:rPr>
                      <w:rFonts w:hint="eastAsia"/>
                      <w:lang w:val="en-US" w:eastAsia="zh-CN"/>
                    </w:rPr>
                    <w:t>50</w:t>
                  </w:r>
                </w:p>
              </w:tc>
              <w:tc>
                <w:tcPr>
                  <w:tcW w:w="1203" w:type="pct"/>
                  <w:vMerge w:val="restart"/>
                  <w:vAlign w:val="center"/>
                </w:tcPr>
                <w:p w14:paraId="5C8A2DCC">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lang w:eastAsia="zh-CN"/>
                    </w:rPr>
                  </w:pPr>
                  <w:r>
                    <w:rPr>
                      <w:rFonts w:hint="eastAsia"/>
                      <w:lang w:eastAsia="zh-CN"/>
                    </w:rPr>
                    <w:t>烟囱或烟道</w:t>
                  </w:r>
                </w:p>
              </w:tc>
            </w:tr>
            <w:tr w14:paraId="33451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66" w:type="pct"/>
                  <w:vAlign w:val="center"/>
                </w:tcPr>
                <w:p w14:paraId="2B7FEFAB">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lang w:eastAsia="zh-CN"/>
                    </w:rPr>
                  </w:pPr>
                  <w:r>
                    <w:rPr>
                      <w:rFonts w:hint="eastAsia"/>
                    </w:rPr>
                    <w:t>SO</w:t>
                  </w:r>
                  <w:r>
                    <w:rPr>
                      <w:rFonts w:hint="eastAsia"/>
                      <w:vertAlign w:val="subscript"/>
                    </w:rPr>
                    <w:t>2</w:t>
                  </w:r>
                </w:p>
              </w:tc>
              <w:tc>
                <w:tcPr>
                  <w:tcW w:w="2130" w:type="pct"/>
                  <w:vAlign w:val="center"/>
                </w:tcPr>
                <w:p w14:paraId="5AB05FC7">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lang w:val="en-US" w:eastAsia="zh-CN"/>
                    </w:rPr>
                  </w:pPr>
                  <w:r>
                    <w:rPr>
                      <w:rFonts w:hint="eastAsia"/>
                      <w:lang w:val="en-US" w:eastAsia="zh-CN"/>
                    </w:rPr>
                    <w:t>300</w:t>
                  </w:r>
                </w:p>
              </w:tc>
              <w:tc>
                <w:tcPr>
                  <w:tcW w:w="1203" w:type="pct"/>
                  <w:vMerge w:val="continue"/>
                  <w:vAlign w:val="center"/>
                </w:tcPr>
                <w:p w14:paraId="12F83C10">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r>
            <w:tr w14:paraId="36208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66" w:type="pct"/>
                  <w:vAlign w:val="center"/>
                </w:tcPr>
                <w:p w14:paraId="0D12F852">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lang w:eastAsia="zh-CN"/>
                    </w:rPr>
                  </w:pPr>
                  <w:r>
                    <w:rPr>
                      <w:rFonts w:hint="eastAsia"/>
                    </w:rPr>
                    <w:t>NOx</w:t>
                  </w:r>
                </w:p>
              </w:tc>
              <w:tc>
                <w:tcPr>
                  <w:tcW w:w="2130" w:type="pct"/>
                  <w:vAlign w:val="center"/>
                </w:tcPr>
                <w:p w14:paraId="0A9D12C6">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lang w:val="en-US" w:eastAsia="zh-CN"/>
                    </w:rPr>
                  </w:pPr>
                  <w:r>
                    <w:rPr>
                      <w:rFonts w:hint="eastAsia"/>
                      <w:lang w:val="en-US" w:eastAsia="zh-CN"/>
                    </w:rPr>
                    <w:t>300</w:t>
                  </w:r>
                </w:p>
              </w:tc>
              <w:tc>
                <w:tcPr>
                  <w:tcW w:w="1203" w:type="pct"/>
                  <w:vMerge w:val="continue"/>
                  <w:vAlign w:val="center"/>
                </w:tcPr>
                <w:p w14:paraId="5F727E18">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r>
            <w:tr w14:paraId="19749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66" w:type="pct"/>
                  <w:vAlign w:val="center"/>
                </w:tcPr>
                <w:p w14:paraId="24D698DC">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lang w:eastAsia="zh-CN"/>
                    </w:rPr>
                  </w:pPr>
                  <w:r>
                    <w:rPr>
                      <w:rFonts w:hint="eastAsia"/>
                      <w:lang w:eastAsia="zh-CN"/>
                    </w:rPr>
                    <w:t>烟气黑度(林格曼黑</w:t>
                  </w:r>
                </w:p>
                <w:p w14:paraId="2F6C221E">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lang w:eastAsia="zh-CN"/>
                    </w:rPr>
                  </w:pPr>
                  <w:r>
                    <w:rPr>
                      <w:rFonts w:hint="eastAsia"/>
                      <w:lang w:eastAsia="zh-CN"/>
                    </w:rPr>
                    <w:t>度，级)</w:t>
                  </w:r>
                </w:p>
              </w:tc>
              <w:tc>
                <w:tcPr>
                  <w:tcW w:w="2130" w:type="pct"/>
                  <w:vAlign w:val="center"/>
                </w:tcPr>
                <w:p w14:paraId="42964AB7">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lang w:val="en-US" w:eastAsia="zh-CN"/>
                    </w:rPr>
                  </w:pPr>
                  <w:r>
                    <w:rPr>
                      <w:rFonts w:hint="default"/>
                    </w:rPr>
                    <w:t>≤</w:t>
                  </w:r>
                  <w:r>
                    <w:rPr>
                      <w:rFonts w:hint="eastAsia"/>
                      <w:lang w:val="en-US" w:eastAsia="zh-CN"/>
                    </w:rPr>
                    <w:t>1</w:t>
                  </w:r>
                </w:p>
              </w:tc>
              <w:tc>
                <w:tcPr>
                  <w:tcW w:w="1203" w:type="pct"/>
                  <w:vAlign w:val="center"/>
                </w:tcPr>
                <w:p w14:paraId="4A1ECF4C">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rPr>
                      <w:rFonts w:hint="eastAsia"/>
                      <w:lang w:eastAsia="zh-CN"/>
                    </w:rPr>
                    <w:t>烟囱排放口</w:t>
                  </w:r>
                </w:p>
              </w:tc>
            </w:tr>
          </w:tbl>
          <w:p w14:paraId="5A0FE964">
            <w:pPr>
              <w:bidi w:val="0"/>
            </w:pPr>
            <w:r>
              <w:rPr>
                <w:rFonts w:hint="eastAsia"/>
              </w:rPr>
              <w:t>项目恶臭气体排放执行《恶臭污染物排放标准》(GB14554-93)中相关标准</w:t>
            </w:r>
            <w:r>
              <w:rPr>
                <w:rFonts w:hint="eastAsia"/>
                <w:lang w:eastAsia="zh-CN"/>
              </w:rPr>
              <w:t>，</w:t>
            </w:r>
            <w:r>
              <w:t>相关标准限值见表3-</w:t>
            </w:r>
            <w:r>
              <w:rPr>
                <w:rFonts w:hint="eastAsia"/>
                <w:lang w:val="en-US" w:eastAsia="zh-CN"/>
              </w:rPr>
              <w:t>7</w:t>
            </w:r>
            <w:r>
              <w:t>。</w:t>
            </w:r>
          </w:p>
          <w:p w14:paraId="156F602F">
            <w:pPr>
              <w:pStyle w:val="8"/>
              <w:numPr>
                <w:ilvl w:val="5"/>
                <w:numId w:val="0"/>
              </w:numPr>
              <w:bidi w:val="0"/>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表3-7</w:t>
            </w:r>
            <w:r>
              <w:t>《恶臭污染物排放标准》（GB</w:t>
            </w:r>
            <w:r>
              <w:rPr>
                <w:rFonts w:hint="eastAsia"/>
                <w:lang w:eastAsia="zh-CN"/>
              </w:rPr>
              <w:t>14554-93</w:t>
            </w:r>
            <w:r>
              <w:t>）（摘录）</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0"/>
              <w:gridCol w:w="2714"/>
              <w:gridCol w:w="2713"/>
            </w:tblGrid>
            <w:tr w14:paraId="5A20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7" w:type="dxa"/>
                  <w:gridSpan w:val="3"/>
                  <w:vAlign w:val="center"/>
                </w:tcPr>
                <w:p w14:paraId="3662598F">
                  <w:pPr>
                    <w:pStyle w:val="42"/>
                    <w:bidi w:val="0"/>
                    <w:jc w:val="center"/>
                    <w:rPr>
                      <w:rFonts w:hint="eastAsia"/>
                      <w:lang w:eastAsia="zh-CN"/>
                    </w:rPr>
                  </w:pPr>
                  <w:r>
                    <w:rPr>
                      <w:rFonts w:hint="eastAsia"/>
                      <w:lang w:eastAsia="zh-CN"/>
                    </w:rPr>
                    <w:t>恶臭污染物有组织排放</w:t>
                  </w:r>
                </w:p>
              </w:tc>
            </w:tr>
            <w:tr w14:paraId="4CD9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0" w:type="dxa"/>
                  <w:vAlign w:val="center"/>
                </w:tcPr>
                <w:p w14:paraId="5E1A1576">
                  <w:pPr>
                    <w:pStyle w:val="42"/>
                    <w:bidi w:val="0"/>
                    <w:jc w:val="center"/>
                    <w:rPr>
                      <w:rFonts w:hint="eastAsia" w:eastAsia="宋体"/>
                      <w:lang w:eastAsia="zh-CN"/>
                    </w:rPr>
                  </w:pPr>
                  <w:r>
                    <w:rPr>
                      <w:rFonts w:hint="eastAsia"/>
                      <w:lang w:eastAsia="zh-CN"/>
                    </w:rPr>
                    <w:t>控制项目</w:t>
                  </w:r>
                </w:p>
              </w:tc>
              <w:tc>
                <w:tcPr>
                  <w:tcW w:w="2714" w:type="dxa"/>
                  <w:vAlign w:val="center"/>
                </w:tcPr>
                <w:p w14:paraId="6123B0FA">
                  <w:pPr>
                    <w:pStyle w:val="42"/>
                    <w:bidi w:val="0"/>
                    <w:jc w:val="center"/>
                    <w:rPr>
                      <w:rFonts w:hint="eastAsia" w:eastAsia="宋体"/>
                      <w:lang w:eastAsia="zh-CN"/>
                    </w:rPr>
                  </w:pPr>
                  <w:r>
                    <w:rPr>
                      <w:rFonts w:hint="eastAsia"/>
                      <w:lang w:eastAsia="zh-CN"/>
                    </w:rPr>
                    <w:t>排气筒高度</w:t>
                  </w:r>
                </w:p>
              </w:tc>
              <w:tc>
                <w:tcPr>
                  <w:tcW w:w="2713" w:type="dxa"/>
                  <w:vAlign w:val="center"/>
                </w:tcPr>
                <w:p w14:paraId="444F3BB2">
                  <w:pPr>
                    <w:pStyle w:val="42"/>
                    <w:bidi w:val="0"/>
                    <w:jc w:val="center"/>
                  </w:pPr>
                  <w:r>
                    <w:rPr>
                      <w:rFonts w:hint="eastAsia"/>
                    </w:rPr>
                    <w:t>最高排放速率(kg/h)</w:t>
                  </w:r>
                </w:p>
              </w:tc>
            </w:tr>
            <w:tr w14:paraId="4844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0" w:type="dxa"/>
                  <w:vMerge w:val="restart"/>
                  <w:vAlign w:val="center"/>
                </w:tcPr>
                <w:p w14:paraId="6AF52B50">
                  <w:pPr>
                    <w:pStyle w:val="42"/>
                    <w:bidi w:val="0"/>
                    <w:jc w:val="center"/>
                    <w:rPr>
                      <w:rFonts w:hint="eastAsia" w:eastAsia="宋体"/>
                      <w:lang w:eastAsia="zh-CN"/>
                    </w:rPr>
                  </w:pPr>
                  <w:r>
                    <w:rPr>
                      <w:rFonts w:hint="eastAsia"/>
                      <w:lang w:eastAsia="zh-CN"/>
                    </w:rPr>
                    <w:t>氨气</w:t>
                  </w:r>
                </w:p>
              </w:tc>
              <w:tc>
                <w:tcPr>
                  <w:tcW w:w="2714" w:type="dxa"/>
                  <w:vAlign w:val="center"/>
                </w:tcPr>
                <w:p w14:paraId="5E6F8A62">
                  <w:pPr>
                    <w:pStyle w:val="42"/>
                    <w:bidi w:val="0"/>
                    <w:jc w:val="center"/>
                    <w:rPr>
                      <w:rFonts w:hint="default" w:eastAsia="宋体"/>
                      <w:lang w:val="en-US" w:eastAsia="zh-CN"/>
                    </w:rPr>
                  </w:pPr>
                  <w:r>
                    <w:rPr>
                      <w:rFonts w:hint="eastAsia"/>
                      <w:lang w:val="en-US" w:eastAsia="zh-CN"/>
                    </w:rPr>
                    <w:t>20</w:t>
                  </w:r>
                </w:p>
              </w:tc>
              <w:tc>
                <w:tcPr>
                  <w:tcW w:w="2713" w:type="dxa"/>
                  <w:vAlign w:val="center"/>
                </w:tcPr>
                <w:p w14:paraId="364A1B0A">
                  <w:pPr>
                    <w:pStyle w:val="42"/>
                    <w:bidi w:val="0"/>
                    <w:jc w:val="center"/>
                    <w:rPr>
                      <w:rFonts w:hint="default" w:eastAsia="宋体"/>
                      <w:lang w:val="en-US" w:eastAsia="zh-CN"/>
                    </w:rPr>
                  </w:pPr>
                  <w:r>
                    <w:rPr>
                      <w:rFonts w:hint="eastAsia"/>
                      <w:lang w:val="en-US" w:eastAsia="zh-CN"/>
                    </w:rPr>
                    <w:t>8.7</w:t>
                  </w:r>
                </w:p>
              </w:tc>
            </w:tr>
            <w:tr w14:paraId="30A1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0" w:type="dxa"/>
                  <w:vMerge w:val="continue"/>
                  <w:vAlign w:val="center"/>
                </w:tcPr>
                <w:p w14:paraId="454F4136">
                  <w:pPr>
                    <w:pStyle w:val="42"/>
                    <w:bidi w:val="0"/>
                    <w:jc w:val="center"/>
                    <w:rPr>
                      <w:rFonts w:hint="eastAsia"/>
                      <w:lang w:eastAsia="zh-CN"/>
                    </w:rPr>
                  </w:pPr>
                </w:p>
              </w:tc>
              <w:tc>
                <w:tcPr>
                  <w:tcW w:w="2714" w:type="dxa"/>
                  <w:vAlign w:val="center"/>
                </w:tcPr>
                <w:p w14:paraId="384FA3AE">
                  <w:pPr>
                    <w:pStyle w:val="42"/>
                    <w:bidi w:val="0"/>
                    <w:jc w:val="center"/>
                    <w:rPr>
                      <w:rFonts w:hint="default"/>
                      <w:lang w:val="en-US" w:eastAsia="zh-CN"/>
                    </w:rPr>
                  </w:pPr>
                  <w:r>
                    <w:rPr>
                      <w:rFonts w:hint="eastAsia"/>
                      <w:lang w:val="en-US" w:eastAsia="zh-CN"/>
                    </w:rPr>
                    <w:t>15</w:t>
                  </w:r>
                </w:p>
              </w:tc>
              <w:tc>
                <w:tcPr>
                  <w:tcW w:w="2713" w:type="dxa"/>
                  <w:vAlign w:val="center"/>
                </w:tcPr>
                <w:p w14:paraId="48B3B573">
                  <w:pPr>
                    <w:pStyle w:val="42"/>
                    <w:bidi w:val="0"/>
                    <w:jc w:val="center"/>
                    <w:rPr>
                      <w:rFonts w:hint="default"/>
                      <w:lang w:val="en-US" w:eastAsia="zh-CN"/>
                    </w:rPr>
                  </w:pPr>
                  <w:r>
                    <w:rPr>
                      <w:rFonts w:hint="eastAsia"/>
                      <w:lang w:val="en-US" w:eastAsia="zh-CN"/>
                    </w:rPr>
                    <w:t>4..9</w:t>
                  </w:r>
                </w:p>
              </w:tc>
            </w:tr>
            <w:tr w14:paraId="3156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0" w:type="dxa"/>
                  <w:vMerge w:val="restart"/>
                  <w:vAlign w:val="center"/>
                </w:tcPr>
                <w:p w14:paraId="6C4ECF52">
                  <w:pPr>
                    <w:pStyle w:val="42"/>
                    <w:bidi w:val="0"/>
                    <w:jc w:val="center"/>
                    <w:rPr>
                      <w:rFonts w:hint="eastAsia" w:eastAsia="宋体"/>
                      <w:lang w:eastAsia="zh-CN"/>
                    </w:rPr>
                  </w:pPr>
                  <w:r>
                    <w:rPr>
                      <w:rFonts w:hint="eastAsia"/>
                      <w:lang w:eastAsia="zh-CN"/>
                    </w:rPr>
                    <w:t>硫化氢</w:t>
                  </w:r>
                </w:p>
              </w:tc>
              <w:tc>
                <w:tcPr>
                  <w:tcW w:w="2714" w:type="dxa"/>
                  <w:vAlign w:val="center"/>
                </w:tcPr>
                <w:p w14:paraId="24306629">
                  <w:pPr>
                    <w:pStyle w:val="42"/>
                    <w:bidi w:val="0"/>
                    <w:jc w:val="center"/>
                    <w:rPr>
                      <w:rFonts w:hint="default" w:eastAsia="宋体"/>
                      <w:lang w:val="en-US" w:eastAsia="zh-CN"/>
                    </w:rPr>
                  </w:pPr>
                  <w:r>
                    <w:rPr>
                      <w:rFonts w:hint="eastAsia"/>
                      <w:lang w:val="en-US" w:eastAsia="zh-CN"/>
                    </w:rPr>
                    <w:t>20</w:t>
                  </w:r>
                </w:p>
              </w:tc>
              <w:tc>
                <w:tcPr>
                  <w:tcW w:w="2713" w:type="dxa"/>
                  <w:vAlign w:val="center"/>
                </w:tcPr>
                <w:p w14:paraId="5445F297">
                  <w:pPr>
                    <w:pStyle w:val="42"/>
                    <w:bidi w:val="0"/>
                    <w:jc w:val="center"/>
                    <w:rPr>
                      <w:rFonts w:hint="default" w:eastAsia="宋体"/>
                      <w:lang w:val="en-US" w:eastAsia="zh-CN"/>
                    </w:rPr>
                  </w:pPr>
                  <w:r>
                    <w:rPr>
                      <w:rFonts w:hint="eastAsia"/>
                      <w:lang w:val="en-US" w:eastAsia="zh-CN"/>
                    </w:rPr>
                    <w:t>0.58</w:t>
                  </w:r>
                </w:p>
              </w:tc>
            </w:tr>
            <w:tr w14:paraId="2B8E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0" w:type="dxa"/>
                  <w:vMerge w:val="continue"/>
                  <w:vAlign w:val="center"/>
                </w:tcPr>
                <w:p w14:paraId="585D9A36">
                  <w:pPr>
                    <w:pStyle w:val="42"/>
                    <w:bidi w:val="0"/>
                    <w:jc w:val="center"/>
                    <w:rPr>
                      <w:rFonts w:hint="eastAsia"/>
                      <w:lang w:eastAsia="zh-CN"/>
                    </w:rPr>
                  </w:pPr>
                </w:p>
              </w:tc>
              <w:tc>
                <w:tcPr>
                  <w:tcW w:w="2714" w:type="dxa"/>
                  <w:vAlign w:val="center"/>
                </w:tcPr>
                <w:p w14:paraId="1D803CED">
                  <w:pPr>
                    <w:pStyle w:val="42"/>
                    <w:bidi w:val="0"/>
                    <w:jc w:val="center"/>
                    <w:rPr>
                      <w:rFonts w:hint="default"/>
                      <w:lang w:val="en-US" w:eastAsia="zh-CN"/>
                    </w:rPr>
                  </w:pPr>
                  <w:r>
                    <w:rPr>
                      <w:rFonts w:hint="eastAsia"/>
                      <w:lang w:val="en-US" w:eastAsia="zh-CN"/>
                    </w:rPr>
                    <w:t>15</w:t>
                  </w:r>
                </w:p>
              </w:tc>
              <w:tc>
                <w:tcPr>
                  <w:tcW w:w="2713" w:type="dxa"/>
                  <w:vAlign w:val="center"/>
                </w:tcPr>
                <w:p w14:paraId="6DA683AA">
                  <w:pPr>
                    <w:pStyle w:val="42"/>
                    <w:bidi w:val="0"/>
                    <w:jc w:val="center"/>
                    <w:rPr>
                      <w:rFonts w:hint="default"/>
                      <w:lang w:val="en-US" w:eastAsia="zh-CN"/>
                    </w:rPr>
                  </w:pPr>
                  <w:r>
                    <w:rPr>
                      <w:rFonts w:hint="eastAsia"/>
                      <w:lang w:val="en-US" w:eastAsia="zh-CN"/>
                    </w:rPr>
                    <w:t>0.33</w:t>
                  </w:r>
                </w:p>
              </w:tc>
            </w:tr>
            <w:tr w14:paraId="23A9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0" w:type="dxa"/>
                  <w:vMerge w:val="restart"/>
                  <w:vAlign w:val="center"/>
                </w:tcPr>
                <w:p w14:paraId="08BDBC11">
                  <w:pPr>
                    <w:pStyle w:val="42"/>
                    <w:bidi w:val="0"/>
                    <w:jc w:val="center"/>
                    <w:rPr>
                      <w:rFonts w:hint="eastAsia"/>
                      <w:lang w:eastAsia="zh-CN"/>
                    </w:rPr>
                  </w:pPr>
                  <w:r>
                    <w:rPr>
                      <w:rFonts w:hint="eastAsia"/>
                      <w:lang w:eastAsia="zh-CN"/>
                    </w:rPr>
                    <w:t>臭气浓度</w:t>
                  </w:r>
                </w:p>
              </w:tc>
              <w:tc>
                <w:tcPr>
                  <w:tcW w:w="2714" w:type="dxa"/>
                  <w:vAlign w:val="center"/>
                </w:tcPr>
                <w:p w14:paraId="4E790745">
                  <w:pPr>
                    <w:pStyle w:val="42"/>
                    <w:bidi w:val="0"/>
                    <w:ind w:firstLine="0" w:firstLineChars="0"/>
                    <w:jc w:val="center"/>
                    <w:rPr>
                      <w:rFonts w:hint="eastAsia"/>
                      <w:lang w:val="en-US" w:eastAsia="zh-CN"/>
                    </w:rPr>
                  </w:pPr>
                  <w:r>
                    <w:rPr>
                      <w:rFonts w:hint="eastAsia"/>
                      <w:lang w:val="en-US" w:eastAsia="zh-CN"/>
                    </w:rPr>
                    <w:t>20</w:t>
                  </w:r>
                </w:p>
              </w:tc>
              <w:tc>
                <w:tcPr>
                  <w:tcW w:w="2713" w:type="dxa"/>
                  <w:vAlign w:val="center"/>
                </w:tcPr>
                <w:p w14:paraId="18D004AC">
                  <w:pPr>
                    <w:pStyle w:val="42"/>
                    <w:bidi w:val="0"/>
                    <w:jc w:val="center"/>
                    <w:rPr>
                      <w:rFonts w:hint="default"/>
                      <w:lang w:val="en-US" w:eastAsia="zh-CN"/>
                    </w:rPr>
                  </w:pPr>
                  <w:r>
                    <w:rPr>
                      <w:rFonts w:hint="eastAsia"/>
                      <w:lang w:val="en-US" w:eastAsia="zh-CN"/>
                    </w:rPr>
                    <w:t>2000</w:t>
                  </w:r>
                </w:p>
              </w:tc>
            </w:tr>
            <w:tr w14:paraId="4482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0" w:type="dxa"/>
                  <w:vMerge w:val="continue"/>
                  <w:vAlign w:val="center"/>
                </w:tcPr>
                <w:p w14:paraId="685F3937">
                  <w:pPr>
                    <w:pStyle w:val="42"/>
                    <w:bidi w:val="0"/>
                    <w:jc w:val="center"/>
                    <w:rPr>
                      <w:rFonts w:hint="eastAsia"/>
                      <w:lang w:eastAsia="zh-CN"/>
                    </w:rPr>
                  </w:pPr>
                </w:p>
              </w:tc>
              <w:tc>
                <w:tcPr>
                  <w:tcW w:w="2714" w:type="dxa"/>
                  <w:vAlign w:val="center"/>
                </w:tcPr>
                <w:p w14:paraId="24BD6B1E">
                  <w:pPr>
                    <w:pStyle w:val="42"/>
                    <w:bidi w:val="0"/>
                    <w:ind w:firstLine="0" w:firstLineChars="0"/>
                    <w:jc w:val="center"/>
                    <w:rPr>
                      <w:rFonts w:hint="eastAsia"/>
                      <w:lang w:val="en-US" w:eastAsia="zh-CN"/>
                    </w:rPr>
                  </w:pPr>
                  <w:r>
                    <w:rPr>
                      <w:rFonts w:hint="eastAsia"/>
                      <w:lang w:val="en-US" w:eastAsia="zh-CN"/>
                    </w:rPr>
                    <w:t>15</w:t>
                  </w:r>
                </w:p>
              </w:tc>
              <w:tc>
                <w:tcPr>
                  <w:tcW w:w="2713" w:type="dxa"/>
                  <w:vAlign w:val="center"/>
                </w:tcPr>
                <w:p w14:paraId="43592EA3">
                  <w:pPr>
                    <w:pStyle w:val="42"/>
                    <w:bidi w:val="0"/>
                    <w:jc w:val="center"/>
                    <w:rPr>
                      <w:rFonts w:hint="eastAsia"/>
                      <w:lang w:val="en-US" w:eastAsia="zh-CN"/>
                    </w:rPr>
                  </w:pPr>
                  <w:r>
                    <w:rPr>
                      <w:rFonts w:hint="eastAsia"/>
                      <w:lang w:val="en-US" w:eastAsia="zh-CN"/>
                    </w:rPr>
                    <w:t>2000</w:t>
                  </w:r>
                </w:p>
              </w:tc>
            </w:tr>
            <w:tr w14:paraId="0E71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7" w:type="dxa"/>
                  <w:gridSpan w:val="3"/>
                  <w:vAlign w:val="center"/>
                </w:tcPr>
                <w:p w14:paraId="28D368E6">
                  <w:pPr>
                    <w:pStyle w:val="42"/>
                    <w:bidi w:val="0"/>
                    <w:jc w:val="center"/>
                  </w:pPr>
                  <w:r>
                    <w:rPr>
                      <w:rFonts w:hint="eastAsia"/>
                      <w:lang w:eastAsia="zh-CN"/>
                    </w:rPr>
                    <w:t>恶臭污染物无组织排放</w:t>
                  </w:r>
                </w:p>
              </w:tc>
            </w:tr>
            <w:tr w14:paraId="79DC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0" w:type="dxa"/>
                  <w:vAlign w:val="center"/>
                </w:tcPr>
                <w:p w14:paraId="6072CBA3">
                  <w:pPr>
                    <w:pStyle w:val="42"/>
                    <w:bidi w:val="0"/>
                    <w:jc w:val="center"/>
                  </w:pPr>
                  <w:r>
                    <w:rPr>
                      <w:rFonts w:hint="eastAsia"/>
                      <w:lang w:eastAsia="zh-CN"/>
                    </w:rPr>
                    <w:t>控制项目</w:t>
                  </w:r>
                </w:p>
              </w:tc>
              <w:tc>
                <w:tcPr>
                  <w:tcW w:w="2714" w:type="dxa"/>
                  <w:vAlign w:val="center"/>
                </w:tcPr>
                <w:p w14:paraId="6B4CAFF7">
                  <w:pPr>
                    <w:pStyle w:val="42"/>
                    <w:bidi w:val="0"/>
                    <w:jc w:val="center"/>
                    <w:rPr>
                      <w:rFonts w:hint="eastAsia" w:eastAsia="宋体"/>
                      <w:lang w:eastAsia="zh-CN"/>
                    </w:rPr>
                  </w:pPr>
                  <w:r>
                    <w:rPr>
                      <w:rFonts w:hint="eastAsia"/>
                      <w:lang w:eastAsia="zh-CN"/>
                    </w:rPr>
                    <w:t>单位</w:t>
                  </w:r>
                </w:p>
              </w:tc>
              <w:tc>
                <w:tcPr>
                  <w:tcW w:w="2713" w:type="dxa"/>
                  <w:vAlign w:val="center"/>
                </w:tcPr>
                <w:p w14:paraId="758FD4C7">
                  <w:pPr>
                    <w:pStyle w:val="42"/>
                    <w:bidi w:val="0"/>
                    <w:jc w:val="center"/>
                    <w:rPr>
                      <w:rFonts w:hint="eastAsia" w:eastAsia="宋体"/>
                      <w:lang w:eastAsia="zh-CN"/>
                    </w:rPr>
                  </w:pPr>
                  <w:r>
                    <w:rPr>
                      <w:rFonts w:hint="eastAsia"/>
                      <w:lang w:eastAsia="zh-CN"/>
                    </w:rPr>
                    <w:t>厂界标准限值</w:t>
                  </w:r>
                </w:p>
              </w:tc>
            </w:tr>
            <w:tr w14:paraId="7D46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0" w:type="dxa"/>
                  <w:vAlign w:val="center"/>
                </w:tcPr>
                <w:p w14:paraId="13962BED">
                  <w:pPr>
                    <w:pStyle w:val="42"/>
                    <w:bidi w:val="0"/>
                    <w:ind w:firstLine="0" w:firstLineChars="0"/>
                    <w:jc w:val="center"/>
                  </w:pPr>
                  <w:r>
                    <w:rPr>
                      <w:rFonts w:hint="eastAsia"/>
                      <w:lang w:eastAsia="zh-CN"/>
                    </w:rPr>
                    <w:t>氨气</w:t>
                  </w:r>
                </w:p>
              </w:tc>
              <w:tc>
                <w:tcPr>
                  <w:tcW w:w="2714" w:type="dxa"/>
                  <w:vAlign w:val="center"/>
                </w:tcPr>
                <w:p w14:paraId="7B2FCF5D">
                  <w:pPr>
                    <w:pStyle w:val="42"/>
                    <w:bidi w:val="0"/>
                    <w:jc w:val="center"/>
                  </w:pPr>
                  <w:r>
                    <w:t>mg/m</w:t>
                  </w:r>
                  <w:r>
                    <w:rPr>
                      <w:vertAlign w:val="superscript"/>
                    </w:rPr>
                    <w:t>3</w:t>
                  </w:r>
                </w:p>
              </w:tc>
              <w:tc>
                <w:tcPr>
                  <w:tcW w:w="2713" w:type="dxa"/>
                  <w:vAlign w:val="center"/>
                </w:tcPr>
                <w:p w14:paraId="36D0105B">
                  <w:pPr>
                    <w:pStyle w:val="42"/>
                    <w:bidi w:val="0"/>
                    <w:jc w:val="center"/>
                    <w:rPr>
                      <w:rFonts w:hint="default" w:eastAsia="宋体"/>
                      <w:lang w:val="en-US" w:eastAsia="zh-CN"/>
                    </w:rPr>
                  </w:pPr>
                  <w:r>
                    <w:rPr>
                      <w:rFonts w:hint="eastAsia"/>
                      <w:lang w:val="en-US" w:eastAsia="zh-CN"/>
                    </w:rPr>
                    <w:t>1.5</w:t>
                  </w:r>
                </w:p>
              </w:tc>
            </w:tr>
            <w:tr w14:paraId="4C0C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0" w:type="dxa"/>
                  <w:vAlign w:val="center"/>
                </w:tcPr>
                <w:p w14:paraId="52132248">
                  <w:pPr>
                    <w:pStyle w:val="42"/>
                    <w:bidi w:val="0"/>
                    <w:ind w:firstLine="0" w:firstLineChars="0"/>
                    <w:jc w:val="center"/>
                  </w:pPr>
                  <w:r>
                    <w:rPr>
                      <w:rFonts w:hint="eastAsia"/>
                      <w:lang w:eastAsia="zh-CN"/>
                    </w:rPr>
                    <w:t>硫化氢</w:t>
                  </w:r>
                </w:p>
              </w:tc>
              <w:tc>
                <w:tcPr>
                  <w:tcW w:w="2714" w:type="dxa"/>
                  <w:vAlign w:val="center"/>
                </w:tcPr>
                <w:p w14:paraId="384F8267">
                  <w:pPr>
                    <w:pStyle w:val="42"/>
                    <w:bidi w:val="0"/>
                    <w:jc w:val="center"/>
                  </w:pPr>
                  <w:r>
                    <w:t>mg/m</w:t>
                  </w:r>
                  <w:r>
                    <w:rPr>
                      <w:vertAlign w:val="superscript"/>
                    </w:rPr>
                    <w:t>3</w:t>
                  </w:r>
                </w:p>
              </w:tc>
              <w:tc>
                <w:tcPr>
                  <w:tcW w:w="2713" w:type="dxa"/>
                  <w:vAlign w:val="center"/>
                </w:tcPr>
                <w:p w14:paraId="042A4B29">
                  <w:pPr>
                    <w:pStyle w:val="42"/>
                    <w:bidi w:val="0"/>
                    <w:jc w:val="center"/>
                    <w:rPr>
                      <w:rFonts w:hint="default" w:eastAsia="宋体"/>
                      <w:lang w:val="en-US" w:eastAsia="zh-CN"/>
                    </w:rPr>
                  </w:pPr>
                  <w:r>
                    <w:rPr>
                      <w:rFonts w:hint="eastAsia"/>
                      <w:lang w:val="en-US" w:eastAsia="zh-CN"/>
                    </w:rPr>
                    <w:t>0.06</w:t>
                  </w:r>
                </w:p>
              </w:tc>
            </w:tr>
            <w:tr w14:paraId="5655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0" w:type="dxa"/>
                  <w:vAlign w:val="center"/>
                </w:tcPr>
                <w:p w14:paraId="259B7372">
                  <w:pPr>
                    <w:pStyle w:val="42"/>
                    <w:bidi w:val="0"/>
                    <w:jc w:val="center"/>
                    <w:rPr>
                      <w:rFonts w:hint="eastAsia" w:eastAsia="宋体"/>
                      <w:lang w:eastAsia="zh-CN"/>
                    </w:rPr>
                  </w:pPr>
                  <w:r>
                    <w:rPr>
                      <w:rFonts w:hint="eastAsia"/>
                      <w:lang w:eastAsia="zh-CN"/>
                    </w:rPr>
                    <w:t>臭气浓度</w:t>
                  </w:r>
                </w:p>
              </w:tc>
              <w:tc>
                <w:tcPr>
                  <w:tcW w:w="2714" w:type="dxa"/>
                  <w:vAlign w:val="center"/>
                </w:tcPr>
                <w:p w14:paraId="0702BE08">
                  <w:pPr>
                    <w:pStyle w:val="42"/>
                    <w:bidi w:val="0"/>
                    <w:jc w:val="center"/>
                    <w:rPr>
                      <w:rFonts w:hint="eastAsia" w:eastAsia="宋体"/>
                      <w:lang w:eastAsia="zh-CN"/>
                    </w:rPr>
                  </w:pPr>
                  <w:r>
                    <w:rPr>
                      <w:rFonts w:hint="eastAsia"/>
                      <w:lang w:eastAsia="zh-CN"/>
                    </w:rPr>
                    <w:t>无量纲</w:t>
                  </w:r>
                </w:p>
              </w:tc>
              <w:tc>
                <w:tcPr>
                  <w:tcW w:w="2713" w:type="dxa"/>
                  <w:vAlign w:val="center"/>
                </w:tcPr>
                <w:p w14:paraId="61B7884E">
                  <w:pPr>
                    <w:pStyle w:val="42"/>
                    <w:bidi w:val="0"/>
                    <w:jc w:val="center"/>
                    <w:rPr>
                      <w:rFonts w:hint="default" w:eastAsia="宋体"/>
                      <w:lang w:val="en-US" w:eastAsia="zh-CN"/>
                    </w:rPr>
                  </w:pPr>
                  <w:r>
                    <w:rPr>
                      <w:rFonts w:hint="eastAsia"/>
                      <w:lang w:val="en-US" w:eastAsia="zh-CN"/>
                    </w:rPr>
                    <w:t>20</w:t>
                  </w:r>
                </w:p>
              </w:tc>
            </w:tr>
          </w:tbl>
          <w:p w14:paraId="1ABC240A">
            <w:pPr>
              <w:bidi w:val="0"/>
            </w:pPr>
            <w:r>
              <w:rPr>
                <w:rFonts w:hint="eastAsia"/>
              </w:rPr>
              <w:t>项目非甲烷总烃排放参照《大气污染物综合排放标准》(GB16297-1996)中标准限值要求。</w:t>
            </w:r>
            <w:r>
              <w:t>相关标准限值见表3-</w:t>
            </w:r>
            <w:r>
              <w:rPr>
                <w:rFonts w:hint="eastAsia"/>
                <w:lang w:val="en-US" w:eastAsia="zh-CN"/>
              </w:rPr>
              <w:t>8</w:t>
            </w:r>
            <w:r>
              <w:t>。</w:t>
            </w:r>
          </w:p>
          <w:p w14:paraId="12DA70A3">
            <w:pPr>
              <w:pStyle w:val="8"/>
              <w:numPr>
                <w:ilvl w:val="5"/>
                <w:numId w:val="0"/>
              </w:numPr>
              <w:bidi w:val="0"/>
              <w:ind w:left="0" w:leftChars="0" w:firstLine="480" w:firstLineChars="200"/>
              <w:rPr>
                <w:b/>
              </w:rPr>
            </w:pPr>
            <w:r>
              <w:rPr>
                <w:rFonts w:hint="default" w:ascii="Times New Roman" w:hAnsi="Times New Roman" w:eastAsia="宋体" w:cs="Times New Roman"/>
                <w:b/>
                <w:i w:val="0"/>
                <w:color w:val="auto"/>
                <w:kern w:val="2"/>
                <w:sz w:val="24"/>
                <w:szCs w:val="24"/>
                <w:shd w:val="clear" w:fill="FFFFFF"/>
                <w:lang w:val="en-US" w:eastAsia="zh-CN" w:bidi="ar-SA"/>
              </w:rPr>
              <w:t>表3-8</w:t>
            </w:r>
            <w:r>
              <w:t>大气污染物综合排放标准（摘录）</w:t>
            </w:r>
          </w:p>
          <w:tbl>
            <w:tblPr>
              <w:tblStyle w:val="25"/>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77"/>
              <w:gridCol w:w="2038"/>
              <w:gridCol w:w="2376"/>
              <w:gridCol w:w="620"/>
              <w:gridCol w:w="2292"/>
            </w:tblGrid>
            <w:tr w14:paraId="77441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42" w:type="pct"/>
                  <w:vMerge w:val="restart"/>
                  <w:vAlign w:val="center"/>
                </w:tcPr>
                <w:p w14:paraId="590431A5">
                  <w:pPr>
                    <w:pStyle w:val="42"/>
                    <w:bidi w:val="0"/>
                  </w:pPr>
                  <w:r>
                    <w:t>污染物</w:t>
                  </w:r>
                </w:p>
              </w:tc>
              <w:tc>
                <w:tcPr>
                  <w:tcW w:w="1184" w:type="pct"/>
                  <w:vMerge w:val="restart"/>
                  <w:vAlign w:val="center"/>
                </w:tcPr>
                <w:p w14:paraId="69CCE5C5">
                  <w:pPr>
                    <w:pStyle w:val="42"/>
                    <w:bidi w:val="0"/>
                  </w:pPr>
                  <w:r>
                    <w:t>最高允许排放浓度</w:t>
                  </w:r>
                </w:p>
                <w:p w14:paraId="06C96460">
                  <w:pPr>
                    <w:pStyle w:val="42"/>
                    <w:bidi w:val="0"/>
                  </w:pPr>
                  <w:r>
                    <w:t>(mg/m</w:t>
                  </w:r>
                  <w:r>
                    <w:rPr>
                      <w:vertAlign w:val="superscript"/>
                    </w:rPr>
                    <w:t>3</w:t>
                  </w:r>
                  <w:r>
                    <w:t>)</w:t>
                  </w:r>
                </w:p>
              </w:tc>
              <w:tc>
                <w:tcPr>
                  <w:tcW w:w="1740" w:type="pct"/>
                  <w:gridSpan w:val="2"/>
                  <w:vAlign w:val="center"/>
                </w:tcPr>
                <w:p w14:paraId="26673A86">
                  <w:pPr>
                    <w:pStyle w:val="42"/>
                    <w:bidi w:val="0"/>
                  </w:pPr>
                  <w:r>
                    <w:t>最高允许排放速率（kg/h）</w:t>
                  </w:r>
                </w:p>
              </w:tc>
              <w:tc>
                <w:tcPr>
                  <w:tcW w:w="1331" w:type="pct"/>
                  <w:vMerge w:val="restart"/>
                  <w:vAlign w:val="center"/>
                </w:tcPr>
                <w:p w14:paraId="0D7A26FB">
                  <w:pPr>
                    <w:pStyle w:val="42"/>
                    <w:bidi w:val="0"/>
                    <w:rPr>
                      <w:rFonts w:hint="eastAsia"/>
                    </w:rPr>
                  </w:pPr>
                  <w:r>
                    <w:rPr>
                      <w:rFonts w:hint="eastAsia"/>
                    </w:rPr>
                    <w:t>厂界大气污染物监控</w:t>
                  </w:r>
                </w:p>
                <w:p w14:paraId="76D771C2">
                  <w:pPr>
                    <w:pStyle w:val="42"/>
                    <w:bidi w:val="0"/>
                  </w:pPr>
                  <w:r>
                    <w:rPr>
                      <w:rFonts w:hint="eastAsia"/>
                    </w:rPr>
                    <w:t>点浓度限值(mg/m</w:t>
                  </w:r>
                  <w:r>
                    <w:rPr>
                      <w:rFonts w:hint="eastAsia"/>
                      <w:vertAlign w:val="superscript"/>
                    </w:rPr>
                    <w:t>3</w:t>
                  </w:r>
                  <w:r>
                    <w:rPr>
                      <w:rFonts w:hint="eastAsia"/>
                    </w:rPr>
                    <w:t>)</w:t>
                  </w:r>
                </w:p>
              </w:tc>
            </w:tr>
            <w:tr w14:paraId="27632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42" w:type="pct"/>
                  <w:vMerge w:val="continue"/>
                  <w:tcBorders>
                    <w:top w:val="nil"/>
                  </w:tcBorders>
                  <w:vAlign w:val="center"/>
                </w:tcPr>
                <w:p w14:paraId="29CD693A">
                  <w:pPr>
                    <w:pStyle w:val="42"/>
                    <w:bidi w:val="0"/>
                  </w:pPr>
                </w:p>
              </w:tc>
              <w:tc>
                <w:tcPr>
                  <w:tcW w:w="1184" w:type="pct"/>
                  <w:vMerge w:val="continue"/>
                  <w:tcBorders>
                    <w:top w:val="nil"/>
                  </w:tcBorders>
                  <w:vAlign w:val="center"/>
                </w:tcPr>
                <w:p w14:paraId="03C2C492">
                  <w:pPr>
                    <w:pStyle w:val="42"/>
                    <w:bidi w:val="0"/>
                  </w:pPr>
                </w:p>
              </w:tc>
              <w:tc>
                <w:tcPr>
                  <w:tcW w:w="1380" w:type="pct"/>
                  <w:vAlign w:val="center"/>
                </w:tcPr>
                <w:p w14:paraId="7D206F29">
                  <w:pPr>
                    <w:pStyle w:val="42"/>
                    <w:bidi w:val="0"/>
                  </w:pPr>
                  <w:r>
                    <w:t>排气筒高度（m）</w:t>
                  </w:r>
                </w:p>
              </w:tc>
              <w:tc>
                <w:tcPr>
                  <w:tcW w:w="360" w:type="pct"/>
                  <w:vAlign w:val="center"/>
                </w:tcPr>
                <w:p w14:paraId="56C782C3">
                  <w:pPr>
                    <w:pStyle w:val="42"/>
                    <w:bidi w:val="0"/>
                  </w:pPr>
                  <w:r>
                    <w:t>二级</w:t>
                  </w:r>
                </w:p>
              </w:tc>
              <w:tc>
                <w:tcPr>
                  <w:tcW w:w="1331" w:type="pct"/>
                  <w:vMerge w:val="continue"/>
                  <w:vAlign w:val="center"/>
                </w:tcPr>
                <w:p w14:paraId="1B2531F9">
                  <w:pPr>
                    <w:pStyle w:val="42"/>
                    <w:bidi w:val="0"/>
                  </w:pPr>
                </w:p>
              </w:tc>
            </w:tr>
            <w:tr w14:paraId="4B8AC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42" w:type="pct"/>
                  <w:vMerge w:val="restart"/>
                  <w:vAlign w:val="center"/>
                </w:tcPr>
                <w:p w14:paraId="7653E2BB">
                  <w:pPr>
                    <w:pStyle w:val="42"/>
                    <w:bidi w:val="0"/>
                  </w:pPr>
                  <w:r>
                    <w:t>非甲烷总烃</w:t>
                  </w:r>
                </w:p>
              </w:tc>
              <w:tc>
                <w:tcPr>
                  <w:tcW w:w="1184" w:type="pct"/>
                  <w:vAlign w:val="center"/>
                </w:tcPr>
                <w:p w14:paraId="6FDEA6AC">
                  <w:pPr>
                    <w:pStyle w:val="42"/>
                    <w:bidi w:val="0"/>
                  </w:pPr>
                  <w:r>
                    <w:t>1</w:t>
                  </w:r>
                  <w:r>
                    <w:rPr>
                      <w:rFonts w:hint="eastAsia"/>
                      <w:lang w:val="en-US" w:eastAsia="zh-CN"/>
                    </w:rPr>
                    <w:t>2</w:t>
                  </w:r>
                  <w:r>
                    <w:t>0</w:t>
                  </w:r>
                </w:p>
              </w:tc>
              <w:tc>
                <w:tcPr>
                  <w:tcW w:w="1380" w:type="pct"/>
                  <w:vAlign w:val="center"/>
                </w:tcPr>
                <w:p w14:paraId="49C2A7C9">
                  <w:pPr>
                    <w:pStyle w:val="42"/>
                    <w:bidi w:val="0"/>
                    <w:rPr>
                      <w:rFonts w:hint="default" w:eastAsia="宋体"/>
                      <w:lang w:val="en-US" w:eastAsia="zh-CN"/>
                    </w:rPr>
                  </w:pPr>
                  <w:r>
                    <w:rPr>
                      <w:rFonts w:hint="eastAsia"/>
                      <w:lang w:val="en-US" w:eastAsia="zh-CN"/>
                    </w:rPr>
                    <w:t>20</w:t>
                  </w:r>
                </w:p>
              </w:tc>
              <w:tc>
                <w:tcPr>
                  <w:tcW w:w="360" w:type="pct"/>
                  <w:vAlign w:val="center"/>
                </w:tcPr>
                <w:p w14:paraId="0F3ADF8F">
                  <w:pPr>
                    <w:pStyle w:val="42"/>
                    <w:bidi w:val="0"/>
                    <w:rPr>
                      <w:rFonts w:hint="default" w:eastAsia="宋体"/>
                      <w:lang w:val="en-US" w:eastAsia="zh-CN"/>
                    </w:rPr>
                  </w:pPr>
                  <w:r>
                    <w:rPr>
                      <w:rFonts w:hint="eastAsia"/>
                      <w:lang w:val="en-US" w:eastAsia="zh-CN"/>
                    </w:rPr>
                    <w:t>17</w:t>
                  </w:r>
                </w:p>
              </w:tc>
              <w:tc>
                <w:tcPr>
                  <w:tcW w:w="1331" w:type="pct"/>
                  <w:vMerge w:val="restart"/>
                  <w:vAlign w:val="center"/>
                </w:tcPr>
                <w:p w14:paraId="3C4614D5">
                  <w:pPr>
                    <w:pStyle w:val="42"/>
                    <w:bidi w:val="0"/>
                    <w:rPr>
                      <w:rFonts w:hint="default"/>
                      <w:lang w:val="en-US" w:eastAsia="zh-CN"/>
                    </w:rPr>
                  </w:pPr>
                  <w:r>
                    <w:rPr>
                      <w:rFonts w:hint="eastAsia"/>
                      <w:lang w:val="en-US" w:eastAsia="zh-CN"/>
                    </w:rPr>
                    <w:t>4</w:t>
                  </w:r>
                </w:p>
              </w:tc>
            </w:tr>
            <w:tr w14:paraId="1B1B6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42" w:type="pct"/>
                  <w:vMerge w:val="continue"/>
                  <w:vAlign w:val="center"/>
                </w:tcPr>
                <w:p w14:paraId="1512E0E0">
                  <w:pPr>
                    <w:pStyle w:val="42"/>
                    <w:bidi w:val="0"/>
                  </w:pPr>
                </w:p>
              </w:tc>
              <w:tc>
                <w:tcPr>
                  <w:tcW w:w="1184" w:type="pct"/>
                  <w:vAlign w:val="center"/>
                </w:tcPr>
                <w:p w14:paraId="3AC577E6">
                  <w:pPr>
                    <w:pStyle w:val="42"/>
                    <w:bidi w:val="0"/>
                  </w:pPr>
                  <w:r>
                    <w:t>120</w:t>
                  </w:r>
                </w:p>
              </w:tc>
              <w:tc>
                <w:tcPr>
                  <w:tcW w:w="1380" w:type="pct"/>
                  <w:vAlign w:val="center"/>
                </w:tcPr>
                <w:p w14:paraId="6DAA5013">
                  <w:pPr>
                    <w:pStyle w:val="42"/>
                    <w:bidi w:val="0"/>
                    <w:rPr>
                      <w:rFonts w:hint="default" w:eastAsia="宋体"/>
                      <w:lang w:val="en-US" w:eastAsia="zh-CN"/>
                    </w:rPr>
                  </w:pPr>
                  <w:r>
                    <w:rPr>
                      <w:rFonts w:hint="eastAsia"/>
                      <w:lang w:val="en-US" w:eastAsia="zh-CN"/>
                    </w:rPr>
                    <w:t>15</w:t>
                  </w:r>
                </w:p>
              </w:tc>
              <w:tc>
                <w:tcPr>
                  <w:tcW w:w="360" w:type="pct"/>
                  <w:vAlign w:val="center"/>
                </w:tcPr>
                <w:p w14:paraId="0B08A42E">
                  <w:pPr>
                    <w:pStyle w:val="42"/>
                    <w:bidi w:val="0"/>
                    <w:rPr>
                      <w:rFonts w:hint="default" w:eastAsia="宋体"/>
                      <w:lang w:val="en-US" w:eastAsia="zh-CN"/>
                    </w:rPr>
                  </w:pPr>
                  <w:r>
                    <w:rPr>
                      <w:rFonts w:hint="eastAsia"/>
                      <w:lang w:val="en-US" w:eastAsia="zh-CN"/>
                    </w:rPr>
                    <w:t>10</w:t>
                  </w:r>
                </w:p>
              </w:tc>
              <w:tc>
                <w:tcPr>
                  <w:tcW w:w="1331" w:type="pct"/>
                  <w:vMerge w:val="continue"/>
                  <w:vAlign w:val="center"/>
                </w:tcPr>
                <w:p w14:paraId="22FBFCD3">
                  <w:pPr>
                    <w:pStyle w:val="42"/>
                    <w:bidi w:val="0"/>
                    <w:rPr>
                      <w:rFonts w:hint="eastAsia"/>
                      <w:lang w:val="en-US" w:eastAsia="zh-CN"/>
                    </w:rPr>
                  </w:pPr>
                </w:p>
              </w:tc>
            </w:tr>
          </w:tbl>
          <w:p w14:paraId="5E211AC7">
            <w:pPr>
              <w:bidi w:val="0"/>
            </w:pPr>
            <w:r>
              <w:rPr>
                <w:rFonts w:hint="eastAsia"/>
              </w:rPr>
              <w:t>厂区内无组织非甲烷总烃排放参照《挥发性有机物无组织排放控制标准》(GB37822-2019)中厂区内VOCs无组织排放监控限值要求。</w:t>
            </w:r>
            <w:r>
              <w:t>详见表3-</w:t>
            </w:r>
            <w:r>
              <w:rPr>
                <w:rFonts w:hint="eastAsia"/>
                <w:lang w:val="en-US" w:eastAsia="zh-CN"/>
              </w:rPr>
              <w:t>9</w:t>
            </w:r>
            <w:r>
              <w:t>。</w:t>
            </w:r>
          </w:p>
          <w:p w14:paraId="5D88AFFA">
            <w:pPr>
              <w:pStyle w:val="8"/>
              <w:numPr>
                <w:ilvl w:val="5"/>
                <w:numId w:val="0"/>
              </w:numPr>
              <w:bidi w:val="0"/>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表3-9</w:t>
            </w:r>
            <w:r>
              <w:rPr>
                <w:rFonts w:hint="eastAsia"/>
              </w:rPr>
              <w:t>《挥发性有机物无组织排放控制标准》(GB37822-2019)</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4"/>
              <w:gridCol w:w="2416"/>
              <w:gridCol w:w="2033"/>
            </w:tblGrid>
            <w:tr w14:paraId="3173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4" w:type="pct"/>
                  <w:vMerge w:val="restart"/>
                  <w:shd w:val="clear" w:color="auto" w:fill="auto"/>
                  <w:vAlign w:val="center"/>
                </w:tcPr>
                <w:p w14:paraId="1756A847">
                  <w:pPr>
                    <w:pStyle w:val="42"/>
                    <w:bidi w:val="0"/>
                    <w:rPr>
                      <w:lang w:val="en-US" w:eastAsia="zh-CN"/>
                    </w:rPr>
                  </w:pPr>
                  <w:r>
                    <w:t>污染物</w:t>
                  </w:r>
                </w:p>
              </w:tc>
              <w:tc>
                <w:tcPr>
                  <w:tcW w:w="2585" w:type="pct"/>
                  <w:gridSpan w:val="2"/>
                  <w:shd w:val="clear" w:color="auto" w:fill="auto"/>
                  <w:vAlign w:val="center"/>
                </w:tcPr>
                <w:p w14:paraId="24F9827F">
                  <w:pPr>
                    <w:pStyle w:val="42"/>
                    <w:bidi w:val="0"/>
                    <w:rPr>
                      <w:lang w:val="en-US" w:eastAsia="zh-CN"/>
                    </w:rPr>
                  </w:pPr>
                  <w:r>
                    <w:t>厂界无组织排放限值</w:t>
                  </w:r>
                </w:p>
              </w:tc>
            </w:tr>
            <w:tr w14:paraId="5D45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4" w:type="pct"/>
                  <w:vMerge w:val="continue"/>
                  <w:shd w:val="clear" w:color="auto" w:fill="auto"/>
                  <w:vAlign w:val="center"/>
                </w:tcPr>
                <w:p w14:paraId="65F4DCB3">
                  <w:pPr>
                    <w:pStyle w:val="42"/>
                    <w:bidi w:val="0"/>
                    <w:rPr>
                      <w:lang w:val="en-US" w:eastAsia="zh-CN"/>
                    </w:rPr>
                  </w:pPr>
                </w:p>
              </w:tc>
              <w:tc>
                <w:tcPr>
                  <w:tcW w:w="1404" w:type="pct"/>
                  <w:shd w:val="clear" w:color="auto" w:fill="auto"/>
                  <w:vAlign w:val="center"/>
                </w:tcPr>
                <w:p w14:paraId="0747B18A">
                  <w:pPr>
                    <w:pStyle w:val="42"/>
                    <w:bidi w:val="0"/>
                    <w:rPr>
                      <w:rFonts w:hint="eastAsia" w:eastAsia="宋体"/>
                      <w:lang w:val="en-US" w:eastAsia="zh-CN"/>
                    </w:rPr>
                  </w:pPr>
                  <w:r>
                    <w:rPr>
                      <w:rFonts w:hint="eastAsia"/>
                      <w:lang w:val="en-US" w:eastAsia="zh-CN"/>
                    </w:rPr>
                    <w:t>排放浓度</w:t>
                  </w:r>
                  <w:r>
                    <w:rPr>
                      <w:rFonts w:hint="eastAsia"/>
                    </w:rPr>
                    <w:t>(mg/m</w:t>
                  </w:r>
                  <w:r>
                    <w:rPr>
                      <w:rFonts w:hint="eastAsia"/>
                      <w:vertAlign w:val="superscript"/>
                    </w:rPr>
                    <w:t>3</w:t>
                  </w:r>
                  <w:r>
                    <w:rPr>
                      <w:rFonts w:hint="eastAsia"/>
                    </w:rPr>
                    <w:t>)</w:t>
                  </w:r>
                </w:p>
              </w:tc>
              <w:tc>
                <w:tcPr>
                  <w:tcW w:w="1181" w:type="pct"/>
                  <w:shd w:val="clear" w:color="auto" w:fill="auto"/>
                  <w:vAlign w:val="center"/>
                </w:tcPr>
                <w:p w14:paraId="0C21B032">
                  <w:pPr>
                    <w:pStyle w:val="42"/>
                    <w:bidi w:val="0"/>
                    <w:rPr>
                      <w:lang w:val="en-US" w:eastAsia="zh-CN"/>
                    </w:rPr>
                  </w:pPr>
                  <w:r>
                    <w:rPr>
                      <w:rFonts w:hint="eastAsia"/>
                      <w:lang w:eastAsia="zh-CN"/>
                    </w:rPr>
                    <w:t>监控点</w:t>
                  </w:r>
                </w:p>
              </w:tc>
            </w:tr>
            <w:tr w14:paraId="621B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4" w:type="pct"/>
                  <w:shd w:val="clear" w:color="auto" w:fill="auto"/>
                  <w:vAlign w:val="center"/>
                </w:tcPr>
                <w:p w14:paraId="1E1A7955">
                  <w:pPr>
                    <w:pStyle w:val="42"/>
                    <w:bidi w:val="0"/>
                    <w:ind w:firstLine="0" w:firstLineChars="0"/>
                    <w:rPr>
                      <w:rFonts w:hint="eastAsia" w:eastAsia="宋体"/>
                      <w:lang w:val="en-US" w:eastAsia="zh-CN"/>
                    </w:rPr>
                  </w:pPr>
                  <w:r>
                    <w:rPr>
                      <w:rFonts w:hint="eastAsia"/>
                    </w:rPr>
                    <w:t>非甲烷总烃(1h平均浓度值)</w:t>
                  </w:r>
                </w:p>
              </w:tc>
              <w:tc>
                <w:tcPr>
                  <w:tcW w:w="1404" w:type="pct"/>
                  <w:shd w:val="clear" w:color="auto" w:fill="auto"/>
                  <w:vAlign w:val="center"/>
                </w:tcPr>
                <w:p w14:paraId="67F41C51">
                  <w:pPr>
                    <w:pStyle w:val="42"/>
                    <w:bidi w:val="0"/>
                    <w:rPr>
                      <w:rFonts w:hint="eastAsia" w:eastAsia="宋体"/>
                      <w:lang w:val="en-US" w:eastAsia="zh-CN"/>
                    </w:rPr>
                  </w:pPr>
                  <w:r>
                    <w:rPr>
                      <w:rFonts w:hint="eastAsia"/>
                      <w:lang w:val="en-US" w:eastAsia="zh-CN"/>
                    </w:rPr>
                    <w:t>6</w:t>
                  </w:r>
                </w:p>
              </w:tc>
              <w:tc>
                <w:tcPr>
                  <w:tcW w:w="1181" w:type="pct"/>
                  <w:vMerge w:val="restart"/>
                  <w:vAlign w:val="center"/>
                </w:tcPr>
                <w:p w14:paraId="40A2023C">
                  <w:pPr>
                    <w:pStyle w:val="42"/>
                    <w:bidi w:val="0"/>
                    <w:rPr>
                      <w:rFonts w:hint="eastAsia" w:eastAsia="宋体"/>
                      <w:lang w:eastAsia="zh-CN"/>
                    </w:rPr>
                  </w:pPr>
                  <w:r>
                    <w:rPr>
                      <w:rFonts w:hint="eastAsia"/>
                      <w:lang w:eastAsia="zh-CN"/>
                    </w:rPr>
                    <w:t>厂房外厂区内</w:t>
                  </w:r>
                </w:p>
              </w:tc>
            </w:tr>
            <w:tr w14:paraId="33FD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4" w:type="pct"/>
                  <w:shd w:val="clear" w:color="auto" w:fill="auto"/>
                  <w:vAlign w:val="center"/>
                </w:tcPr>
                <w:p w14:paraId="3D5F728A">
                  <w:pPr>
                    <w:pStyle w:val="42"/>
                    <w:bidi w:val="0"/>
                    <w:ind w:firstLine="0" w:firstLineChars="0"/>
                    <w:rPr>
                      <w:lang w:val="en-US" w:eastAsia="zh-CN"/>
                    </w:rPr>
                  </w:pPr>
                  <w:r>
                    <w:rPr>
                      <w:rFonts w:hint="eastAsia"/>
                    </w:rPr>
                    <w:t>非甲烷总烃(任意一次浓度值</w:t>
                  </w:r>
                  <w:r>
                    <w:rPr>
                      <w:rFonts w:hint="eastAsia"/>
                      <w:lang w:eastAsia="zh-CN"/>
                    </w:rPr>
                    <w:t>）</w:t>
                  </w:r>
                </w:p>
              </w:tc>
              <w:tc>
                <w:tcPr>
                  <w:tcW w:w="1404" w:type="pct"/>
                  <w:shd w:val="clear" w:color="auto" w:fill="auto"/>
                  <w:vAlign w:val="center"/>
                </w:tcPr>
                <w:p w14:paraId="41093EC1">
                  <w:pPr>
                    <w:pStyle w:val="42"/>
                    <w:bidi w:val="0"/>
                    <w:rPr>
                      <w:rFonts w:hint="default" w:eastAsia="宋体"/>
                      <w:lang w:val="en-US" w:eastAsia="zh-CN"/>
                    </w:rPr>
                  </w:pPr>
                  <w:r>
                    <w:rPr>
                      <w:rFonts w:hint="eastAsia"/>
                      <w:lang w:val="en-US" w:eastAsia="zh-CN"/>
                    </w:rPr>
                    <w:t>20</w:t>
                  </w:r>
                </w:p>
              </w:tc>
              <w:tc>
                <w:tcPr>
                  <w:tcW w:w="1181" w:type="pct"/>
                  <w:vMerge w:val="continue"/>
                  <w:shd w:val="clear" w:color="auto" w:fill="auto"/>
                  <w:vAlign w:val="center"/>
                </w:tcPr>
                <w:p w14:paraId="5AD09EDB">
                  <w:pPr>
                    <w:pStyle w:val="42"/>
                    <w:bidi w:val="0"/>
                    <w:rPr>
                      <w:lang w:val="en-US" w:eastAsia="zh-CN"/>
                    </w:rPr>
                  </w:pPr>
                </w:p>
              </w:tc>
            </w:tr>
          </w:tbl>
          <w:p w14:paraId="03DE2A8B">
            <w:pPr>
              <w:bidi w:val="0"/>
              <w:rPr>
                <w:b/>
                <w:bCs/>
              </w:rPr>
            </w:pPr>
            <w:r>
              <w:rPr>
                <w:rFonts w:hint="eastAsia"/>
                <w:b/>
                <w:bCs/>
                <w:lang w:eastAsia="zh-CN"/>
              </w:rPr>
              <w:t>（</w:t>
            </w:r>
            <w:r>
              <w:rPr>
                <w:rFonts w:hint="eastAsia"/>
                <w:b/>
                <w:bCs/>
                <w:lang w:val="en-US" w:eastAsia="zh-CN"/>
              </w:rPr>
              <w:t>2</w:t>
            </w:r>
            <w:r>
              <w:rPr>
                <w:rFonts w:hint="eastAsia"/>
                <w:b/>
                <w:bCs/>
                <w:lang w:eastAsia="zh-CN"/>
              </w:rPr>
              <w:t>）</w:t>
            </w:r>
            <w:r>
              <w:rPr>
                <w:b/>
                <w:bCs/>
              </w:rPr>
              <w:t>废水</w:t>
            </w:r>
          </w:p>
          <w:p w14:paraId="73E23C55">
            <w:pPr>
              <w:bidi w:val="0"/>
            </w:pPr>
            <w:r>
              <w:t>施工期施工废水经沉淀处理后用于场区的洒水降尘，不外排；施工人员生活污水依托现有项目化粪池处理后进入厂区污水处理站处理。</w:t>
            </w:r>
          </w:p>
          <w:p w14:paraId="3444B76C">
            <w:pPr>
              <w:bidi w:val="0"/>
              <w:rPr>
                <w:rFonts w:hint="eastAsia"/>
                <w:lang w:eastAsia="zh-CN"/>
              </w:rPr>
            </w:pPr>
            <w:r>
              <w:rPr>
                <w:rFonts w:hint="eastAsia"/>
                <w:lang w:eastAsia="zh-CN"/>
              </w:rPr>
              <w:t>运营期本项目废水不外排。本项目各生产单元产生污水排入黑膜厌氧池后用于草坪、树林浇灌。</w:t>
            </w:r>
          </w:p>
          <w:p w14:paraId="05739126">
            <w:pPr>
              <w:bidi w:val="0"/>
              <w:rPr>
                <w:b/>
                <w:bCs/>
              </w:rPr>
            </w:pPr>
            <w:r>
              <w:rPr>
                <w:rFonts w:hint="eastAsia"/>
                <w:b/>
                <w:bCs/>
                <w:lang w:eastAsia="zh-CN"/>
              </w:rPr>
              <w:t>（</w:t>
            </w:r>
            <w:r>
              <w:rPr>
                <w:rFonts w:hint="eastAsia"/>
                <w:b/>
                <w:bCs/>
                <w:lang w:val="en-US" w:eastAsia="zh-CN"/>
              </w:rPr>
              <w:t>3</w:t>
            </w:r>
            <w:r>
              <w:rPr>
                <w:rFonts w:hint="eastAsia"/>
                <w:b/>
                <w:bCs/>
                <w:lang w:eastAsia="zh-CN"/>
              </w:rPr>
              <w:t>）</w:t>
            </w:r>
            <w:r>
              <w:rPr>
                <w:b/>
                <w:bCs/>
              </w:rPr>
              <w:t>噪声</w:t>
            </w:r>
          </w:p>
          <w:p w14:paraId="5985769A">
            <w:pPr>
              <w:bidi w:val="0"/>
            </w:pPr>
            <w:r>
              <w:t>施工期噪声执行《建筑施工场界环境噪声排放标准》（GB12523-2011），详细见表3-1</w:t>
            </w:r>
            <w:r>
              <w:rPr>
                <w:rFonts w:hint="eastAsia"/>
                <w:lang w:val="en-US" w:eastAsia="zh-CN"/>
              </w:rPr>
              <w:t>0</w:t>
            </w:r>
            <w:r>
              <w:t>。</w:t>
            </w:r>
          </w:p>
          <w:p w14:paraId="2CB69761">
            <w:pPr>
              <w:pStyle w:val="8"/>
              <w:numPr>
                <w:ilvl w:val="5"/>
                <w:numId w:val="0"/>
              </w:numPr>
              <w:bidi w:val="0"/>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表3-10</w:t>
            </w:r>
            <w:r>
              <w:t>建筑施工场界环境噪声排放标准</w:t>
            </w:r>
          </w:p>
          <w:tbl>
            <w:tblPr>
              <w:tblStyle w:val="25"/>
              <w:tblW w:w="0" w:type="auto"/>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702"/>
              <w:gridCol w:w="3560"/>
              <w:gridCol w:w="2838"/>
            </w:tblGrid>
            <w:tr w14:paraId="21581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702" w:type="dxa"/>
                </w:tcPr>
                <w:p w14:paraId="47EBD764">
                  <w:pPr>
                    <w:pStyle w:val="42"/>
                    <w:bidi w:val="0"/>
                  </w:pPr>
                  <w:r>
                    <w:t>时段</w:t>
                  </w:r>
                </w:p>
              </w:tc>
              <w:tc>
                <w:tcPr>
                  <w:tcW w:w="3560" w:type="dxa"/>
                </w:tcPr>
                <w:p w14:paraId="00DD7FD4">
                  <w:pPr>
                    <w:pStyle w:val="42"/>
                    <w:bidi w:val="0"/>
                  </w:pPr>
                  <w:r>
                    <w:t>昼间（dB(A)）</w:t>
                  </w:r>
                </w:p>
              </w:tc>
              <w:tc>
                <w:tcPr>
                  <w:tcW w:w="2838" w:type="dxa"/>
                </w:tcPr>
                <w:p w14:paraId="33C4594E">
                  <w:pPr>
                    <w:pStyle w:val="42"/>
                    <w:bidi w:val="0"/>
                  </w:pPr>
                  <w:r>
                    <w:t>夜间（dB(A)）</w:t>
                  </w:r>
                </w:p>
              </w:tc>
            </w:tr>
            <w:tr w14:paraId="56F4D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702" w:type="dxa"/>
                </w:tcPr>
                <w:p w14:paraId="4726CC93">
                  <w:pPr>
                    <w:pStyle w:val="42"/>
                    <w:bidi w:val="0"/>
                  </w:pPr>
                  <w:r>
                    <w:t>标准限值</w:t>
                  </w:r>
                </w:p>
              </w:tc>
              <w:tc>
                <w:tcPr>
                  <w:tcW w:w="3560" w:type="dxa"/>
                </w:tcPr>
                <w:p w14:paraId="76A46ADA">
                  <w:pPr>
                    <w:pStyle w:val="42"/>
                    <w:bidi w:val="0"/>
                  </w:pPr>
                  <w:r>
                    <w:t>70</w:t>
                  </w:r>
                </w:p>
              </w:tc>
              <w:tc>
                <w:tcPr>
                  <w:tcW w:w="2838" w:type="dxa"/>
                </w:tcPr>
                <w:p w14:paraId="710DD626">
                  <w:pPr>
                    <w:pStyle w:val="42"/>
                    <w:bidi w:val="0"/>
                  </w:pPr>
                  <w:r>
                    <w:t>55</w:t>
                  </w:r>
                </w:p>
              </w:tc>
            </w:tr>
          </w:tbl>
          <w:p w14:paraId="1D7109AC">
            <w:pPr>
              <w:ind w:firstLine="480"/>
            </w:pPr>
            <w:r>
              <w:rPr>
                <w:spacing w:val="-14"/>
                <w:sz w:val="24"/>
              </w:rPr>
              <w:t>营运期厂界噪声执行《工业企业厂界环境噪声排放标准》</w:t>
            </w:r>
            <w:r>
              <w:rPr>
                <w:spacing w:val="-2"/>
                <w:sz w:val="24"/>
              </w:rPr>
              <w:t>（</w:t>
            </w:r>
            <w:r>
              <w:rPr>
                <w:rFonts w:ascii="Times New Roman" w:eastAsia="Times New Roman"/>
                <w:spacing w:val="-2"/>
                <w:sz w:val="24"/>
              </w:rPr>
              <w:t>GB12348-2008</w:t>
            </w:r>
            <w:r>
              <w:rPr>
                <w:spacing w:val="-2"/>
                <w:sz w:val="24"/>
              </w:rPr>
              <w:t>）</w:t>
            </w:r>
            <w:r>
              <w:rPr>
                <w:spacing w:val="-3"/>
                <w:sz w:val="24"/>
              </w:rPr>
              <w:t>中的执行</w:t>
            </w:r>
            <w:r>
              <w:rPr>
                <w:rFonts w:hint="eastAsia" w:eastAsia="宋体"/>
                <w:sz w:val="24"/>
                <w:lang w:val="en-US" w:eastAsia="zh-CN"/>
              </w:rPr>
              <w:t>3</w:t>
            </w:r>
            <w:r>
              <w:rPr>
                <w:spacing w:val="-2"/>
                <w:sz w:val="24"/>
              </w:rPr>
              <w:t>类标准，详细见表</w:t>
            </w:r>
            <w:r>
              <w:rPr>
                <w:rFonts w:ascii="Times New Roman" w:eastAsia="Times New Roman"/>
                <w:sz w:val="24"/>
              </w:rPr>
              <w:t>3-1</w:t>
            </w:r>
            <w:r>
              <w:rPr>
                <w:rFonts w:hint="eastAsia" w:eastAsia="宋体"/>
                <w:sz w:val="24"/>
                <w:lang w:val="en-US" w:eastAsia="zh-CN"/>
              </w:rPr>
              <w:t>1</w:t>
            </w:r>
            <w:r>
              <w:rPr>
                <w:sz w:val="24"/>
              </w:rPr>
              <w:t>。</w:t>
            </w:r>
          </w:p>
          <w:p w14:paraId="6B15D7EA">
            <w:pPr>
              <w:pStyle w:val="8"/>
              <w:numPr>
                <w:ilvl w:val="5"/>
                <w:numId w:val="0"/>
              </w:numPr>
              <w:bidi w:val="0"/>
              <w:ind w:left="0" w:leftChars="0" w:firstLine="480" w:firstLineChars="200"/>
              <w:rPr>
                <w:b/>
              </w:rPr>
            </w:pPr>
            <w:r>
              <w:rPr>
                <w:rFonts w:hint="default" w:ascii="Times New Roman" w:hAnsi="Times New Roman" w:eastAsia="宋体" w:cs="Times New Roman"/>
                <w:b/>
                <w:i w:val="0"/>
                <w:color w:val="auto"/>
                <w:kern w:val="2"/>
                <w:sz w:val="24"/>
                <w:szCs w:val="24"/>
                <w:shd w:val="clear" w:fill="FFFFFF"/>
                <w:lang w:val="en-US" w:eastAsia="zh-CN" w:bidi="ar-SA"/>
              </w:rPr>
              <w:t>表3-11</w:t>
            </w:r>
            <w:r>
              <w:t>工业企业厂界噪声排放标准（摘录）</w:t>
            </w:r>
          </w:p>
          <w:tbl>
            <w:tblPr>
              <w:tblStyle w:val="25"/>
              <w:tblW w:w="8069" w:type="dxa"/>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702"/>
              <w:gridCol w:w="3560"/>
              <w:gridCol w:w="2807"/>
            </w:tblGrid>
            <w:tr w14:paraId="25231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702" w:type="dxa"/>
                  <w:vMerge w:val="restart"/>
                </w:tcPr>
                <w:p w14:paraId="69D8E1DE">
                  <w:pPr>
                    <w:pStyle w:val="42"/>
                    <w:bidi w:val="0"/>
                  </w:pPr>
                  <w:r>
                    <w:t>厂界外声功能区</w:t>
                  </w:r>
                </w:p>
                <w:p w14:paraId="2370C4DF">
                  <w:pPr>
                    <w:pStyle w:val="42"/>
                    <w:bidi w:val="0"/>
                  </w:pPr>
                  <w:r>
                    <w:t>类别</w:t>
                  </w:r>
                </w:p>
              </w:tc>
              <w:tc>
                <w:tcPr>
                  <w:tcW w:w="6367" w:type="dxa"/>
                  <w:gridSpan w:val="2"/>
                  <w:tcBorders>
                    <w:right w:val="single" w:color="000000" w:sz="4" w:space="0"/>
                  </w:tcBorders>
                </w:tcPr>
                <w:p w14:paraId="3A33A357">
                  <w:pPr>
                    <w:pStyle w:val="42"/>
                    <w:bidi w:val="0"/>
                  </w:pPr>
                  <w:r>
                    <w:t>时段指标（dB（A））</w:t>
                  </w:r>
                </w:p>
              </w:tc>
            </w:tr>
            <w:tr w14:paraId="78DC1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702" w:type="dxa"/>
                  <w:vMerge w:val="continue"/>
                </w:tcPr>
                <w:p w14:paraId="51B592F7">
                  <w:pPr>
                    <w:pStyle w:val="42"/>
                    <w:bidi w:val="0"/>
                  </w:pPr>
                </w:p>
              </w:tc>
              <w:tc>
                <w:tcPr>
                  <w:tcW w:w="3560" w:type="dxa"/>
                </w:tcPr>
                <w:p w14:paraId="45D3192B">
                  <w:pPr>
                    <w:pStyle w:val="42"/>
                    <w:bidi w:val="0"/>
                  </w:pPr>
                  <w:r>
                    <w:t>昼间</w:t>
                  </w:r>
                </w:p>
              </w:tc>
              <w:tc>
                <w:tcPr>
                  <w:tcW w:w="2807" w:type="dxa"/>
                  <w:tcBorders>
                    <w:right w:val="single" w:color="000000" w:sz="4" w:space="0"/>
                  </w:tcBorders>
                </w:tcPr>
                <w:p w14:paraId="3250B1B8">
                  <w:pPr>
                    <w:pStyle w:val="42"/>
                    <w:bidi w:val="0"/>
                  </w:pPr>
                  <w:r>
                    <w:t>夜间</w:t>
                  </w:r>
                </w:p>
              </w:tc>
            </w:tr>
            <w:tr w14:paraId="4E789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702" w:type="dxa"/>
                </w:tcPr>
                <w:p w14:paraId="4F9698B5">
                  <w:pPr>
                    <w:pStyle w:val="42"/>
                    <w:bidi w:val="0"/>
                  </w:pPr>
                  <w:r>
                    <w:rPr>
                      <w:rFonts w:hint="eastAsia"/>
                      <w:lang w:val="en-US" w:eastAsia="zh-CN"/>
                    </w:rPr>
                    <w:t>3</w:t>
                  </w:r>
                  <w:r>
                    <w:t>类</w:t>
                  </w:r>
                </w:p>
              </w:tc>
              <w:tc>
                <w:tcPr>
                  <w:tcW w:w="3560" w:type="dxa"/>
                </w:tcPr>
                <w:p w14:paraId="789180E5">
                  <w:pPr>
                    <w:pStyle w:val="42"/>
                    <w:bidi w:val="0"/>
                    <w:rPr>
                      <w:rFonts w:hint="eastAsia" w:eastAsia="宋体"/>
                      <w:lang w:eastAsia="zh-CN"/>
                    </w:rPr>
                  </w:pPr>
                  <w:r>
                    <w:t>6</w:t>
                  </w:r>
                  <w:r>
                    <w:rPr>
                      <w:rFonts w:hint="eastAsia"/>
                      <w:lang w:val="en-US" w:eastAsia="zh-CN"/>
                    </w:rPr>
                    <w:t>5</w:t>
                  </w:r>
                </w:p>
              </w:tc>
              <w:tc>
                <w:tcPr>
                  <w:tcW w:w="2807" w:type="dxa"/>
                  <w:tcBorders>
                    <w:right w:val="single" w:color="000000" w:sz="4" w:space="0"/>
                  </w:tcBorders>
                </w:tcPr>
                <w:p w14:paraId="7BE886B7">
                  <w:pPr>
                    <w:pStyle w:val="42"/>
                    <w:bidi w:val="0"/>
                    <w:rPr>
                      <w:rFonts w:hint="eastAsia" w:eastAsia="宋体"/>
                      <w:lang w:eastAsia="zh-CN"/>
                    </w:rPr>
                  </w:pPr>
                  <w:r>
                    <w:t>5</w:t>
                  </w:r>
                  <w:r>
                    <w:rPr>
                      <w:rFonts w:hint="eastAsia"/>
                      <w:lang w:val="en-US" w:eastAsia="zh-CN"/>
                    </w:rPr>
                    <w:t>5</w:t>
                  </w:r>
                </w:p>
              </w:tc>
            </w:tr>
          </w:tbl>
          <w:p w14:paraId="529C2352">
            <w:pPr>
              <w:bidi w:val="0"/>
              <w:rPr>
                <w:b/>
                <w:bCs/>
              </w:rPr>
            </w:pPr>
            <w:r>
              <w:rPr>
                <w:rFonts w:hint="eastAsia"/>
                <w:b/>
                <w:bCs/>
                <w:lang w:eastAsia="zh-CN"/>
              </w:rPr>
              <w:t>（</w:t>
            </w:r>
            <w:r>
              <w:rPr>
                <w:rFonts w:hint="eastAsia"/>
                <w:b/>
                <w:bCs/>
                <w:lang w:val="en-US" w:eastAsia="zh-CN"/>
              </w:rPr>
              <w:t>4</w:t>
            </w:r>
            <w:r>
              <w:rPr>
                <w:rFonts w:hint="eastAsia"/>
                <w:b/>
                <w:bCs/>
                <w:lang w:eastAsia="zh-CN"/>
              </w:rPr>
              <w:t>）</w:t>
            </w:r>
            <w:r>
              <w:rPr>
                <w:b/>
                <w:bCs/>
              </w:rPr>
              <w:t>固体废物</w:t>
            </w:r>
          </w:p>
          <w:p w14:paraId="746CBF44">
            <w:pPr>
              <w:bidi w:val="0"/>
              <w:rPr>
                <w:rFonts w:hint="eastAsia"/>
                <w:lang w:val="en-US" w:eastAsia="zh-CN"/>
              </w:rPr>
            </w:pPr>
            <w:r>
              <w:rPr>
                <w:rFonts w:hint="eastAsia"/>
                <w:lang w:val="en-US" w:eastAsia="zh-CN"/>
              </w:rPr>
              <w:t>1）</w:t>
            </w:r>
            <w:r>
              <w:t>一般固废执行《一般工业固体废物贮存和填埋污染控制标准》（GB18599-2020）</w:t>
            </w:r>
            <w:r>
              <w:rPr>
                <w:rFonts w:hint="eastAsia"/>
                <w:lang w:eastAsia="zh-CN"/>
              </w:rPr>
              <w:t>。</w:t>
            </w:r>
          </w:p>
          <w:p w14:paraId="762A562D">
            <w:pPr>
              <w:bidi w:val="0"/>
            </w:pPr>
            <w:r>
              <w:rPr>
                <w:rFonts w:hint="eastAsia"/>
                <w:lang w:val="en-US" w:eastAsia="zh-CN"/>
              </w:rPr>
              <w:t>2）</w:t>
            </w:r>
            <w:r>
              <w:t>危险废物执行《危险废物贮存污染控制标准》（GB18597-2</w:t>
            </w:r>
            <w:r>
              <w:rPr>
                <w:rFonts w:hint="eastAsia"/>
                <w:lang w:val="en-US" w:eastAsia="zh-CN"/>
              </w:rPr>
              <w:t>023）。</w:t>
            </w:r>
          </w:p>
          <w:p w14:paraId="1EF798DB">
            <w:pPr>
              <w:ind w:firstLine="480"/>
            </w:pPr>
          </w:p>
        </w:tc>
      </w:tr>
      <w:tr w14:paraId="10D0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3B6C89E">
            <w:pPr>
              <w:spacing w:line="276" w:lineRule="auto"/>
              <w:ind w:firstLine="0" w:firstLineChars="0"/>
              <w:jc w:val="center"/>
            </w:pPr>
            <w:r>
              <w:t>总量控制指标</w:t>
            </w:r>
          </w:p>
        </w:tc>
        <w:tc>
          <w:tcPr>
            <w:tcW w:w="8363" w:type="dxa"/>
            <w:vAlign w:val="center"/>
          </w:tcPr>
          <w:p w14:paraId="3C98388D">
            <w:pPr>
              <w:bidi w:val="0"/>
            </w:pPr>
            <w:r>
              <w:t>根据《国务院关于印发“十四五”节能减排综合工作方案的通知》（国发〔2021〕33 号），“十四五”期间国家实施总量控制的主要污染物为氮氧化物（NO</w:t>
            </w:r>
            <w:r>
              <w:rPr>
                <w:rFonts w:hint="eastAsia"/>
                <w:lang w:val="en-US" w:eastAsia="zh-CN"/>
              </w:rPr>
              <w:t>x</w:t>
            </w:r>
            <w:r>
              <w:t>）、挥发性有机物（VOCs）、化学需氧量（COD）、氨氮（NH</w:t>
            </w:r>
            <w:r>
              <w:rPr>
                <w:vertAlign w:val="subscript"/>
              </w:rPr>
              <w:t>3</w:t>
            </w:r>
            <w:r>
              <w:t>-N）。</w:t>
            </w:r>
          </w:p>
          <w:p w14:paraId="32EAE859">
            <w:pPr>
              <w:bidi w:val="0"/>
            </w:pPr>
            <w:r>
              <w:t>运营期项目废水</w:t>
            </w:r>
            <w:r>
              <w:rPr>
                <w:rFonts w:hint="eastAsia"/>
                <w:lang w:eastAsia="zh-CN"/>
              </w:rPr>
              <w:t>不外排</w:t>
            </w:r>
            <w:r>
              <w:t>，本项目不单独设置污水总量控制指标。</w:t>
            </w:r>
          </w:p>
          <w:p w14:paraId="41628D34">
            <w:pPr>
              <w:bidi w:val="0"/>
              <w:rPr>
                <w:rFonts w:hint="eastAsia" w:eastAsia="宋体"/>
                <w:lang w:eastAsia="zh-CN"/>
              </w:rPr>
            </w:pPr>
            <w:r>
              <w:rPr>
                <w:u w:val="single"/>
              </w:rPr>
              <w:t>本</w:t>
            </w:r>
            <w:r>
              <w:rPr>
                <w:rFonts w:hint="default"/>
                <w:u w:val="single"/>
              </w:rPr>
              <w:t>项目生产所需的蒸汽由</w:t>
            </w:r>
            <w:r>
              <w:rPr>
                <w:rFonts w:hint="default"/>
                <w:u w:val="single"/>
                <w:lang w:eastAsia="zh-CN"/>
              </w:rPr>
              <w:t>自建锅炉供应</w:t>
            </w:r>
            <w:r>
              <w:rPr>
                <w:rFonts w:hint="default"/>
                <w:u w:val="single"/>
              </w:rPr>
              <w:t>供应，本次环评</w:t>
            </w:r>
            <w:r>
              <w:rPr>
                <w:u w:val="single"/>
              </w:rPr>
              <w:t>不单独设置</w:t>
            </w:r>
            <w:r>
              <w:rPr>
                <w:rFonts w:hint="eastAsia"/>
                <w:u w:val="single"/>
                <w:lang w:eastAsia="zh-CN"/>
              </w:rPr>
              <w:t>废气</w:t>
            </w:r>
            <w:r>
              <w:rPr>
                <w:u w:val="single"/>
              </w:rPr>
              <w:t>总量控制指标</w:t>
            </w:r>
            <w:r>
              <w:rPr>
                <w:rFonts w:hint="eastAsia"/>
                <w:u w:val="single"/>
                <w:lang w:eastAsia="zh-CN"/>
              </w:rPr>
              <w:t>。</w:t>
            </w:r>
          </w:p>
        </w:tc>
      </w:tr>
    </w:tbl>
    <w:p w14:paraId="09B3BF63">
      <w:pPr>
        <w:pStyle w:val="2"/>
        <w:numPr>
          <w:ilvl w:val="0"/>
          <w:numId w:val="0"/>
        </w:numPr>
        <w:ind w:left="0" w:leftChars="0" w:firstLine="0" w:firstLineChars="0"/>
      </w:pPr>
      <w:bookmarkStart w:id="9" w:name="_Toc61627933"/>
      <w:r>
        <w:rPr>
          <w:rFonts w:hint="eastAsia" w:ascii="Times New Roman" w:hAnsi="Times New Roman" w:eastAsia="宋体" w:cs="Times New Roman"/>
          <w:b/>
          <w:kern w:val="2"/>
          <w:sz w:val="28"/>
          <w:szCs w:val="28"/>
          <w:lang w:val="en-US" w:eastAsia="zh-CN" w:bidi="ar-SA"/>
        </w:rPr>
        <w:t>四、</w:t>
      </w:r>
      <w:r>
        <w:t>主要环境影响和保护措施</w:t>
      </w:r>
      <w:bookmarkEnd w:id="9"/>
    </w:p>
    <w:tbl>
      <w:tblPr>
        <w:tblStyle w:val="2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8856"/>
      </w:tblGrid>
      <w:tr w14:paraId="2763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FC1F55B">
            <w:pPr>
              <w:spacing w:line="276" w:lineRule="auto"/>
              <w:ind w:firstLine="0" w:firstLineChars="0"/>
              <w:jc w:val="center"/>
            </w:pPr>
            <w:r>
              <w:t>施工期环境保护措施</w:t>
            </w:r>
          </w:p>
        </w:tc>
        <w:tc>
          <w:tcPr>
            <w:tcW w:w="8363" w:type="dxa"/>
          </w:tcPr>
          <w:p w14:paraId="5EEE8D55">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4.1、</w:t>
            </w:r>
            <w:r>
              <w:t>施工期大气污染防治措施</w:t>
            </w:r>
          </w:p>
          <w:p w14:paraId="00B0D797">
            <w:pPr>
              <w:ind w:firstLine="480"/>
            </w:pPr>
            <w:r>
              <w:rPr>
                <w:rFonts w:hint="eastAsia"/>
              </w:rPr>
              <w:t>为最大限度的降低施工期扬尘对项目周边环境空气质量的影响，本次环评要求建设单位采取如下防治措施：</w:t>
            </w:r>
          </w:p>
          <w:p w14:paraId="1B4B69F0">
            <w:pPr>
              <w:ind w:firstLine="480"/>
            </w:pPr>
            <w:r>
              <w:rPr>
                <w:rFonts w:hint="eastAsia"/>
              </w:rPr>
              <w:t>（1）施工过程中采取必要的洒水降尘措施，如设置定期喷水抑尘；</w:t>
            </w:r>
          </w:p>
          <w:p w14:paraId="372BEADD">
            <w:pPr>
              <w:ind w:firstLine="480"/>
            </w:pPr>
            <w:r>
              <w:rPr>
                <w:rFonts w:hint="eastAsia"/>
              </w:rPr>
              <w:t>（</w:t>
            </w:r>
            <w:r>
              <w:t>2</w:t>
            </w:r>
            <w:r>
              <w:rPr>
                <w:rFonts w:hint="eastAsia"/>
              </w:rPr>
              <w:t>）运输车辆出场时均需冲洗干净方可出场；</w:t>
            </w:r>
          </w:p>
          <w:p w14:paraId="2ADDFAFD">
            <w:pPr>
              <w:ind w:firstLine="480"/>
            </w:pPr>
            <w:r>
              <w:rPr>
                <w:rFonts w:hint="eastAsia"/>
              </w:rPr>
              <w:t>（</w:t>
            </w:r>
            <w:r>
              <w:t>3</w:t>
            </w:r>
            <w:r>
              <w:rPr>
                <w:rFonts w:hint="eastAsia"/>
              </w:rPr>
              <w:t>）露天堆放的建筑垃圾，应采取必要的覆盖措施；</w:t>
            </w:r>
          </w:p>
          <w:p w14:paraId="20F27DD9">
            <w:pPr>
              <w:ind w:firstLine="480"/>
            </w:pPr>
            <w:r>
              <w:rPr>
                <w:rFonts w:hint="eastAsia"/>
              </w:rPr>
              <w:t>（</w:t>
            </w:r>
            <w:r>
              <w:t>4</w:t>
            </w:r>
            <w:r>
              <w:rPr>
                <w:rFonts w:hint="eastAsia"/>
              </w:rPr>
              <w:t>）建筑材料及垃圾装运车辆采用土工布遮盖；</w:t>
            </w:r>
          </w:p>
          <w:p w14:paraId="11D2C1AE">
            <w:pPr>
              <w:ind w:firstLine="480"/>
            </w:pPr>
            <w:r>
              <w:rPr>
                <w:rFonts w:hint="eastAsia"/>
              </w:rPr>
              <w:t>（</w:t>
            </w:r>
            <w:r>
              <w:t>5</w:t>
            </w:r>
            <w:r>
              <w:rPr>
                <w:rFonts w:hint="eastAsia"/>
              </w:rPr>
              <w:t>）在大风条件下，不得进行施工作业。</w:t>
            </w:r>
          </w:p>
          <w:p w14:paraId="5D5CED80">
            <w:pPr>
              <w:ind w:firstLine="480"/>
            </w:pPr>
            <w:r>
              <w:rPr>
                <w:rFonts w:hint="eastAsia"/>
              </w:rPr>
              <w:t>施工活动属于短期行为，随着施工期的结束，施工扬尘对周边环境的影响随之消失。</w:t>
            </w:r>
          </w:p>
          <w:p w14:paraId="511037AB">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4.2、</w:t>
            </w:r>
            <w:r>
              <w:t>施工期水污染防治措施</w:t>
            </w:r>
          </w:p>
          <w:p w14:paraId="763471BC">
            <w:pPr>
              <w:ind w:firstLine="480"/>
            </w:pPr>
            <w:r>
              <w:rPr>
                <w:rFonts w:hint="eastAsia"/>
              </w:rPr>
              <w:t>（1）施工过程严防水土流失，产生的“挖、填、弃”土方石料堆放整齐，堆放场地周围设排雨沟，防止雨水冲刷后流入周边水体，污染水环境。</w:t>
            </w:r>
          </w:p>
          <w:p w14:paraId="54FC3899">
            <w:pPr>
              <w:ind w:firstLine="480"/>
            </w:pPr>
            <w:r>
              <w:rPr>
                <w:rFonts w:hint="eastAsia"/>
              </w:rPr>
              <w:t>（2）施工开挖土方、外运装卸土方等工序，避开雨季；施工材料加盖防雨材料，以免大风暴雨将其带入水体，污染水环境。</w:t>
            </w:r>
          </w:p>
          <w:p w14:paraId="6B1436CC">
            <w:pPr>
              <w:ind w:firstLine="480"/>
            </w:pPr>
            <w:r>
              <w:rPr>
                <w:rFonts w:hint="eastAsia"/>
              </w:rPr>
              <w:t>（3）设备清洗废水、洗车废水经临时隔油沉淀池处理后回用，用于洒水降尘等。</w:t>
            </w:r>
          </w:p>
          <w:p w14:paraId="01871B90">
            <w:pPr>
              <w:ind w:firstLine="480"/>
            </w:pPr>
            <w:r>
              <w:rPr>
                <w:rFonts w:hint="eastAsia"/>
              </w:rPr>
              <w:t>（4）施工期施工人员的生活废水经三级化粪池预处理后用于</w:t>
            </w:r>
            <w:r>
              <w:rPr>
                <w:rFonts w:hint="eastAsia"/>
                <w:u w:val="single"/>
                <w:lang w:val="en-US" w:eastAsia="zh-CN"/>
              </w:rPr>
              <w:t>柑橘林农灌</w:t>
            </w:r>
            <w:r>
              <w:rPr>
                <w:rFonts w:hint="eastAsia"/>
              </w:rPr>
              <w:t>，对周边水体影响不大。</w:t>
            </w:r>
          </w:p>
          <w:p w14:paraId="373902B5">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4.3、</w:t>
            </w:r>
            <w:r>
              <w:t>施工期噪声防治措施</w:t>
            </w:r>
          </w:p>
          <w:p w14:paraId="2129B7B8">
            <w:pPr>
              <w:ind w:firstLine="480"/>
            </w:pPr>
            <w:r>
              <w:rPr>
                <w:rFonts w:hint="eastAsia"/>
              </w:rPr>
              <w:t>为降低施工噪声对周围环境的影响，施工单位采取如下噪声防治措施：</w:t>
            </w:r>
          </w:p>
          <w:p w14:paraId="5879C43E">
            <w:pPr>
              <w:ind w:firstLine="480"/>
            </w:pPr>
            <w:r>
              <w:rPr>
                <w:rFonts w:hint="eastAsia"/>
              </w:rPr>
              <w:t>（1）合理安排施工时间。避免同时使用大量高噪声设备，禁止夜间施工，运输车辆在途经敏感目标时，注意适当减速并禁止鸣笛。</w:t>
            </w:r>
          </w:p>
          <w:p w14:paraId="526A536B">
            <w:pPr>
              <w:ind w:firstLine="480"/>
            </w:pPr>
            <w:r>
              <w:rPr>
                <w:rFonts w:hint="eastAsia"/>
              </w:rPr>
              <w:t>（2）合理使用施工设备。设备选型上采用低噪声设备，加强设备的维修、养护，减少因部件松动或消声设备损坏而增加噪声。</w:t>
            </w:r>
          </w:p>
          <w:p w14:paraId="540F01FE">
            <w:pPr>
              <w:ind w:firstLine="480"/>
            </w:pPr>
            <w:r>
              <w:rPr>
                <w:rFonts w:hint="eastAsia"/>
              </w:rPr>
              <w:t>（3）合理布局施工场地。避免在同一施工地点安排大量动力机械设备，利用已完工的建筑作为声障，达到自我降噪的效果。</w:t>
            </w:r>
          </w:p>
          <w:p w14:paraId="5ECC4A1C">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4.4、</w:t>
            </w:r>
            <w:r>
              <w:t>施工期固体废物防治措施</w:t>
            </w:r>
          </w:p>
          <w:p w14:paraId="5E43F008">
            <w:pPr>
              <w:ind w:firstLine="480"/>
            </w:pPr>
            <w:r>
              <w:rPr>
                <w:rFonts w:hint="eastAsia"/>
              </w:rPr>
              <w:t>项目施工期产生的固体废物主要包括土方、建筑垃圾和生活垃圾，施工单位已加强管理，分类收集、合理处置。采取的防治措施如下：</w:t>
            </w:r>
          </w:p>
          <w:p w14:paraId="6F5C5744">
            <w:pPr>
              <w:ind w:firstLine="480"/>
            </w:pPr>
            <w:r>
              <w:rPr>
                <w:rFonts w:hint="eastAsia"/>
              </w:rPr>
              <w:t>（1）土方全部回填，建筑垃圾主要是废包装物、边角料、焊头等金属类废弃物，施工垃圾通过分类收集处理，回收利用。</w:t>
            </w:r>
          </w:p>
          <w:p w14:paraId="448CCF47">
            <w:pPr>
              <w:ind w:firstLine="480"/>
            </w:pPr>
            <w:r>
              <w:rPr>
                <w:rFonts w:hint="eastAsia"/>
              </w:rPr>
              <w:t>（2）建筑垃圾需分类收集、集中堆放，及时清运至指定的地方处置，并做好水土保持措施。</w:t>
            </w:r>
          </w:p>
          <w:p w14:paraId="68F8AF22">
            <w:pPr>
              <w:ind w:firstLine="480"/>
            </w:pPr>
            <w:r>
              <w:rPr>
                <w:rFonts w:hint="eastAsia"/>
              </w:rPr>
              <w:t>（3）工人的生活垃圾定点堆放，由环卫部门统一收集处理。</w:t>
            </w:r>
          </w:p>
        </w:tc>
      </w:tr>
      <w:tr w14:paraId="0D8F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0DC9042">
            <w:pPr>
              <w:spacing w:line="276" w:lineRule="auto"/>
              <w:ind w:firstLine="0" w:firstLineChars="0"/>
              <w:jc w:val="center"/>
            </w:pPr>
            <w:r>
              <w:t>运营期环境影响和保护措施</w:t>
            </w:r>
          </w:p>
        </w:tc>
        <w:tc>
          <w:tcPr>
            <w:tcW w:w="8363" w:type="dxa"/>
          </w:tcPr>
          <w:p w14:paraId="1896FAB6">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4.5、</w:t>
            </w:r>
            <w:r>
              <w:rPr>
                <w:rFonts w:hint="eastAsia"/>
              </w:rPr>
              <w:t>运营期大气环境保护措施</w:t>
            </w:r>
          </w:p>
          <w:p w14:paraId="104DE55F">
            <w:pPr>
              <w:pStyle w:val="5"/>
              <w:numPr>
                <w:ilvl w:val="2"/>
                <w:numId w:val="0"/>
              </w:numPr>
              <w:bidi w:val="0"/>
              <w:ind w:left="0" w:leftChars="0" w:firstLine="0" w:firstLineChars="0"/>
              <w:rPr>
                <w:rFonts w:hint="eastAsia"/>
                <w:lang w:eastAsia="zh-CN"/>
              </w:rPr>
            </w:pPr>
            <w:r>
              <w:rPr>
                <w:rFonts w:hint="default" w:ascii="Times New Roman" w:hAnsi="Times New Roman" w:eastAsia="宋体" w:cs="Times New Roman"/>
                <w:b/>
                <w:i w:val="0"/>
                <w:color w:val="auto"/>
                <w:kern w:val="2"/>
                <w:sz w:val="24"/>
                <w:szCs w:val="24"/>
                <w:lang w:val="en-US" w:eastAsia="zh-CN" w:bidi="ar-SA"/>
              </w:rPr>
              <w:t>4.5.1、</w:t>
            </w:r>
            <w:r>
              <w:rPr>
                <w:rFonts w:hint="eastAsia"/>
                <w:lang w:eastAsia="zh-CN"/>
              </w:rPr>
              <w:t>源强分析及污染防控措施</w:t>
            </w:r>
          </w:p>
          <w:p w14:paraId="72C21B50">
            <w:pPr>
              <w:rPr>
                <w:sz w:val="24"/>
              </w:rPr>
            </w:pPr>
            <w:r>
              <w:rPr>
                <w:rFonts w:hint="eastAsia"/>
                <w:spacing w:val="-2"/>
                <w:sz w:val="24"/>
              </w:rPr>
              <w:t>本项目废气主要为</w:t>
            </w:r>
            <w:r>
              <w:rPr>
                <w:rFonts w:hint="eastAsia"/>
                <w:spacing w:val="-2"/>
                <w:sz w:val="24"/>
                <w:lang w:eastAsia="zh-CN"/>
              </w:rPr>
              <w:t>生物质</w:t>
            </w:r>
            <w:r>
              <w:rPr>
                <w:rFonts w:hint="eastAsia"/>
                <w:spacing w:val="-2"/>
                <w:sz w:val="24"/>
              </w:rPr>
              <w:t>锅炉产生的废气、化制烘干工序废气、其他工序(投料、破碎、缓存)废气、黑膜厌氧池废气</w:t>
            </w:r>
            <w:r>
              <w:rPr>
                <w:sz w:val="24"/>
              </w:rPr>
              <w:t>。</w:t>
            </w:r>
          </w:p>
          <w:p w14:paraId="2DE69721">
            <w:pPr>
              <w:autoSpaceDE/>
              <w:autoSpaceDN/>
              <w:spacing w:line="360" w:lineRule="auto"/>
              <w:ind w:firstLine="480" w:firstLineChars="200"/>
              <w:jc w:val="both"/>
              <w:rPr>
                <w:rFonts w:ascii="Times New Roman" w:hAnsi="Times New Roman" w:cs="Times New Roman"/>
                <w:sz w:val="24"/>
                <w:szCs w:val="24"/>
                <w:lang w:val="en-US" w:bidi="ar-SA"/>
              </w:rPr>
            </w:pPr>
            <w:r>
              <w:rPr>
                <w:rFonts w:hint="eastAsia" w:ascii="Times New Roman" w:hAnsi="Times New Roman" w:cs="Times New Roman"/>
                <w:sz w:val="24"/>
                <w:szCs w:val="24"/>
                <w:lang w:val="en-US" w:bidi="ar-SA"/>
              </w:rPr>
              <w:t>为了解项目各污染物产排情况，本次评价采取类比法进行分析，类比对象为《定远县题桥环境科技有限公司定远县病死畜禽无害化处理项目竣工环境保护验收监测报告表》中的验收监测数据，该项目与本项目的类比条件如下表：</w:t>
            </w:r>
          </w:p>
          <w:p w14:paraId="6AE6A49F">
            <w:pPr>
              <w:pStyle w:val="8"/>
              <w:keepNext/>
              <w:keepLines w:val="0"/>
              <w:pageBreakBefore w:val="0"/>
              <w:widowControl w:val="0"/>
              <w:numPr>
                <w:ilvl w:val="5"/>
                <w:numId w:val="0"/>
              </w:numPr>
              <w:kinsoku/>
              <w:wordWrap/>
              <w:overflowPunct w:val="0"/>
              <w:topLinePunct w:val="0"/>
              <w:autoSpaceDE/>
              <w:autoSpaceDN/>
              <w:bidi w:val="0"/>
              <w:adjustRightInd/>
              <w:snapToGrid/>
              <w:ind w:left="0" w:leftChars="0" w:firstLine="0" w:firstLineChars="0"/>
              <w:textAlignment w:val="auto"/>
            </w:pPr>
            <w:r>
              <w:rPr>
                <w:rFonts w:hint="default" w:ascii="Times New Roman" w:hAnsi="Times New Roman" w:eastAsia="宋体" w:cs="Times New Roman"/>
                <w:b/>
                <w:i w:val="0"/>
                <w:color w:val="auto"/>
                <w:kern w:val="2"/>
                <w:sz w:val="24"/>
                <w:szCs w:val="24"/>
                <w:shd w:val="clear" w:fill="FFFFFF"/>
                <w:lang w:val="en-US" w:eastAsia="zh-CN" w:bidi="ar-SA"/>
              </w:rPr>
              <w:t>表4-1</w:t>
            </w:r>
            <w:r>
              <w:rPr>
                <w:rFonts w:hint="eastAsia" w:cs="Times New Roman"/>
                <w:b/>
                <w:i w:val="0"/>
                <w:color w:val="auto"/>
                <w:kern w:val="2"/>
                <w:sz w:val="24"/>
                <w:szCs w:val="24"/>
                <w:shd w:val="clear" w:fill="FFFFFF"/>
                <w:lang w:val="en-US" w:eastAsia="zh-CN" w:bidi="ar-SA"/>
              </w:rPr>
              <w:t>生产工艺及产量对比表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918"/>
              <w:gridCol w:w="3151"/>
              <w:gridCol w:w="3077"/>
              <w:gridCol w:w="567"/>
            </w:tblGrid>
            <w:tr w14:paraId="6D84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gridSpan w:val="2"/>
                  <w:vAlign w:val="center"/>
                </w:tcPr>
                <w:p w14:paraId="2ED78699">
                  <w:pPr>
                    <w:pStyle w:val="42"/>
                    <w:bidi w:val="0"/>
                    <w:jc w:val="center"/>
                    <w:rPr>
                      <w:lang w:val="en-US"/>
                    </w:rPr>
                  </w:pPr>
                  <w:r>
                    <w:rPr>
                      <w:lang w:val="en-US"/>
                    </w:rPr>
                    <w:t>工程内容</w:t>
                  </w:r>
                </w:p>
              </w:tc>
              <w:tc>
                <w:tcPr>
                  <w:tcW w:w="3153" w:type="dxa"/>
                  <w:vAlign w:val="center"/>
                </w:tcPr>
                <w:p w14:paraId="0CACD3EF">
                  <w:pPr>
                    <w:pStyle w:val="42"/>
                    <w:bidi w:val="0"/>
                    <w:jc w:val="center"/>
                    <w:rPr>
                      <w:lang w:val="en-US"/>
                    </w:rPr>
                  </w:pPr>
                  <w:r>
                    <w:rPr>
                      <w:lang w:val="en-US"/>
                    </w:rPr>
                    <w:t>类比项目</w:t>
                  </w:r>
                </w:p>
              </w:tc>
              <w:tc>
                <w:tcPr>
                  <w:tcW w:w="3079" w:type="dxa"/>
                  <w:vAlign w:val="center"/>
                </w:tcPr>
                <w:p w14:paraId="02A7B6A6">
                  <w:pPr>
                    <w:pStyle w:val="42"/>
                    <w:bidi w:val="0"/>
                    <w:jc w:val="center"/>
                    <w:rPr>
                      <w:lang w:val="en-US"/>
                    </w:rPr>
                  </w:pPr>
                  <w:r>
                    <w:rPr>
                      <w:lang w:val="en-US"/>
                    </w:rPr>
                    <w:t>本项目</w:t>
                  </w:r>
                </w:p>
              </w:tc>
              <w:tc>
                <w:tcPr>
                  <w:tcW w:w="567" w:type="dxa"/>
                  <w:vAlign w:val="center"/>
                </w:tcPr>
                <w:p w14:paraId="2DAC6DDB">
                  <w:pPr>
                    <w:pStyle w:val="42"/>
                    <w:bidi w:val="0"/>
                    <w:jc w:val="center"/>
                    <w:rPr>
                      <w:lang w:val="en-US"/>
                    </w:rPr>
                  </w:pPr>
                  <w:r>
                    <w:rPr>
                      <w:lang w:val="en-US"/>
                    </w:rPr>
                    <w:t>备注</w:t>
                  </w:r>
                </w:p>
              </w:tc>
            </w:tr>
            <w:tr w14:paraId="052D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gridSpan w:val="2"/>
                  <w:vAlign w:val="center"/>
                </w:tcPr>
                <w:p w14:paraId="20309EBB">
                  <w:pPr>
                    <w:pStyle w:val="42"/>
                    <w:bidi w:val="0"/>
                    <w:jc w:val="center"/>
                    <w:rPr>
                      <w:lang w:val="en-US"/>
                    </w:rPr>
                  </w:pPr>
                  <w:r>
                    <w:rPr>
                      <w:lang w:val="en-US"/>
                    </w:rPr>
                    <w:t>处理规模</w:t>
                  </w:r>
                </w:p>
              </w:tc>
              <w:tc>
                <w:tcPr>
                  <w:tcW w:w="3153" w:type="dxa"/>
                  <w:vAlign w:val="center"/>
                </w:tcPr>
                <w:p w14:paraId="03F3FA32">
                  <w:pPr>
                    <w:pStyle w:val="42"/>
                    <w:bidi w:val="0"/>
                    <w:jc w:val="center"/>
                    <w:rPr>
                      <w:lang w:val="en-US"/>
                    </w:rPr>
                  </w:pPr>
                  <w:r>
                    <w:rPr>
                      <w:lang w:val="en-US"/>
                    </w:rPr>
                    <w:t>设计能力</w:t>
                  </w:r>
                  <w:r>
                    <w:rPr>
                      <w:rFonts w:hint="eastAsia"/>
                      <w:lang w:val="en-US" w:eastAsia="zh-CN"/>
                    </w:rPr>
                    <w:t>6000</w:t>
                  </w:r>
                  <w:r>
                    <w:rPr>
                      <w:lang w:val="en-US"/>
                    </w:rPr>
                    <w:t>t/a</w:t>
                  </w:r>
                </w:p>
              </w:tc>
              <w:tc>
                <w:tcPr>
                  <w:tcW w:w="3079" w:type="dxa"/>
                  <w:vAlign w:val="center"/>
                </w:tcPr>
                <w:p w14:paraId="27CCE855">
                  <w:pPr>
                    <w:pStyle w:val="42"/>
                    <w:bidi w:val="0"/>
                    <w:jc w:val="center"/>
                    <w:rPr>
                      <w:lang w:val="en-US"/>
                    </w:rPr>
                  </w:pPr>
                  <w:r>
                    <w:rPr>
                      <w:lang w:val="en-US"/>
                    </w:rPr>
                    <w:t>设计能力</w:t>
                  </w:r>
                  <w:r>
                    <w:rPr>
                      <w:rFonts w:hint="eastAsia"/>
                      <w:lang w:val="en-US" w:eastAsia="zh-CN"/>
                    </w:rPr>
                    <w:t>7300</w:t>
                  </w:r>
                  <w:r>
                    <w:rPr>
                      <w:lang w:val="en-US"/>
                    </w:rPr>
                    <w:t>t/a</w:t>
                  </w:r>
                </w:p>
              </w:tc>
              <w:tc>
                <w:tcPr>
                  <w:tcW w:w="567" w:type="dxa"/>
                  <w:vAlign w:val="center"/>
                </w:tcPr>
                <w:p w14:paraId="3DE99517">
                  <w:pPr>
                    <w:pStyle w:val="42"/>
                    <w:bidi w:val="0"/>
                    <w:jc w:val="center"/>
                    <w:rPr>
                      <w:lang w:val="en-US"/>
                    </w:rPr>
                  </w:pPr>
                  <w:r>
                    <w:rPr>
                      <w:rFonts w:hint="eastAsia"/>
                      <w:lang w:val="en-US" w:eastAsia="zh-CN"/>
                    </w:rPr>
                    <w:t>不</w:t>
                  </w:r>
                  <w:r>
                    <w:rPr>
                      <w:lang w:val="en-US"/>
                    </w:rPr>
                    <w:t>一致</w:t>
                  </w:r>
                </w:p>
              </w:tc>
            </w:tr>
            <w:tr w14:paraId="35D1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gridSpan w:val="2"/>
                  <w:vAlign w:val="center"/>
                </w:tcPr>
                <w:p w14:paraId="0822B568">
                  <w:pPr>
                    <w:pStyle w:val="42"/>
                    <w:bidi w:val="0"/>
                    <w:jc w:val="center"/>
                    <w:rPr>
                      <w:lang w:val="en-US"/>
                    </w:rPr>
                  </w:pPr>
                  <w:r>
                    <w:rPr>
                      <w:rFonts w:hint="eastAsia"/>
                      <w:lang w:val="en-US"/>
                    </w:rPr>
                    <w:t>处理过程中产生的副产物</w:t>
                  </w:r>
                </w:p>
              </w:tc>
              <w:tc>
                <w:tcPr>
                  <w:tcW w:w="3153" w:type="dxa"/>
                  <w:vAlign w:val="center"/>
                </w:tcPr>
                <w:p w14:paraId="020715F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有机肥基料1200</w:t>
                  </w:r>
                  <w:r>
                    <w:rPr>
                      <w:lang w:val="en-US"/>
                    </w:rPr>
                    <w:t>t/a</w:t>
                  </w:r>
                </w:p>
                <w:p w14:paraId="3FA8D5C2">
                  <w:pPr>
                    <w:pStyle w:val="42"/>
                    <w:bidi w:val="0"/>
                    <w:jc w:val="center"/>
                    <w:rPr>
                      <w:lang w:val="en-US"/>
                    </w:rPr>
                  </w:pPr>
                  <w:r>
                    <w:rPr>
                      <w:rFonts w:hint="eastAsia" w:cs="Times New Roman"/>
                      <w:color w:val="000000"/>
                      <w:kern w:val="0"/>
                      <w:sz w:val="21"/>
                      <w:szCs w:val="21"/>
                      <w:highlight w:val="none"/>
                      <w:lang w:val="en-US" w:eastAsia="zh-CN" w:bidi="ar"/>
                    </w:rPr>
                    <w:t>生物柴油原料600</w:t>
                  </w:r>
                  <w:r>
                    <w:rPr>
                      <w:lang w:val="en-US"/>
                    </w:rPr>
                    <w:t>t/a</w:t>
                  </w:r>
                </w:p>
              </w:tc>
              <w:tc>
                <w:tcPr>
                  <w:tcW w:w="3079" w:type="dxa"/>
                  <w:vAlign w:val="center"/>
                </w:tcPr>
                <w:p w14:paraId="5AA0E5A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有机肥基料1460</w:t>
                  </w:r>
                  <w:r>
                    <w:rPr>
                      <w:lang w:val="en-US"/>
                    </w:rPr>
                    <w:t>t/a</w:t>
                  </w:r>
                </w:p>
                <w:p w14:paraId="32F3E89A">
                  <w:pPr>
                    <w:pStyle w:val="12"/>
                    <w:ind w:left="0" w:leftChars="0" w:firstLine="0" w:firstLineChars="0"/>
                    <w:jc w:val="center"/>
                    <w:rPr>
                      <w:rFonts w:hint="default"/>
                      <w:lang w:val="en-US"/>
                    </w:rPr>
                  </w:pPr>
                  <w:r>
                    <w:rPr>
                      <w:rFonts w:hint="eastAsia" w:cs="Times New Roman"/>
                      <w:color w:val="000000"/>
                      <w:kern w:val="0"/>
                      <w:sz w:val="21"/>
                      <w:szCs w:val="21"/>
                      <w:highlight w:val="none"/>
                      <w:lang w:val="en-US" w:eastAsia="zh-CN" w:bidi="ar"/>
                    </w:rPr>
                    <w:t>生物柴油原料730</w:t>
                  </w:r>
                  <w:r>
                    <w:rPr>
                      <w:lang w:val="en-US"/>
                    </w:rPr>
                    <w:t>t/a</w:t>
                  </w:r>
                </w:p>
              </w:tc>
              <w:tc>
                <w:tcPr>
                  <w:tcW w:w="567" w:type="dxa"/>
                  <w:vAlign w:val="center"/>
                </w:tcPr>
                <w:p w14:paraId="28CD5960">
                  <w:pPr>
                    <w:pStyle w:val="42"/>
                    <w:bidi w:val="0"/>
                    <w:jc w:val="center"/>
                    <w:rPr>
                      <w:lang w:val="en-US"/>
                    </w:rPr>
                  </w:pPr>
                  <w:r>
                    <w:rPr>
                      <w:rFonts w:hint="eastAsia"/>
                      <w:lang w:val="en-US" w:eastAsia="zh-CN"/>
                    </w:rPr>
                    <w:t>不</w:t>
                  </w:r>
                  <w:r>
                    <w:rPr>
                      <w:lang w:val="en-US"/>
                    </w:rPr>
                    <w:t>一致</w:t>
                  </w:r>
                </w:p>
              </w:tc>
            </w:tr>
            <w:tr w14:paraId="32FF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gridSpan w:val="2"/>
                  <w:vAlign w:val="center"/>
                </w:tcPr>
                <w:p w14:paraId="6DDC73B4">
                  <w:pPr>
                    <w:pStyle w:val="42"/>
                    <w:bidi w:val="0"/>
                    <w:jc w:val="center"/>
                    <w:rPr>
                      <w:lang w:val="en-US"/>
                    </w:rPr>
                  </w:pPr>
                  <w:r>
                    <w:rPr>
                      <w:lang w:val="en-US"/>
                    </w:rPr>
                    <w:t>生产工艺</w:t>
                  </w:r>
                </w:p>
              </w:tc>
              <w:tc>
                <w:tcPr>
                  <w:tcW w:w="3153" w:type="dxa"/>
                  <w:vAlign w:val="center"/>
                </w:tcPr>
                <w:p w14:paraId="51DFD59C">
                  <w:pPr>
                    <w:pStyle w:val="42"/>
                    <w:bidi w:val="0"/>
                    <w:jc w:val="center"/>
                    <w:rPr>
                      <w:lang w:val="en-US"/>
                    </w:rPr>
                  </w:pPr>
                  <w:r>
                    <w:rPr>
                      <w:lang w:val="en-US"/>
                    </w:rPr>
                    <w:t>高温干化法</w:t>
                  </w:r>
                </w:p>
              </w:tc>
              <w:tc>
                <w:tcPr>
                  <w:tcW w:w="3079" w:type="dxa"/>
                  <w:vAlign w:val="center"/>
                </w:tcPr>
                <w:p w14:paraId="6ED2600C">
                  <w:pPr>
                    <w:pStyle w:val="42"/>
                    <w:bidi w:val="0"/>
                    <w:jc w:val="center"/>
                    <w:rPr>
                      <w:lang w:val="en-US"/>
                    </w:rPr>
                  </w:pPr>
                  <w:r>
                    <w:rPr>
                      <w:lang w:val="en-US"/>
                    </w:rPr>
                    <w:t>高温干化法</w:t>
                  </w:r>
                </w:p>
              </w:tc>
              <w:tc>
                <w:tcPr>
                  <w:tcW w:w="567" w:type="dxa"/>
                  <w:vAlign w:val="center"/>
                </w:tcPr>
                <w:p w14:paraId="196DCD52">
                  <w:pPr>
                    <w:pStyle w:val="42"/>
                    <w:bidi w:val="0"/>
                    <w:jc w:val="center"/>
                    <w:rPr>
                      <w:lang w:val="en-US"/>
                    </w:rPr>
                  </w:pPr>
                  <w:r>
                    <w:rPr>
                      <w:lang w:val="en-US"/>
                    </w:rPr>
                    <w:t>一致</w:t>
                  </w:r>
                </w:p>
              </w:tc>
            </w:tr>
            <w:tr w14:paraId="2963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gridSpan w:val="2"/>
                  <w:vAlign w:val="center"/>
                </w:tcPr>
                <w:p w14:paraId="3E5FD256">
                  <w:pPr>
                    <w:pStyle w:val="42"/>
                    <w:bidi w:val="0"/>
                    <w:jc w:val="center"/>
                    <w:rPr>
                      <w:lang w:val="en-US"/>
                    </w:rPr>
                  </w:pPr>
                  <w:r>
                    <w:rPr>
                      <w:lang w:val="en-US"/>
                    </w:rPr>
                    <w:t>行时间</w:t>
                  </w:r>
                </w:p>
              </w:tc>
              <w:tc>
                <w:tcPr>
                  <w:tcW w:w="3153" w:type="dxa"/>
                  <w:vAlign w:val="center"/>
                </w:tcPr>
                <w:p w14:paraId="365B8676">
                  <w:pPr>
                    <w:pStyle w:val="42"/>
                    <w:bidi w:val="0"/>
                    <w:jc w:val="center"/>
                    <w:rPr>
                      <w:lang w:val="en-US"/>
                    </w:rPr>
                  </w:pPr>
                  <w:r>
                    <w:rPr>
                      <w:lang w:val="en-US"/>
                    </w:rPr>
                    <w:t>每日1班制，每班工作8小时，年工作300天。</w:t>
                  </w:r>
                </w:p>
              </w:tc>
              <w:tc>
                <w:tcPr>
                  <w:tcW w:w="3079" w:type="dxa"/>
                  <w:vAlign w:val="center"/>
                </w:tcPr>
                <w:p w14:paraId="6C81700F">
                  <w:pPr>
                    <w:pStyle w:val="42"/>
                    <w:bidi w:val="0"/>
                    <w:jc w:val="center"/>
                    <w:rPr>
                      <w:lang w:val="en-US"/>
                    </w:rPr>
                  </w:pPr>
                  <w:r>
                    <w:rPr>
                      <w:lang w:val="en-US"/>
                    </w:rPr>
                    <w:t>每日1班制，每班工作8小时，年工作300天。</w:t>
                  </w:r>
                </w:p>
              </w:tc>
              <w:tc>
                <w:tcPr>
                  <w:tcW w:w="567" w:type="dxa"/>
                  <w:vAlign w:val="center"/>
                </w:tcPr>
                <w:p w14:paraId="33D3300D">
                  <w:pPr>
                    <w:pStyle w:val="42"/>
                    <w:bidi w:val="0"/>
                    <w:jc w:val="center"/>
                    <w:rPr>
                      <w:lang w:val="en-US"/>
                    </w:rPr>
                  </w:pPr>
                  <w:r>
                    <w:rPr>
                      <w:lang w:val="en-US"/>
                    </w:rPr>
                    <w:t>一致</w:t>
                  </w:r>
                </w:p>
              </w:tc>
            </w:tr>
            <w:tr w14:paraId="0EE7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restart"/>
                  <w:vAlign w:val="center"/>
                </w:tcPr>
                <w:p w14:paraId="1F40AC45">
                  <w:pPr>
                    <w:pStyle w:val="42"/>
                    <w:bidi w:val="0"/>
                    <w:jc w:val="center"/>
                    <w:rPr>
                      <w:lang w:val="en-US"/>
                    </w:rPr>
                  </w:pPr>
                  <w:r>
                    <w:rPr>
                      <w:lang w:val="en-US"/>
                    </w:rPr>
                    <w:t>处理过程</w:t>
                  </w:r>
                </w:p>
              </w:tc>
              <w:tc>
                <w:tcPr>
                  <w:tcW w:w="918" w:type="dxa"/>
                  <w:vAlign w:val="center"/>
                </w:tcPr>
                <w:p w14:paraId="1B42BFB1">
                  <w:pPr>
                    <w:pStyle w:val="42"/>
                    <w:bidi w:val="0"/>
                    <w:jc w:val="center"/>
                    <w:rPr>
                      <w:lang w:val="en-US"/>
                    </w:rPr>
                  </w:pPr>
                  <w:r>
                    <w:rPr>
                      <w:lang w:val="en-US"/>
                    </w:rPr>
                    <w:t>前处理</w:t>
                  </w:r>
                </w:p>
              </w:tc>
              <w:tc>
                <w:tcPr>
                  <w:tcW w:w="3153" w:type="dxa"/>
                  <w:vAlign w:val="center"/>
                </w:tcPr>
                <w:p w14:paraId="1F7C2C30">
                  <w:pPr>
                    <w:pStyle w:val="42"/>
                    <w:bidi w:val="0"/>
                    <w:jc w:val="center"/>
                    <w:rPr>
                      <w:lang w:val="en-US"/>
                    </w:rPr>
                  </w:pPr>
                  <w:r>
                    <w:rPr>
                      <w:lang w:val="en-US"/>
                    </w:rPr>
                    <w:t>破碎机破碎</w:t>
                  </w:r>
                </w:p>
              </w:tc>
              <w:tc>
                <w:tcPr>
                  <w:tcW w:w="3079" w:type="dxa"/>
                  <w:vAlign w:val="center"/>
                </w:tcPr>
                <w:p w14:paraId="1A4B6819">
                  <w:pPr>
                    <w:pStyle w:val="42"/>
                    <w:bidi w:val="0"/>
                    <w:jc w:val="center"/>
                    <w:rPr>
                      <w:lang w:val="en-US"/>
                    </w:rPr>
                  </w:pPr>
                  <w:r>
                    <w:rPr>
                      <w:lang w:val="en-US"/>
                    </w:rPr>
                    <w:t>破碎机破碎</w:t>
                  </w:r>
                </w:p>
              </w:tc>
              <w:tc>
                <w:tcPr>
                  <w:tcW w:w="567" w:type="dxa"/>
                  <w:vAlign w:val="center"/>
                </w:tcPr>
                <w:p w14:paraId="156E344E">
                  <w:pPr>
                    <w:pStyle w:val="42"/>
                    <w:bidi w:val="0"/>
                    <w:jc w:val="center"/>
                    <w:rPr>
                      <w:lang w:val="en-US"/>
                    </w:rPr>
                  </w:pPr>
                  <w:r>
                    <w:rPr>
                      <w:lang w:val="en-US"/>
                    </w:rPr>
                    <w:t>一致</w:t>
                  </w:r>
                </w:p>
              </w:tc>
            </w:tr>
            <w:tr w14:paraId="6F0A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1C2254F6">
                  <w:pPr>
                    <w:pStyle w:val="42"/>
                    <w:bidi w:val="0"/>
                    <w:jc w:val="center"/>
                    <w:rPr>
                      <w:lang w:val="en-US"/>
                    </w:rPr>
                  </w:pPr>
                </w:p>
              </w:tc>
              <w:tc>
                <w:tcPr>
                  <w:tcW w:w="918" w:type="dxa"/>
                  <w:vAlign w:val="center"/>
                </w:tcPr>
                <w:p w14:paraId="45F0A4B2">
                  <w:pPr>
                    <w:pStyle w:val="42"/>
                    <w:bidi w:val="0"/>
                    <w:jc w:val="center"/>
                    <w:rPr>
                      <w:lang w:val="en-US"/>
                    </w:rPr>
                  </w:pPr>
                  <w:r>
                    <w:rPr>
                      <w:lang w:val="en-US"/>
                    </w:rPr>
                    <w:t>主处理</w:t>
                  </w:r>
                </w:p>
              </w:tc>
              <w:tc>
                <w:tcPr>
                  <w:tcW w:w="3153" w:type="dxa"/>
                  <w:vAlign w:val="center"/>
                </w:tcPr>
                <w:p w14:paraId="377F0B72">
                  <w:pPr>
                    <w:pStyle w:val="42"/>
                    <w:bidi w:val="0"/>
                    <w:jc w:val="center"/>
                    <w:rPr>
                      <w:lang w:val="en-US"/>
                    </w:rPr>
                  </w:pPr>
                  <w:r>
                    <w:rPr>
                      <w:lang w:val="en-US"/>
                    </w:rPr>
                    <w:t>高温干化化制灭菌脱水</w:t>
                  </w:r>
                </w:p>
              </w:tc>
              <w:tc>
                <w:tcPr>
                  <w:tcW w:w="3079" w:type="dxa"/>
                  <w:vAlign w:val="center"/>
                </w:tcPr>
                <w:p w14:paraId="0A62008C">
                  <w:pPr>
                    <w:pStyle w:val="42"/>
                    <w:bidi w:val="0"/>
                    <w:jc w:val="center"/>
                    <w:rPr>
                      <w:lang w:val="en-US"/>
                    </w:rPr>
                  </w:pPr>
                  <w:r>
                    <w:rPr>
                      <w:lang w:val="en-US"/>
                    </w:rPr>
                    <w:t>高温干化化制灭菌脱水</w:t>
                  </w:r>
                </w:p>
              </w:tc>
              <w:tc>
                <w:tcPr>
                  <w:tcW w:w="567" w:type="dxa"/>
                  <w:vAlign w:val="center"/>
                </w:tcPr>
                <w:p w14:paraId="2991688E">
                  <w:pPr>
                    <w:pStyle w:val="42"/>
                    <w:bidi w:val="0"/>
                    <w:jc w:val="center"/>
                    <w:rPr>
                      <w:lang w:val="en-US"/>
                    </w:rPr>
                  </w:pPr>
                  <w:r>
                    <w:rPr>
                      <w:lang w:val="en-US"/>
                    </w:rPr>
                    <w:t>一致</w:t>
                  </w:r>
                </w:p>
              </w:tc>
            </w:tr>
            <w:tr w14:paraId="6542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1C3CED45">
                  <w:pPr>
                    <w:pStyle w:val="42"/>
                    <w:bidi w:val="0"/>
                    <w:jc w:val="center"/>
                    <w:rPr>
                      <w:lang w:val="en-US"/>
                    </w:rPr>
                  </w:pPr>
                </w:p>
              </w:tc>
              <w:tc>
                <w:tcPr>
                  <w:tcW w:w="918" w:type="dxa"/>
                  <w:vAlign w:val="center"/>
                </w:tcPr>
                <w:p w14:paraId="16B3B653">
                  <w:pPr>
                    <w:pStyle w:val="42"/>
                    <w:bidi w:val="0"/>
                    <w:jc w:val="center"/>
                    <w:rPr>
                      <w:lang w:val="en-US"/>
                    </w:rPr>
                  </w:pPr>
                  <w:r>
                    <w:rPr>
                      <w:lang w:val="en-US"/>
                    </w:rPr>
                    <w:t>残余处理</w:t>
                  </w:r>
                </w:p>
              </w:tc>
              <w:tc>
                <w:tcPr>
                  <w:tcW w:w="3153" w:type="dxa"/>
                  <w:vAlign w:val="center"/>
                </w:tcPr>
                <w:p w14:paraId="47E3E26E">
                  <w:pPr>
                    <w:pStyle w:val="42"/>
                    <w:bidi w:val="0"/>
                    <w:jc w:val="center"/>
                    <w:rPr>
                      <w:lang w:val="en-US"/>
                    </w:rPr>
                  </w:pPr>
                  <w:r>
                    <w:rPr>
                      <w:lang w:val="en-US"/>
                    </w:rPr>
                    <w:t>烘干压榨脱脂</w:t>
                  </w:r>
                </w:p>
              </w:tc>
              <w:tc>
                <w:tcPr>
                  <w:tcW w:w="3079" w:type="dxa"/>
                  <w:vAlign w:val="center"/>
                </w:tcPr>
                <w:p w14:paraId="0B32C693">
                  <w:pPr>
                    <w:pStyle w:val="42"/>
                    <w:bidi w:val="0"/>
                    <w:jc w:val="center"/>
                    <w:rPr>
                      <w:lang w:val="en-US"/>
                    </w:rPr>
                  </w:pPr>
                  <w:r>
                    <w:rPr>
                      <w:lang w:val="en-US"/>
                    </w:rPr>
                    <w:t>烘干压榨脱脂</w:t>
                  </w:r>
                </w:p>
              </w:tc>
              <w:tc>
                <w:tcPr>
                  <w:tcW w:w="567" w:type="dxa"/>
                  <w:vAlign w:val="center"/>
                </w:tcPr>
                <w:p w14:paraId="0C9B48E1">
                  <w:pPr>
                    <w:pStyle w:val="42"/>
                    <w:bidi w:val="0"/>
                    <w:jc w:val="center"/>
                    <w:rPr>
                      <w:lang w:val="en-US"/>
                    </w:rPr>
                  </w:pPr>
                  <w:r>
                    <w:rPr>
                      <w:lang w:val="en-US"/>
                    </w:rPr>
                    <w:t>一致</w:t>
                  </w:r>
                </w:p>
              </w:tc>
            </w:tr>
            <w:tr w14:paraId="2FAD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5A8AE47D">
                  <w:pPr>
                    <w:pStyle w:val="42"/>
                    <w:bidi w:val="0"/>
                    <w:jc w:val="center"/>
                    <w:rPr>
                      <w:lang w:val="en-US"/>
                    </w:rPr>
                  </w:pPr>
                </w:p>
              </w:tc>
              <w:tc>
                <w:tcPr>
                  <w:tcW w:w="918" w:type="dxa"/>
                  <w:vAlign w:val="center"/>
                </w:tcPr>
                <w:p w14:paraId="32F797D0">
                  <w:pPr>
                    <w:pStyle w:val="42"/>
                    <w:bidi w:val="0"/>
                    <w:jc w:val="center"/>
                    <w:rPr>
                      <w:lang w:val="en-US"/>
                    </w:rPr>
                  </w:pPr>
                  <w:r>
                    <w:rPr>
                      <w:lang w:val="en-US"/>
                    </w:rPr>
                    <w:t>供热锅炉</w:t>
                  </w:r>
                </w:p>
              </w:tc>
              <w:tc>
                <w:tcPr>
                  <w:tcW w:w="3153" w:type="dxa"/>
                  <w:vAlign w:val="center"/>
                </w:tcPr>
                <w:p w14:paraId="3A2EA51E">
                  <w:pPr>
                    <w:pStyle w:val="42"/>
                    <w:bidi w:val="0"/>
                    <w:jc w:val="center"/>
                    <w:rPr>
                      <w:lang w:val="en-US"/>
                    </w:rPr>
                  </w:pPr>
                  <w:r>
                    <w:rPr>
                      <w:rFonts w:hint="eastAsia"/>
                      <w:lang w:val="en-US" w:eastAsia="zh-CN"/>
                    </w:rPr>
                    <w:t>4</w:t>
                  </w:r>
                  <w:r>
                    <w:rPr>
                      <w:lang w:val="en-US"/>
                    </w:rPr>
                    <w:t>t/h生物质导热油炉</w:t>
                  </w:r>
                </w:p>
              </w:tc>
              <w:tc>
                <w:tcPr>
                  <w:tcW w:w="3079" w:type="dxa"/>
                  <w:vAlign w:val="center"/>
                </w:tcPr>
                <w:p w14:paraId="36CEB083">
                  <w:pPr>
                    <w:pStyle w:val="42"/>
                    <w:bidi w:val="0"/>
                    <w:jc w:val="center"/>
                    <w:rPr>
                      <w:lang w:val="en-US"/>
                    </w:rPr>
                  </w:pPr>
                  <w:r>
                    <w:rPr>
                      <w:rFonts w:hint="eastAsia"/>
                      <w:lang w:val="en-US" w:eastAsia="zh-CN"/>
                    </w:rPr>
                    <w:t>4</w:t>
                  </w:r>
                  <w:r>
                    <w:rPr>
                      <w:lang w:val="en-US"/>
                    </w:rPr>
                    <w:t>t/h</w:t>
                  </w:r>
                  <w:r>
                    <w:rPr>
                      <w:rFonts w:hint="eastAsia"/>
                      <w:lang w:val="en-US" w:eastAsia="zh-CN"/>
                    </w:rPr>
                    <w:t>生物质</w:t>
                  </w:r>
                  <w:r>
                    <w:rPr>
                      <w:rFonts w:hint="eastAsia"/>
                      <w:lang w:val="en-US"/>
                    </w:rPr>
                    <w:t>锅炉</w:t>
                  </w:r>
                </w:p>
              </w:tc>
              <w:tc>
                <w:tcPr>
                  <w:tcW w:w="567" w:type="dxa"/>
                  <w:vAlign w:val="center"/>
                </w:tcPr>
                <w:p w14:paraId="479D5796">
                  <w:pPr>
                    <w:pStyle w:val="42"/>
                    <w:bidi w:val="0"/>
                    <w:jc w:val="center"/>
                    <w:rPr>
                      <w:lang w:val="en-US"/>
                    </w:rPr>
                  </w:pPr>
                  <w:r>
                    <w:rPr>
                      <w:lang w:val="en-US"/>
                    </w:rPr>
                    <w:t>一致</w:t>
                  </w:r>
                </w:p>
              </w:tc>
            </w:tr>
            <w:tr w14:paraId="52A2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restart"/>
                  <w:vAlign w:val="center"/>
                </w:tcPr>
                <w:p w14:paraId="2190551A">
                  <w:pPr>
                    <w:pStyle w:val="42"/>
                    <w:bidi w:val="0"/>
                    <w:jc w:val="center"/>
                    <w:rPr>
                      <w:lang w:val="en-US"/>
                    </w:rPr>
                  </w:pPr>
                  <w:r>
                    <w:rPr>
                      <w:lang w:val="en-US"/>
                    </w:rPr>
                    <w:t>主要环保处理系统</w:t>
                  </w:r>
                </w:p>
              </w:tc>
              <w:tc>
                <w:tcPr>
                  <w:tcW w:w="918" w:type="dxa"/>
                  <w:vAlign w:val="center"/>
                </w:tcPr>
                <w:p w14:paraId="79CBC80F">
                  <w:pPr>
                    <w:pStyle w:val="42"/>
                    <w:bidi w:val="0"/>
                    <w:jc w:val="center"/>
                    <w:rPr>
                      <w:lang w:val="en-US"/>
                    </w:rPr>
                  </w:pPr>
                  <w:r>
                    <w:rPr>
                      <w:lang w:val="en-US"/>
                    </w:rPr>
                    <w:t>恶臭废气处理系统</w:t>
                  </w:r>
                </w:p>
              </w:tc>
              <w:tc>
                <w:tcPr>
                  <w:tcW w:w="3153" w:type="dxa"/>
                  <w:vAlign w:val="center"/>
                </w:tcPr>
                <w:p w14:paraId="47A97DCD">
                  <w:pPr>
                    <w:pStyle w:val="42"/>
                    <w:bidi w:val="0"/>
                    <w:jc w:val="center"/>
                    <w:rPr>
                      <w:lang w:val="en-US"/>
                    </w:rPr>
                  </w:pPr>
                  <w:r>
                    <w:rPr>
                      <w:lang w:val="en-US"/>
                    </w:rPr>
                    <w:t>高温废气冷凝后的不凝气经过除臭箱（NaOH）处理后，进入导热油炉燃烧</w:t>
                  </w:r>
                </w:p>
              </w:tc>
              <w:tc>
                <w:tcPr>
                  <w:tcW w:w="3079" w:type="dxa"/>
                  <w:vAlign w:val="center"/>
                </w:tcPr>
                <w:p w14:paraId="3C5AFBEB">
                  <w:pPr>
                    <w:pStyle w:val="42"/>
                    <w:bidi w:val="0"/>
                    <w:jc w:val="center"/>
                    <w:rPr>
                      <w:lang w:val="en-US"/>
                    </w:rPr>
                  </w:pPr>
                  <w:r>
                    <w:rPr>
                      <w:lang w:val="en-US"/>
                    </w:rPr>
                    <w:t>高温废气冷凝后不凝气经过除臭箱（NaOH）处理后，进入</w:t>
                  </w:r>
                  <w:r>
                    <w:rPr>
                      <w:rFonts w:hint="eastAsia"/>
                      <w:lang w:val="en-US"/>
                    </w:rPr>
                    <w:t>锅</w:t>
                  </w:r>
                  <w:r>
                    <w:rPr>
                      <w:lang w:val="en-US"/>
                    </w:rPr>
                    <w:t>炉燃烧</w:t>
                  </w:r>
                </w:p>
              </w:tc>
              <w:tc>
                <w:tcPr>
                  <w:tcW w:w="567" w:type="dxa"/>
                  <w:vAlign w:val="center"/>
                </w:tcPr>
                <w:p w14:paraId="3CE1CB89">
                  <w:pPr>
                    <w:pStyle w:val="42"/>
                    <w:bidi w:val="0"/>
                    <w:jc w:val="center"/>
                    <w:rPr>
                      <w:lang w:val="en-US"/>
                    </w:rPr>
                  </w:pPr>
                  <w:r>
                    <w:rPr>
                      <w:lang w:val="en-US"/>
                    </w:rPr>
                    <w:t>一致</w:t>
                  </w:r>
                </w:p>
              </w:tc>
            </w:tr>
            <w:tr w14:paraId="7FB7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7DA1D327">
                  <w:pPr>
                    <w:pStyle w:val="42"/>
                    <w:bidi w:val="0"/>
                    <w:jc w:val="center"/>
                    <w:rPr>
                      <w:lang w:val="en-US"/>
                    </w:rPr>
                  </w:pPr>
                </w:p>
              </w:tc>
              <w:tc>
                <w:tcPr>
                  <w:tcW w:w="918" w:type="dxa"/>
                  <w:vAlign w:val="center"/>
                </w:tcPr>
                <w:p w14:paraId="14AB2AAB">
                  <w:pPr>
                    <w:pStyle w:val="42"/>
                    <w:bidi w:val="0"/>
                    <w:jc w:val="center"/>
                    <w:rPr>
                      <w:lang w:val="en-US"/>
                    </w:rPr>
                  </w:pPr>
                  <w:r>
                    <w:rPr>
                      <w:lang w:val="en-US"/>
                    </w:rPr>
                    <w:t>污水处理系统</w:t>
                  </w:r>
                </w:p>
              </w:tc>
              <w:tc>
                <w:tcPr>
                  <w:tcW w:w="3153" w:type="dxa"/>
                  <w:vAlign w:val="center"/>
                </w:tcPr>
                <w:p w14:paraId="67A2AD5F">
                  <w:pPr>
                    <w:pStyle w:val="42"/>
                    <w:bidi w:val="0"/>
                    <w:jc w:val="center"/>
                    <w:rPr>
                      <w:lang w:val="en-US"/>
                    </w:rPr>
                  </w:pPr>
                  <w:r>
                    <w:rPr>
                      <w:lang w:val="en-US"/>
                    </w:rPr>
                    <w:t>黑膜厌氧发酵池+秸秆发酵菌种，生成秸秆发酵剂，处理后用于厂区绿化</w:t>
                  </w:r>
                </w:p>
              </w:tc>
              <w:tc>
                <w:tcPr>
                  <w:tcW w:w="3079" w:type="dxa"/>
                  <w:vAlign w:val="center"/>
                </w:tcPr>
                <w:p w14:paraId="1E4CCC77">
                  <w:pPr>
                    <w:pStyle w:val="42"/>
                    <w:bidi w:val="0"/>
                    <w:jc w:val="center"/>
                    <w:rPr>
                      <w:lang w:val="en-US"/>
                    </w:rPr>
                  </w:pPr>
                  <w:r>
                    <w:rPr>
                      <w:lang w:val="en-US"/>
                    </w:rPr>
                    <w:t>黑膜厌氧发酵池+秸秆发酵菌种，生成秸秆发酵剂，处理后用于厂区绿化</w:t>
                  </w:r>
                </w:p>
              </w:tc>
              <w:tc>
                <w:tcPr>
                  <w:tcW w:w="567" w:type="dxa"/>
                  <w:vAlign w:val="center"/>
                </w:tcPr>
                <w:p w14:paraId="61ECE60F">
                  <w:pPr>
                    <w:pStyle w:val="42"/>
                    <w:bidi w:val="0"/>
                    <w:jc w:val="center"/>
                    <w:rPr>
                      <w:lang w:val="en-US"/>
                    </w:rPr>
                  </w:pPr>
                  <w:r>
                    <w:rPr>
                      <w:lang w:val="en-US"/>
                    </w:rPr>
                    <w:t>一致</w:t>
                  </w:r>
                </w:p>
              </w:tc>
            </w:tr>
          </w:tbl>
          <w:p w14:paraId="0A9C8152">
            <w:pPr>
              <w:autoSpaceDE/>
              <w:autoSpaceDN/>
              <w:spacing w:line="360" w:lineRule="auto"/>
              <w:ind w:firstLine="480" w:firstLineChars="200"/>
              <w:jc w:val="both"/>
              <w:rPr>
                <w:rFonts w:hint="eastAsia" w:ascii="Times New Roman" w:hAnsi="Times New Roman" w:eastAsia="宋体" w:cs="Times New Roman"/>
                <w:sz w:val="24"/>
                <w:szCs w:val="24"/>
                <w:lang w:val="en-US" w:eastAsia="zh-CN" w:bidi="ar-SA"/>
              </w:rPr>
            </w:pPr>
            <w:r>
              <w:rPr>
                <w:rFonts w:hint="eastAsia" w:cs="Times New Roman"/>
                <w:sz w:val="24"/>
                <w:szCs w:val="24"/>
                <w:u w:val="single"/>
                <w:lang w:val="en-US" w:eastAsia="zh-CN" w:bidi="ar-SA"/>
              </w:rPr>
              <w:t>根据上表，本项目处理规模约为其1.22倍，</w:t>
            </w:r>
            <w:r>
              <w:rPr>
                <w:rFonts w:hint="eastAsia" w:ascii="Times New Roman" w:hAnsi="Times New Roman" w:cs="Times New Roman"/>
                <w:sz w:val="24"/>
                <w:szCs w:val="24"/>
                <w:lang w:val="en-US" w:bidi="ar-SA"/>
              </w:rPr>
              <w:t>本项目采用的工艺、生产设备均与其相似，整体生产线工艺相近，具有类比可行性</w:t>
            </w:r>
            <w:r>
              <w:rPr>
                <w:rFonts w:hint="eastAsia" w:cs="Times New Roman"/>
                <w:sz w:val="24"/>
                <w:szCs w:val="24"/>
                <w:lang w:val="en-US" w:eastAsia="zh-CN" w:bidi="ar-SA"/>
              </w:rPr>
              <w:t>。</w:t>
            </w:r>
          </w:p>
          <w:p w14:paraId="356D38DA">
            <w:pPr>
              <w:pStyle w:val="6"/>
              <w:numPr>
                <w:ilvl w:val="3"/>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4.5.1.2、</w:t>
            </w:r>
            <w:r>
              <w:rPr>
                <w:rFonts w:hint="eastAsia"/>
                <w:spacing w:val="-2"/>
                <w:sz w:val="24"/>
                <w:lang w:eastAsia="zh-CN"/>
              </w:rPr>
              <w:t>生物质燃烧废气</w:t>
            </w:r>
          </w:p>
          <w:p w14:paraId="34190BEB">
            <w:pPr>
              <w:rPr>
                <w:rFonts w:hint="eastAsia" w:ascii="Times New Roman" w:hAnsi="Times New Roman" w:eastAsia="宋体" w:cs="Times New Roman"/>
                <w:spacing w:val="-2"/>
                <w:sz w:val="24"/>
                <w:lang w:eastAsia="zh-CN"/>
              </w:rPr>
            </w:pPr>
            <w:r>
              <w:rPr>
                <w:rFonts w:ascii="Times New Roman" w:hAnsi="Times New Roman" w:eastAsia="宋体" w:cs="Times New Roman"/>
                <w:spacing w:val="-2"/>
                <w:sz w:val="24"/>
              </w:rPr>
              <w:t>根据</w:t>
            </w:r>
            <w:r>
              <w:rPr>
                <w:rFonts w:hint="eastAsia" w:cs="Times New Roman"/>
                <w:spacing w:val="-2"/>
                <w:sz w:val="24"/>
                <w:lang w:eastAsia="zh-CN"/>
              </w:rPr>
              <w:t>业主提供资料，年使用生物质颗粒</w:t>
            </w:r>
            <w:r>
              <w:rPr>
                <w:rFonts w:hint="eastAsia" w:cs="Times New Roman"/>
                <w:spacing w:val="-2"/>
                <w:sz w:val="24"/>
                <w:lang w:val="en-US" w:eastAsia="zh-CN"/>
              </w:rPr>
              <w:t>1800t</w:t>
            </w:r>
            <w:r>
              <w:rPr>
                <w:rFonts w:hint="eastAsia" w:cs="Times New Roman"/>
                <w:spacing w:val="-2"/>
                <w:sz w:val="24"/>
                <w:vertAlign w:val="baseline"/>
                <w:lang w:val="en-US" w:eastAsia="zh-CN"/>
              </w:rPr>
              <w:t>，年有效运行时间为2400h。燃烧废气中主要污染物为烟尘、SO</w:t>
            </w:r>
            <w:r>
              <w:rPr>
                <w:rFonts w:hint="eastAsia" w:cs="Times New Roman"/>
                <w:spacing w:val="-2"/>
                <w:sz w:val="24"/>
                <w:vertAlign w:val="subscript"/>
                <w:lang w:val="en-US" w:eastAsia="zh-CN"/>
              </w:rPr>
              <w:t>2</w:t>
            </w:r>
            <w:r>
              <w:rPr>
                <w:rFonts w:hint="eastAsia" w:cs="Times New Roman"/>
                <w:spacing w:val="-2"/>
                <w:sz w:val="24"/>
                <w:vertAlign w:val="baseline"/>
                <w:lang w:val="en-US" w:eastAsia="zh-CN"/>
              </w:rPr>
              <w:t>、NOx。《排放源统计调查产排污核算方法和系数手册》4430工业锅炉(热力生产和供应行业)产污系数表-生物质工业锅炉，具体产污系数见下表</w:t>
            </w:r>
            <w:r>
              <w:rPr>
                <w:rFonts w:hint="eastAsia" w:ascii="Times New Roman" w:hAnsi="Times New Roman" w:eastAsia="宋体" w:cs="Times New Roman"/>
                <w:spacing w:val="-2"/>
                <w:sz w:val="24"/>
                <w:lang w:eastAsia="zh-CN"/>
              </w:rPr>
              <w:t>：</w:t>
            </w:r>
          </w:p>
          <w:p w14:paraId="1AA4E5FA">
            <w:pPr>
              <w:pStyle w:val="8"/>
              <w:numPr>
                <w:ilvl w:val="5"/>
                <w:numId w:val="0"/>
              </w:numPr>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表4-2</w:t>
            </w:r>
            <w:r>
              <w:rPr>
                <w:rFonts w:hint="eastAsia" w:ascii="Times New Roman" w:hAnsi="Times New Roman" w:eastAsia="宋体" w:cs="Times New Roman"/>
              </w:rPr>
              <w:t>项目废气污染物</w:t>
            </w:r>
            <w:r>
              <w:rPr>
                <w:rFonts w:hint="eastAsia"/>
              </w:rPr>
              <w:t>产污系数表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726"/>
              <w:gridCol w:w="1726"/>
              <w:gridCol w:w="1726"/>
              <w:gridCol w:w="1727"/>
            </w:tblGrid>
            <w:tr w14:paraId="4F73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vAlign w:val="center"/>
                </w:tcPr>
                <w:p w14:paraId="4DE93DA7">
                  <w:pPr>
                    <w:pStyle w:val="42"/>
                    <w:bidi w:val="0"/>
                    <w:jc w:val="center"/>
                    <w:rPr>
                      <w:rFonts w:hint="eastAsia"/>
                      <w:lang w:eastAsia="zh-CN"/>
                    </w:rPr>
                  </w:pPr>
                  <w:r>
                    <w:rPr>
                      <w:rFonts w:hint="eastAsia"/>
                      <w:lang w:eastAsia="zh-CN"/>
                    </w:rPr>
                    <w:t>产污环节及用量</w:t>
                  </w:r>
                </w:p>
              </w:tc>
              <w:tc>
                <w:tcPr>
                  <w:tcW w:w="1727" w:type="dxa"/>
                  <w:vAlign w:val="center"/>
                </w:tcPr>
                <w:p w14:paraId="59AA1AC3">
                  <w:pPr>
                    <w:pStyle w:val="42"/>
                    <w:bidi w:val="0"/>
                    <w:jc w:val="center"/>
                    <w:rPr>
                      <w:rFonts w:hint="eastAsia"/>
                      <w:lang w:eastAsia="zh-CN"/>
                    </w:rPr>
                  </w:pPr>
                  <w:r>
                    <w:rPr>
                      <w:rFonts w:hint="eastAsia"/>
                      <w:lang w:eastAsia="zh-CN"/>
                    </w:rPr>
                    <w:t>污染物名称</w:t>
                  </w:r>
                </w:p>
              </w:tc>
              <w:tc>
                <w:tcPr>
                  <w:tcW w:w="1727" w:type="dxa"/>
                  <w:vAlign w:val="center"/>
                </w:tcPr>
                <w:p w14:paraId="6D56AB88">
                  <w:pPr>
                    <w:pStyle w:val="42"/>
                    <w:bidi w:val="0"/>
                    <w:jc w:val="center"/>
                    <w:rPr>
                      <w:rFonts w:hint="eastAsia"/>
                      <w:lang w:eastAsia="zh-CN"/>
                    </w:rPr>
                  </w:pPr>
                  <w:r>
                    <w:rPr>
                      <w:rFonts w:hint="eastAsia"/>
                      <w:lang w:eastAsia="zh-CN"/>
                    </w:rPr>
                    <w:t>单位</w:t>
                  </w:r>
                </w:p>
              </w:tc>
              <w:tc>
                <w:tcPr>
                  <w:tcW w:w="1727" w:type="dxa"/>
                  <w:vAlign w:val="center"/>
                </w:tcPr>
                <w:p w14:paraId="194DF919">
                  <w:pPr>
                    <w:pStyle w:val="42"/>
                    <w:bidi w:val="0"/>
                    <w:jc w:val="center"/>
                    <w:rPr>
                      <w:rFonts w:hint="eastAsia"/>
                      <w:lang w:eastAsia="zh-CN"/>
                    </w:rPr>
                  </w:pPr>
                  <w:r>
                    <w:rPr>
                      <w:rFonts w:hint="eastAsia"/>
                      <w:lang w:eastAsia="zh-CN"/>
                    </w:rPr>
                    <w:t>产污系数</w:t>
                  </w:r>
                </w:p>
              </w:tc>
              <w:tc>
                <w:tcPr>
                  <w:tcW w:w="1727" w:type="dxa"/>
                  <w:vAlign w:val="center"/>
                </w:tcPr>
                <w:p w14:paraId="7F89FAC8">
                  <w:pPr>
                    <w:pStyle w:val="42"/>
                    <w:bidi w:val="0"/>
                    <w:jc w:val="center"/>
                    <w:rPr>
                      <w:rFonts w:hint="default"/>
                      <w:lang w:val="en-US" w:eastAsia="zh-CN"/>
                    </w:rPr>
                  </w:pPr>
                  <w:r>
                    <w:rPr>
                      <w:rFonts w:hint="eastAsia"/>
                      <w:lang w:eastAsia="zh-CN"/>
                    </w:rPr>
                    <w:t>产生量</w:t>
                  </w:r>
                  <w:r>
                    <w:rPr>
                      <w:rFonts w:hint="eastAsia"/>
                      <w:lang w:val="en-US" w:eastAsia="zh-CN"/>
                    </w:rPr>
                    <w:t>t/a</w:t>
                  </w:r>
                </w:p>
              </w:tc>
            </w:tr>
            <w:tr w14:paraId="228B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vMerge w:val="restart"/>
                  <w:vAlign w:val="center"/>
                </w:tcPr>
                <w:p w14:paraId="1CDD2197">
                  <w:pPr>
                    <w:pStyle w:val="42"/>
                    <w:bidi w:val="0"/>
                    <w:jc w:val="center"/>
                    <w:rPr>
                      <w:rFonts w:hint="default"/>
                      <w:lang w:val="en-US" w:eastAsia="zh-CN"/>
                    </w:rPr>
                  </w:pPr>
                  <w:r>
                    <w:rPr>
                      <w:rFonts w:hint="eastAsia"/>
                      <w:lang w:eastAsia="zh-CN"/>
                    </w:rPr>
                    <w:t>生物质蒸汽锅炉</w:t>
                  </w:r>
                  <w:r>
                    <w:rPr>
                      <w:rFonts w:hint="eastAsia"/>
                      <w:lang w:val="en-US" w:eastAsia="zh-CN"/>
                    </w:rPr>
                    <w:t>1800t</w:t>
                  </w:r>
                </w:p>
              </w:tc>
              <w:tc>
                <w:tcPr>
                  <w:tcW w:w="1727" w:type="dxa"/>
                  <w:vAlign w:val="center"/>
                </w:tcPr>
                <w:p w14:paraId="5A36694F">
                  <w:pPr>
                    <w:pStyle w:val="42"/>
                    <w:bidi w:val="0"/>
                    <w:jc w:val="center"/>
                  </w:pPr>
                  <w:r>
                    <w:rPr>
                      <w:rFonts w:hint="eastAsia"/>
                      <w:lang w:val="en-US" w:eastAsia="zh-CN"/>
                    </w:rPr>
                    <w:t>SO</w:t>
                  </w:r>
                  <w:r>
                    <w:rPr>
                      <w:rFonts w:hint="eastAsia"/>
                      <w:vertAlign w:val="subscript"/>
                      <w:lang w:val="en-US" w:eastAsia="zh-CN"/>
                    </w:rPr>
                    <w:t>2</w:t>
                  </w:r>
                </w:p>
              </w:tc>
              <w:tc>
                <w:tcPr>
                  <w:tcW w:w="1727" w:type="dxa"/>
                  <w:vAlign w:val="center"/>
                </w:tcPr>
                <w:p w14:paraId="696213F2">
                  <w:pPr>
                    <w:pStyle w:val="42"/>
                    <w:bidi w:val="0"/>
                    <w:jc w:val="center"/>
                    <w:rPr>
                      <w:rFonts w:hint="eastAsia"/>
                      <w:lang w:eastAsia="zh-CN"/>
                    </w:rPr>
                  </w:pPr>
                  <w:r>
                    <w:rPr>
                      <w:rFonts w:hint="eastAsia"/>
                    </w:rPr>
                    <w:t>千克/吨原料</w:t>
                  </w:r>
                </w:p>
              </w:tc>
              <w:tc>
                <w:tcPr>
                  <w:tcW w:w="1727" w:type="dxa"/>
                  <w:vAlign w:val="center"/>
                </w:tcPr>
                <w:p w14:paraId="3E2FCFF1">
                  <w:pPr>
                    <w:pStyle w:val="42"/>
                    <w:bidi w:val="0"/>
                    <w:jc w:val="center"/>
                    <w:rPr>
                      <w:rFonts w:hint="default"/>
                      <w:lang w:val="en-US" w:eastAsia="zh-CN"/>
                    </w:rPr>
                  </w:pPr>
                  <w:r>
                    <w:rPr>
                      <w:rFonts w:hint="eastAsia"/>
                      <w:lang w:val="en-US" w:eastAsia="zh-CN"/>
                    </w:rPr>
                    <w:t>17S(0.68)</w:t>
                  </w:r>
                </w:p>
              </w:tc>
              <w:tc>
                <w:tcPr>
                  <w:tcW w:w="1727" w:type="dxa"/>
                  <w:vAlign w:val="center"/>
                </w:tcPr>
                <w:p w14:paraId="2B408274">
                  <w:pPr>
                    <w:pStyle w:val="42"/>
                    <w:bidi w:val="0"/>
                    <w:jc w:val="center"/>
                    <w:rPr>
                      <w:rFonts w:hint="default"/>
                      <w:lang w:val="en-US" w:eastAsia="zh-CN"/>
                    </w:rPr>
                  </w:pPr>
                  <w:r>
                    <w:rPr>
                      <w:rFonts w:hint="eastAsia"/>
                      <w:lang w:val="en-US" w:eastAsia="zh-CN"/>
                    </w:rPr>
                    <w:t>1.224</w:t>
                  </w:r>
                </w:p>
              </w:tc>
            </w:tr>
            <w:tr w14:paraId="0208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vMerge w:val="continue"/>
                  <w:vAlign w:val="center"/>
                </w:tcPr>
                <w:p w14:paraId="02FB3D58">
                  <w:pPr>
                    <w:pStyle w:val="42"/>
                    <w:bidi w:val="0"/>
                    <w:jc w:val="center"/>
                  </w:pPr>
                </w:p>
              </w:tc>
              <w:tc>
                <w:tcPr>
                  <w:tcW w:w="1727" w:type="dxa"/>
                  <w:vAlign w:val="center"/>
                </w:tcPr>
                <w:p w14:paraId="55918265">
                  <w:pPr>
                    <w:pStyle w:val="42"/>
                    <w:bidi w:val="0"/>
                    <w:jc w:val="center"/>
                  </w:pPr>
                  <w:r>
                    <w:rPr>
                      <w:rFonts w:hint="eastAsia"/>
                      <w:lang w:val="en-US" w:eastAsia="zh-CN"/>
                    </w:rPr>
                    <w:t>NOx</w:t>
                  </w:r>
                </w:p>
              </w:tc>
              <w:tc>
                <w:tcPr>
                  <w:tcW w:w="1727" w:type="dxa"/>
                  <w:vAlign w:val="center"/>
                </w:tcPr>
                <w:p w14:paraId="74059760">
                  <w:pPr>
                    <w:pStyle w:val="42"/>
                    <w:bidi w:val="0"/>
                    <w:jc w:val="center"/>
                  </w:pPr>
                  <w:r>
                    <w:rPr>
                      <w:rFonts w:hint="eastAsia"/>
                    </w:rPr>
                    <w:t>千克/吨原料</w:t>
                  </w:r>
                </w:p>
              </w:tc>
              <w:tc>
                <w:tcPr>
                  <w:tcW w:w="1727" w:type="dxa"/>
                  <w:vAlign w:val="center"/>
                </w:tcPr>
                <w:p w14:paraId="5F235804">
                  <w:pPr>
                    <w:pStyle w:val="42"/>
                    <w:bidi w:val="0"/>
                    <w:jc w:val="center"/>
                    <w:rPr>
                      <w:rFonts w:hint="default"/>
                      <w:lang w:val="en-US" w:eastAsia="zh-CN"/>
                    </w:rPr>
                  </w:pPr>
                  <w:r>
                    <w:rPr>
                      <w:rFonts w:hint="eastAsia"/>
                      <w:lang w:val="en-US" w:eastAsia="zh-CN"/>
                    </w:rPr>
                    <w:t>1.02</w:t>
                  </w:r>
                </w:p>
              </w:tc>
              <w:tc>
                <w:tcPr>
                  <w:tcW w:w="1727" w:type="dxa"/>
                  <w:vAlign w:val="center"/>
                </w:tcPr>
                <w:p w14:paraId="65F602C9">
                  <w:pPr>
                    <w:pStyle w:val="42"/>
                    <w:bidi w:val="0"/>
                    <w:jc w:val="center"/>
                    <w:rPr>
                      <w:rFonts w:hint="default"/>
                      <w:lang w:val="en-US" w:eastAsia="zh-CN"/>
                    </w:rPr>
                  </w:pPr>
                  <w:r>
                    <w:rPr>
                      <w:rFonts w:hint="eastAsia"/>
                      <w:lang w:val="en-US" w:eastAsia="zh-CN"/>
                    </w:rPr>
                    <w:t>1.836</w:t>
                  </w:r>
                </w:p>
              </w:tc>
            </w:tr>
            <w:tr w14:paraId="161A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vMerge w:val="continue"/>
                  <w:vAlign w:val="center"/>
                </w:tcPr>
                <w:p w14:paraId="037CA901">
                  <w:pPr>
                    <w:pStyle w:val="42"/>
                    <w:bidi w:val="0"/>
                    <w:jc w:val="center"/>
                  </w:pPr>
                </w:p>
              </w:tc>
              <w:tc>
                <w:tcPr>
                  <w:tcW w:w="1727" w:type="dxa"/>
                  <w:vAlign w:val="center"/>
                </w:tcPr>
                <w:p w14:paraId="78592027">
                  <w:pPr>
                    <w:pStyle w:val="42"/>
                    <w:bidi w:val="0"/>
                    <w:jc w:val="center"/>
                    <w:rPr>
                      <w:rFonts w:hint="eastAsia"/>
                      <w:lang w:eastAsia="zh-CN"/>
                    </w:rPr>
                  </w:pPr>
                  <w:r>
                    <w:rPr>
                      <w:rFonts w:hint="eastAsia"/>
                      <w:lang w:eastAsia="zh-CN"/>
                    </w:rPr>
                    <w:t>颗粒物</w:t>
                  </w:r>
                </w:p>
              </w:tc>
              <w:tc>
                <w:tcPr>
                  <w:tcW w:w="1727" w:type="dxa"/>
                  <w:vAlign w:val="center"/>
                </w:tcPr>
                <w:p w14:paraId="3255246B">
                  <w:pPr>
                    <w:pStyle w:val="42"/>
                    <w:bidi w:val="0"/>
                    <w:jc w:val="center"/>
                  </w:pPr>
                  <w:r>
                    <w:rPr>
                      <w:rFonts w:hint="eastAsia"/>
                    </w:rPr>
                    <w:t>千克/吨原料</w:t>
                  </w:r>
                </w:p>
              </w:tc>
              <w:tc>
                <w:tcPr>
                  <w:tcW w:w="1727" w:type="dxa"/>
                  <w:vAlign w:val="center"/>
                </w:tcPr>
                <w:p w14:paraId="3D51D3A1">
                  <w:pPr>
                    <w:pStyle w:val="42"/>
                    <w:bidi w:val="0"/>
                    <w:jc w:val="center"/>
                    <w:rPr>
                      <w:rFonts w:hint="default"/>
                      <w:lang w:val="en-US" w:eastAsia="zh-CN"/>
                    </w:rPr>
                  </w:pPr>
                  <w:r>
                    <w:rPr>
                      <w:rFonts w:hint="eastAsia"/>
                      <w:lang w:val="en-US" w:eastAsia="zh-CN"/>
                    </w:rPr>
                    <w:t>0.5</w:t>
                  </w:r>
                </w:p>
              </w:tc>
              <w:tc>
                <w:tcPr>
                  <w:tcW w:w="1727" w:type="dxa"/>
                  <w:vAlign w:val="center"/>
                </w:tcPr>
                <w:p w14:paraId="2DED49F1">
                  <w:pPr>
                    <w:pStyle w:val="42"/>
                    <w:bidi w:val="0"/>
                    <w:jc w:val="center"/>
                    <w:rPr>
                      <w:rFonts w:hint="default"/>
                      <w:lang w:val="en-US" w:eastAsia="zh-CN"/>
                    </w:rPr>
                  </w:pPr>
                  <w:r>
                    <w:rPr>
                      <w:rFonts w:hint="eastAsia"/>
                      <w:lang w:val="en-US" w:eastAsia="zh-CN"/>
                    </w:rPr>
                    <w:t>0.9</w:t>
                  </w:r>
                </w:p>
              </w:tc>
            </w:tr>
          </w:tbl>
          <w:p w14:paraId="0707BD32">
            <w:pPr>
              <w:rPr>
                <w:rFonts w:hint="eastAsia"/>
                <w:lang w:eastAsia="zh-CN"/>
              </w:rPr>
            </w:pPr>
            <w:r>
              <w:rPr>
                <w:rFonts w:hint="eastAsia"/>
              </w:rPr>
              <w:t>本项目</w:t>
            </w:r>
            <w:r>
              <w:rPr>
                <w:rFonts w:hint="eastAsia"/>
                <w:lang w:eastAsia="zh-CN"/>
              </w:rPr>
              <w:t>生物质</w:t>
            </w:r>
            <w:r>
              <w:rPr>
                <w:rFonts w:hint="eastAsia"/>
              </w:rPr>
              <w:t>锅炉配套风机一台，风机风量取</w:t>
            </w:r>
            <w:r>
              <w:rPr>
                <w:rFonts w:hint="eastAsia"/>
                <w:lang w:val="en-US" w:eastAsia="zh-CN"/>
              </w:rPr>
              <w:t>15000</w:t>
            </w:r>
            <w:r>
              <w:rPr>
                <w:rFonts w:hint="eastAsia"/>
              </w:rPr>
              <w:t>m</w:t>
            </w:r>
            <w:r>
              <w:rPr>
                <w:rFonts w:hint="eastAsia"/>
                <w:vertAlign w:val="superscript"/>
              </w:rPr>
              <w:t>3</w:t>
            </w:r>
            <w:r>
              <w:rPr>
                <w:rFonts w:hint="eastAsia"/>
              </w:rPr>
              <w:t>/h。</w:t>
            </w:r>
            <w:r>
              <w:rPr>
                <w:rFonts w:hint="eastAsia"/>
                <w:lang w:eastAsia="zh-CN"/>
              </w:rPr>
              <w:t>生物质颗粒</w:t>
            </w:r>
            <w:r>
              <w:rPr>
                <w:rFonts w:hint="eastAsia"/>
              </w:rPr>
              <w:t>燃烧废气由</w:t>
            </w:r>
            <w:r>
              <w:rPr>
                <w:rFonts w:hint="eastAsia"/>
                <w:lang w:val="en-US" w:eastAsia="zh-CN"/>
              </w:rPr>
              <w:t>1</w:t>
            </w:r>
            <w:r>
              <w:rPr>
                <w:rFonts w:hint="eastAsia"/>
              </w:rPr>
              <w:t>5m高排气筒DA001排放。</w:t>
            </w:r>
            <w:r>
              <w:rPr>
                <w:rFonts w:hint="eastAsia"/>
                <w:lang w:eastAsia="zh-CN"/>
              </w:rPr>
              <w:t>有组织生物质颗粒燃烧废气产排情况见下表。</w:t>
            </w:r>
          </w:p>
          <w:p w14:paraId="7C5148F5">
            <w:pPr>
              <w:pStyle w:val="8"/>
              <w:numPr>
                <w:ilvl w:val="5"/>
                <w:numId w:val="0"/>
              </w:numPr>
              <w:bidi w:val="0"/>
              <w:ind w:left="0" w:leftChars="0" w:firstLine="480" w:firstLineChars="200"/>
              <w:rPr>
                <w:rFonts w:hint="eastAsia"/>
                <w:lang w:eastAsia="zh-CN"/>
              </w:rPr>
            </w:pPr>
            <w:r>
              <w:rPr>
                <w:rFonts w:hint="default" w:ascii="Times New Roman" w:hAnsi="Times New Roman" w:eastAsia="宋体" w:cs="Times New Roman"/>
                <w:b/>
                <w:i w:val="0"/>
                <w:color w:val="auto"/>
                <w:kern w:val="2"/>
                <w:sz w:val="24"/>
                <w:szCs w:val="24"/>
                <w:shd w:val="clear" w:fill="FFFFFF"/>
                <w:lang w:val="en-US" w:eastAsia="zh-CN" w:bidi="ar-SA"/>
              </w:rPr>
              <w:t>表4-3</w:t>
            </w:r>
            <w:r>
              <w:rPr>
                <w:rFonts w:hint="eastAsia"/>
                <w:lang w:eastAsia="zh-CN"/>
              </w:rPr>
              <w:t>有组织生物质颗粒燃烧废气产排情况一览表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836"/>
              <w:gridCol w:w="634"/>
              <w:gridCol w:w="899"/>
              <w:gridCol w:w="742"/>
              <w:gridCol w:w="926"/>
              <w:gridCol w:w="733"/>
              <w:gridCol w:w="602"/>
              <w:gridCol w:w="1004"/>
              <w:gridCol w:w="900"/>
              <w:gridCol w:w="916"/>
            </w:tblGrid>
            <w:tr w14:paraId="68C6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54229B90">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eastAsia="宋体"/>
                      <w:lang w:eastAsia="zh-CN"/>
                    </w:rPr>
                  </w:pPr>
                  <w:r>
                    <w:rPr>
                      <w:rFonts w:hint="eastAsia"/>
                      <w:lang w:eastAsia="zh-CN"/>
                    </w:rPr>
                    <w:t>排放源</w:t>
                  </w:r>
                </w:p>
              </w:tc>
              <w:tc>
                <w:tcPr>
                  <w:tcW w:w="0" w:type="auto"/>
                  <w:vMerge w:val="restart"/>
                  <w:vAlign w:val="center"/>
                </w:tcPr>
                <w:p w14:paraId="065B4387">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rPr>
                  </w:pPr>
                  <w:r>
                    <w:rPr>
                      <w:rFonts w:hint="default" w:ascii="Times New Roman" w:hAnsi="Times New Roman" w:eastAsia="宋体" w:cs="Times New Roman"/>
                      <w:b w:val="0"/>
                      <w:bCs w:val="0"/>
                      <w:color w:val="auto"/>
                      <w:sz w:val="21"/>
                      <w:szCs w:val="21"/>
                      <w:highlight w:val="none"/>
                    </w:rPr>
                    <w:t>排气筒名称</w:t>
                  </w:r>
                </w:p>
              </w:tc>
              <w:tc>
                <w:tcPr>
                  <w:tcW w:w="0" w:type="auto"/>
                  <w:vMerge w:val="restart"/>
                  <w:vAlign w:val="center"/>
                </w:tcPr>
                <w:p w14:paraId="0F7892EC">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rPr>
                  </w:pPr>
                  <w:r>
                    <w:rPr>
                      <w:rFonts w:hint="eastAsia"/>
                    </w:rPr>
                    <w:t>污染物名称</w:t>
                  </w:r>
                </w:p>
              </w:tc>
              <w:tc>
                <w:tcPr>
                  <w:tcW w:w="0" w:type="auto"/>
                  <w:gridSpan w:val="3"/>
                  <w:vAlign w:val="center"/>
                </w:tcPr>
                <w:p w14:paraId="7EEC9929">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污染物产生情况</w:t>
                  </w:r>
                </w:p>
              </w:tc>
              <w:tc>
                <w:tcPr>
                  <w:tcW w:w="0" w:type="auto"/>
                  <w:vMerge w:val="restart"/>
                  <w:vAlign w:val="center"/>
                </w:tcPr>
                <w:p w14:paraId="5A7C75AA">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处理措施</w:t>
                  </w:r>
                </w:p>
              </w:tc>
              <w:tc>
                <w:tcPr>
                  <w:tcW w:w="0" w:type="auto"/>
                  <w:vMerge w:val="restart"/>
                  <w:vAlign w:val="center"/>
                </w:tcPr>
                <w:p w14:paraId="0AE56F4E">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eastAsia="宋体"/>
                      <w:lang w:eastAsia="zh-CN"/>
                    </w:rPr>
                  </w:pPr>
                  <w:r>
                    <w:rPr>
                      <w:rFonts w:hint="eastAsia"/>
                      <w:lang w:eastAsia="zh-CN"/>
                    </w:rPr>
                    <w:t>处理效率</w:t>
                  </w:r>
                </w:p>
              </w:tc>
              <w:tc>
                <w:tcPr>
                  <w:tcW w:w="0" w:type="auto"/>
                  <w:gridSpan w:val="3"/>
                  <w:vAlign w:val="center"/>
                </w:tcPr>
                <w:p w14:paraId="1B23650E">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污染物</w:t>
                  </w:r>
                  <w:r>
                    <w:rPr>
                      <w:rFonts w:hint="eastAsia"/>
                      <w:lang w:eastAsia="zh-CN"/>
                    </w:rPr>
                    <w:t>排放</w:t>
                  </w:r>
                  <w:r>
                    <w:t>情况</w:t>
                  </w:r>
                </w:p>
              </w:tc>
            </w:tr>
            <w:tr w14:paraId="35EA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9C5FA70">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0" w:type="auto"/>
                  <w:vMerge w:val="continue"/>
                  <w:vAlign w:val="center"/>
                </w:tcPr>
                <w:p w14:paraId="27F0DFDF">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0" w:type="auto"/>
                  <w:vMerge w:val="continue"/>
                  <w:vAlign w:val="center"/>
                </w:tcPr>
                <w:p w14:paraId="00C702AF">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0" w:type="auto"/>
                  <w:vAlign w:val="center"/>
                </w:tcPr>
                <w:p w14:paraId="4658B7F0">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产生量(t/a)</w:t>
                  </w:r>
                </w:p>
              </w:tc>
              <w:tc>
                <w:tcPr>
                  <w:tcW w:w="0" w:type="auto"/>
                  <w:vAlign w:val="center"/>
                </w:tcPr>
                <w:p w14:paraId="39CDA8E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t>产生速率(kg/h)</w:t>
                  </w:r>
                </w:p>
              </w:tc>
              <w:tc>
                <w:tcPr>
                  <w:tcW w:w="0" w:type="auto"/>
                  <w:vAlign w:val="center"/>
                </w:tcPr>
                <w:p w14:paraId="416793CF">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rPr>
                      <w:rFonts w:hint="eastAsia"/>
                      <w:lang w:eastAsia="zh-CN"/>
                    </w:rPr>
                    <w:t>产生</w:t>
                  </w:r>
                  <w:r>
                    <w:t>浓度</w:t>
                  </w:r>
                  <w:r>
                    <w:rPr>
                      <w:rFonts w:hint="eastAsia"/>
                    </w:rPr>
                    <w:t>(</w:t>
                  </w:r>
                  <w:r>
                    <w:t>mg/m</w:t>
                  </w:r>
                  <w:r>
                    <w:rPr>
                      <w:vertAlign w:val="superscript"/>
                    </w:rPr>
                    <w:t>3</w:t>
                  </w:r>
                  <w:r>
                    <w:rPr>
                      <w:rFonts w:hint="eastAsia"/>
                    </w:rPr>
                    <w:t>)</w:t>
                  </w:r>
                </w:p>
              </w:tc>
              <w:tc>
                <w:tcPr>
                  <w:tcW w:w="0" w:type="auto"/>
                  <w:vMerge w:val="continue"/>
                  <w:vAlign w:val="center"/>
                </w:tcPr>
                <w:p w14:paraId="7DCFD139">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0" w:type="auto"/>
                  <w:vMerge w:val="continue"/>
                  <w:vAlign w:val="center"/>
                </w:tcPr>
                <w:p w14:paraId="2FE8E37B">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0" w:type="auto"/>
                  <w:vAlign w:val="center"/>
                </w:tcPr>
                <w:p w14:paraId="0A24FCB8">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排放量(t/a)</w:t>
                  </w:r>
                </w:p>
              </w:tc>
              <w:tc>
                <w:tcPr>
                  <w:tcW w:w="0" w:type="auto"/>
                  <w:vAlign w:val="center"/>
                </w:tcPr>
                <w:p w14:paraId="1109FB60">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排放速率(kg/h)</w:t>
                  </w:r>
                </w:p>
              </w:tc>
              <w:tc>
                <w:tcPr>
                  <w:tcW w:w="0" w:type="auto"/>
                  <w:vAlign w:val="center"/>
                </w:tcPr>
                <w:p w14:paraId="344A7F5B">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排放浓度</w:t>
                  </w:r>
                  <w:r>
                    <w:rPr>
                      <w:rFonts w:hint="eastAsia"/>
                    </w:rPr>
                    <w:t>(</w:t>
                  </w:r>
                  <w:r>
                    <w:t>mg/m</w:t>
                  </w:r>
                  <w:r>
                    <w:rPr>
                      <w:vertAlign w:val="superscript"/>
                    </w:rPr>
                    <w:t>3</w:t>
                  </w:r>
                  <w:r>
                    <w:rPr>
                      <w:rFonts w:hint="eastAsia"/>
                    </w:rPr>
                    <w:t>)</w:t>
                  </w:r>
                </w:p>
              </w:tc>
            </w:tr>
            <w:tr w14:paraId="37E8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39CF153A">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rPr>
                      <w:rFonts w:hint="eastAsia"/>
                      <w:spacing w:val="-1"/>
                      <w:sz w:val="21"/>
                      <w:szCs w:val="21"/>
                      <w:lang w:eastAsia="zh-CN"/>
                    </w:rPr>
                    <w:t>生物质锅炉</w:t>
                  </w:r>
                </w:p>
              </w:tc>
              <w:tc>
                <w:tcPr>
                  <w:tcW w:w="0" w:type="auto"/>
                  <w:vMerge w:val="restart"/>
                  <w:vAlign w:val="center"/>
                </w:tcPr>
                <w:p w14:paraId="52C13883">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spacing w:val="-1"/>
                      <w:sz w:val="21"/>
                      <w:szCs w:val="21"/>
                      <w:lang w:val="en-US" w:eastAsia="zh-CN"/>
                    </w:rPr>
                  </w:pPr>
                  <w:r>
                    <w:rPr>
                      <w:rFonts w:hint="eastAsia"/>
                      <w:spacing w:val="-1"/>
                      <w:sz w:val="21"/>
                      <w:szCs w:val="21"/>
                      <w:lang w:val="en-US" w:eastAsia="zh-CN"/>
                    </w:rPr>
                    <w:t>DA001</w:t>
                  </w:r>
                </w:p>
              </w:tc>
              <w:tc>
                <w:tcPr>
                  <w:tcW w:w="0" w:type="auto"/>
                  <w:vAlign w:val="center"/>
                </w:tcPr>
                <w:p w14:paraId="44ADD85D">
                  <w:pPr>
                    <w:pStyle w:val="42"/>
                    <w:bidi w:val="0"/>
                    <w:ind w:firstLine="0" w:firstLineChars="0"/>
                    <w:jc w:val="center"/>
                    <w:rPr>
                      <w:rFonts w:hint="eastAsia"/>
                      <w:spacing w:val="-1"/>
                      <w:sz w:val="21"/>
                      <w:szCs w:val="21"/>
                      <w:lang w:eastAsia="zh-CN"/>
                    </w:rPr>
                  </w:pPr>
                  <w:r>
                    <w:rPr>
                      <w:rFonts w:hint="eastAsia"/>
                      <w:lang w:val="en-US" w:eastAsia="zh-CN"/>
                    </w:rPr>
                    <w:t>SO</w:t>
                  </w:r>
                  <w:r>
                    <w:rPr>
                      <w:rFonts w:hint="eastAsia"/>
                      <w:vertAlign w:val="subscript"/>
                      <w:lang w:val="en-US" w:eastAsia="zh-CN"/>
                    </w:rPr>
                    <w:t>2</w:t>
                  </w:r>
                </w:p>
              </w:tc>
              <w:tc>
                <w:tcPr>
                  <w:tcW w:w="899" w:type="dxa"/>
                  <w:vAlign w:val="center"/>
                </w:tcPr>
                <w:p w14:paraId="1C60ABF5">
                  <w:pPr>
                    <w:pStyle w:val="42"/>
                    <w:bidi w:val="0"/>
                    <w:ind w:firstLine="0" w:firstLineChars="0"/>
                    <w:jc w:val="center"/>
                  </w:pPr>
                  <w:r>
                    <w:rPr>
                      <w:rFonts w:hint="eastAsia"/>
                      <w:lang w:val="en-US" w:eastAsia="zh-CN"/>
                    </w:rPr>
                    <w:t>1.224</w:t>
                  </w:r>
                </w:p>
              </w:tc>
              <w:tc>
                <w:tcPr>
                  <w:tcW w:w="0" w:type="auto"/>
                  <w:vAlign w:val="center"/>
                </w:tcPr>
                <w:p w14:paraId="29158BE1">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0.51</w:t>
                  </w:r>
                </w:p>
              </w:tc>
              <w:tc>
                <w:tcPr>
                  <w:tcW w:w="0" w:type="auto"/>
                  <w:vAlign w:val="center"/>
                </w:tcPr>
                <w:p w14:paraId="56C63375">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34</w:t>
                  </w:r>
                </w:p>
              </w:tc>
              <w:tc>
                <w:tcPr>
                  <w:tcW w:w="0" w:type="auto"/>
                  <w:vMerge w:val="restart"/>
                  <w:vAlign w:val="center"/>
                </w:tcPr>
                <w:p w14:paraId="48FFBAE5">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rPr>
                      <w:rFonts w:hint="eastAsia"/>
                      <w:lang w:val="en-US" w:eastAsia="zh-CN"/>
                    </w:rPr>
                    <w:t>袋式除尘+1</w:t>
                  </w:r>
                  <w:r>
                    <w:rPr>
                      <w:rFonts w:hint="eastAsia"/>
                    </w:rPr>
                    <w:t>5m高排气筒</w:t>
                  </w:r>
                </w:p>
              </w:tc>
              <w:tc>
                <w:tcPr>
                  <w:tcW w:w="602" w:type="dxa"/>
                  <w:vAlign w:val="center"/>
                </w:tcPr>
                <w:p w14:paraId="58136C68">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ascii="Times New Roman" w:hAnsi="Times New Roman" w:eastAsia="宋体" w:cs="Times New Roman"/>
                      <w:spacing w:val="-2"/>
                      <w:sz w:val="24"/>
                      <w:u w:val="single"/>
                      <w:lang w:val="en-US" w:eastAsia="zh-CN"/>
                    </w:rPr>
                  </w:pPr>
                  <w:r>
                    <w:rPr>
                      <w:rFonts w:hint="eastAsia" w:cs="Times New Roman"/>
                      <w:spacing w:val="-2"/>
                      <w:sz w:val="24"/>
                      <w:u w:val="single"/>
                      <w:lang w:val="en-US" w:eastAsia="zh-CN"/>
                    </w:rPr>
                    <w:t>/</w:t>
                  </w:r>
                </w:p>
              </w:tc>
              <w:tc>
                <w:tcPr>
                  <w:tcW w:w="1004" w:type="dxa"/>
                  <w:vAlign w:val="center"/>
                </w:tcPr>
                <w:p w14:paraId="2ACE3A24">
                  <w:pPr>
                    <w:pStyle w:val="42"/>
                    <w:bidi w:val="0"/>
                    <w:ind w:firstLine="0" w:firstLineChars="0"/>
                    <w:jc w:val="center"/>
                    <w:rPr>
                      <w:rFonts w:hint="default" w:eastAsia="宋体"/>
                      <w:lang w:val="en-US" w:eastAsia="zh-CN"/>
                    </w:rPr>
                  </w:pPr>
                  <w:r>
                    <w:rPr>
                      <w:rFonts w:hint="eastAsia"/>
                      <w:lang w:val="en-US" w:eastAsia="zh-CN"/>
                    </w:rPr>
                    <w:t>1.224</w:t>
                  </w:r>
                </w:p>
              </w:tc>
              <w:tc>
                <w:tcPr>
                  <w:tcW w:w="899" w:type="dxa"/>
                  <w:vAlign w:val="center"/>
                </w:tcPr>
                <w:p w14:paraId="1034B70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0.51</w:t>
                  </w:r>
                </w:p>
              </w:tc>
              <w:tc>
                <w:tcPr>
                  <w:tcW w:w="915" w:type="dxa"/>
                  <w:vAlign w:val="center"/>
                </w:tcPr>
                <w:p w14:paraId="02D27C8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34</w:t>
                  </w:r>
                </w:p>
              </w:tc>
            </w:tr>
            <w:tr w14:paraId="5E8B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4375FF8">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spacing w:val="-1"/>
                      <w:sz w:val="21"/>
                      <w:szCs w:val="21"/>
                      <w:lang w:eastAsia="zh-CN"/>
                    </w:rPr>
                  </w:pPr>
                </w:p>
              </w:tc>
              <w:tc>
                <w:tcPr>
                  <w:tcW w:w="0" w:type="auto"/>
                  <w:vMerge w:val="continue"/>
                  <w:vAlign w:val="center"/>
                </w:tcPr>
                <w:p w14:paraId="6BA09477">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spacing w:val="-1"/>
                      <w:sz w:val="21"/>
                      <w:szCs w:val="21"/>
                      <w:lang w:eastAsia="zh-CN"/>
                    </w:rPr>
                  </w:pPr>
                </w:p>
              </w:tc>
              <w:tc>
                <w:tcPr>
                  <w:tcW w:w="0" w:type="auto"/>
                  <w:vAlign w:val="center"/>
                </w:tcPr>
                <w:p w14:paraId="6C0CDFA3">
                  <w:pPr>
                    <w:pStyle w:val="42"/>
                    <w:bidi w:val="0"/>
                    <w:ind w:firstLine="0" w:firstLineChars="0"/>
                    <w:jc w:val="center"/>
                    <w:rPr>
                      <w:rFonts w:hint="eastAsia"/>
                      <w:spacing w:val="-1"/>
                      <w:sz w:val="21"/>
                      <w:szCs w:val="21"/>
                      <w:lang w:eastAsia="zh-CN"/>
                    </w:rPr>
                  </w:pPr>
                  <w:r>
                    <w:rPr>
                      <w:rFonts w:hint="eastAsia"/>
                      <w:lang w:val="en-US" w:eastAsia="zh-CN"/>
                    </w:rPr>
                    <w:t>NOx</w:t>
                  </w:r>
                </w:p>
              </w:tc>
              <w:tc>
                <w:tcPr>
                  <w:tcW w:w="899" w:type="dxa"/>
                  <w:vAlign w:val="center"/>
                </w:tcPr>
                <w:p w14:paraId="2919EADA">
                  <w:pPr>
                    <w:pStyle w:val="42"/>
                    <w:bidi w:val="0"/>
                    <w:ind w:firstLine="0" w:firstLineChars="0"/>
                    <w:jc w:val="center"/>
                  </w:pPr>
                  <w:r>
                    <w:rPr>
                      <w:rFonts w:hint="eastAsia"/>
                      <w:lang w:val="en-US" w:eastAsia="zh-CN"/>
                    </w:rPr>
                    <w:t>1.836</w:t>
                  </w:r>
                </w:p>
              </w:tc>
              <w:tc>
                <w:tcPr>
                  <w:tcW w:w="0" w:type="auto"/>
                  <w:vAlign w:val="center"/>
                </w:tcPr>
                <w:p w14:paraId="0C58E4A7">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0.765</w:t>
                  </w:r>
                </w:p>
              </w:tc>
              <w:tc>
                <w:tcPr>
                  <w:tcW w:w="0" w:type="auto"/>
                  <w:vAlign w:val="center"/>
                </w:tcPr>
                <w:p w14:paraId="70E9FF81">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51</w:t>
                  </w:r>
                </w:p>
              </w:tc>
              <w:tc>
                <w:tcPr>
                  <w:tcW w:w="0" w:type="auto"/>
                  <w:vMerge w:val="continue"/>
                  <w:vAlign w:val="center"/>
                </w:tcPr>
                <w:p w14:paraId="2ECBA013">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ascii="Times New Roman" w:hAnsi="Times New Roman" w:eastAsia="宋体" w:cs="Times New Roman"/>
                      <w:spacing w:val="-2"/>
                      <w:sz w:val="24"/>
                    </w:rPr>
                  </w:pPr>
                </w:p>
              </w:tc>
              <w:tc>
                <w:tcPr>
                  <w:tcW w:w="602" w:type="dxa"/>
                  <w:vAlign w:val="center"/>
                </w:tcPr>
                <w:p w14:paraId="255F7465">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Times New Roman" w:hAnsi="Times New Roman" w:eastAsia="宋体" w:cs="Times New Roman"/>
                      <w:spacing w:val="-2"/>
                      <w:sz w:val="24"/>
                      <w:u w:val="single"/>
                      <w:lang w:val="en-US" w:eastAsia="zh-CN"/>
                    </w:rPr>
                  </w:pPr>
                  <w:r>
                    <w:rPr>
                      <w:rFonts w:hint="eastAsia" w:cs="Times New Roman"/>
                      <w:spacing w:val="-2"/>
                      <w:sz w:val="24"/>
                      <w:u w:val="single"/>
                      <w:lang w:val="en-US" w:eastAsia="zh-CN"/>
                    </w:rPr>
                    <w:t>/</w:t>
                  </w:r>
                </w:p>
              </w:tc>
              <w:tc>
                <w:tcPr>
                  <w:tcW w:w="1004" w:type="dxa"/>
                  <w:vAlign w:val="center"/>
                </w:tcPr>
                <w:p w14:paraId="64512421">
                  <w:pPr>
                    <w:pStyle w:val="42"/>
                    <w:bidi w:val="0"/>
                    <w:ind w:firstLine="0" w:firstLineChars="0"/>
                    <w:jc w:val="center"/>
                    <w:rPr>
                      <w:rFonts w:hint="default" w:eastAsia="宋体"/>
                      <w:lang w:val="en-US" w:eastAsia="zh-CN"/>
                    </w:rPr>
                  </w:pPr>
                  <w:r>
                    <w:rPr>
                      <w:rFonts w:hint="eastAsia"/>
                      <w:lang w:val="en-US" w:eastAsia="zh-CN"/>
                    </w:rPr>
                    <w:t>1.836</w:t>
                  </w:r>
                </w:p>
              </w:tc>
              <w:tc>
                <w:tcPr>
                  <w:tcW w:w="899" w:type="dxa"/>
                  <w:vAlign w:val="center"/>
                </w:tcPr>
                <w:p w14:paraId="08C220A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0.765</w:t>
                  </w:r>
                </w:p>
              </w:tc>
              <w:tc>
                <w:tcPr>
                  <w:tcW w:w="915" w:type="dxa"/>
                  <w:vAlign w:val="center"/>
                </w:tcPr>
                <w:p w14:paraId="525B80D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51</w:t>
                  </w:r>
                </w:p>
              </w:tc>
            </w:tr>
            <w:tr w14:paraId="7CD8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27E84FC">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spacing w:val="-1"/>
                      <w:sz w:val="21"/>
                      <w:szCs w:val="21"/>
                      <w:lang w:eastAsia="zh-CN"/>
                    </w:rPr>
                  </w:pPr>
                </w:p>
              </w:tc>
              <w:tc>
                <w:tcPr>
                  <w:tcW w:w="0" w:type="auto"/>
                  <w:vMerge w:val="continue"/>
                  <w:vAlign w:val="center"/>
                </w:tcPr>
                <w:p w14:paraId="27FD5896">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spacing w:val="-1"/>
                      <w:sz w:val="21"/>
                      <w:szCs w:val="21"/>
                      <w:lang w:eastAsia="zh-CN"/>
                    </w:rPr>
                  </w:pPr>
                </w:p>
              </w:tc>
              <w:tc>
                <w:tcPr>
                  <w:tcW w:w="0" w:type="auto"/>
                  <w:vAlign w:val="center"/>
                </w:tcPr>
                <w:p w14:paraId="1B4F457C">
                  <w:pPr>
                    <w:pStyle w:val="42"/>
                    <w:bidi w:val="0"/>
                    <w:ind w:firstLine="0" w:firstLineChars="0"/>
                    <w:jc w:val="center"/>
                    <w:rPr>
                      <w:rFonts w:hint="eastAsia"/>
                      <w:spacing w:val="-1"/>
                      <w:sz w:val="21"/>
                      <w:szCs w:val="21"/>
                      <w:lang w:eastAsia="zh-CN"/>
                    </w:rPr>
                  </w:pPr>
                  <w:r>
                    <w:rPr>
                      <w:rFonts w:hint="eastAsia"/>
                      <w:lang w:eastAsia="zh-CN"/>
                    </w:rPr>
                    <w:t>颗粒物</w:t>
                  </w:r>
                </w:p>
              </w:tc>
              <w:tc>
                <w:tcPr>
                  <w:tcW w:w="899" w:type="dxa"/>
                  <w:vAlign w:val="center"/>
                </w:tcPr>
                <w:p w14:paraId="233AE970">
                  <w:pPr>
                    <w:pStyle w:val="42"/>
                    <w:bidi w:val="0"/>
                    <w:ind w:firstLine="0" w:firstLineChars="0"/>
                    <w:jc w:val="center"/>
                    <w:rPr>
                      <w:rFonts w:hint="default"/>
                      <w:lang w:val="en-US"/>
                    </w:rPr>
                  </w:pPr>
                  <w:r>
                    <w:rPr>
                      <w:rFonts w:hint="eastAsia"/>
                      <w:lang w:val="en-US" w:eastAsia="zh-CN"/>
                    </w:rPr>
                    <w:t>0.9</w:t>
                  </w:r>
                </w:p>
              </w:tc>
              <w:tc>
                <w:tcPr>
                  <w:tcW w:w="0" w:type="auto"/>
                  <w:vAlign w:val="center"/>
                </w:tcPr>
                <w:p w14:paraId="6AC9C23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0.375</w:t>
                  </w:r>
                </w:p>
              </w:tc>
              <w:tc>
                <w:tcPr>
                  <w:tcW w:w="0" w:type="auto"/>
                  <w:vAlign w:val="center"/>
                </w:tcPr>
                <w:p w14:paraId="08F90FBA">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25</w:t>
                  </w:r>
                </w:p>
              </w:tc>
              <w:tc>
                <w:tcPr>
                  <w:tcW w:w="0" w:type="auto"/>
                  <w:vMerge w:val="continue"/>
                  <w:vAlign w:val="center"/>
                </w:tcPr>
                <w:p w14:paraId="74EA59EE">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ascii="Times New Roman" w:hAnsi="Times New Roman" w:eastAsia="宋体" w:cs="Times New Roman"/>
                      <w:spacing w:val="-2"/>
                      <w:sz w:val="24"/>
                    </w:rPr>
                  </w:pPr>
                </w:p>
              </w:tc>
              <w:tc>
                <w:tcPr>
                  <w:tcW w:w="602" w:type="dxa"/>
                  <w:vAlign w:val="center"/>
                </w:tcPr>
                <w:p w14:paraId="74E2543C">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ascii="Times New Roman" w:hAnsi="Times New Roman" w:eastAsia="宋体" w:cs="Times New Roman"/>
                      <w:spacing w:val="-2"/>
                      <w:sz w:val="24"/>
                      <w:u w:val="single"/>
                    </w:rPr>
                  </w:pPr>
                  <w:r>
                    <w:rPr>
                      <w:rFonts w:hint="eastAsia" w:cs="Times New Roman"/>
                      <w:spacing w:val="-2"/>
                      <w:sz w:val="21"/>
                      <w:szCs w:val="21"/>
                      <w:u w:val="single"/>
                      <w:lang w:val="en-US" w:eastAsia="zh-CN"/>
                    </w:rPr>
                    <w:t>98</w:t>
                  </w:r>
                  <w:r>
                    <w:rPr>
                      <w:rFonts w:hint="eastAsia" w:ascii="Times New Roman" w:hAnsi="Times New Roman" w:eastAsia="宋体" w:cs="Times New Roman"/>
                      <w:spacing w:val="-2"/>
                      <w:sz w:val="21"/>
                      <w:szCs w:val="21"/>
                      <w:u w:val="single"/>
                      <w:lang w:val="en-US" w:eastAsia="zh-CN"/>
                    </w:rPr>
                    <w:t>%</w:t>
                  </w:r>
                </w:p>
              </w:tc>
              <w:tc>
                <w:tcPr>
                  <w:tcW w:w="1004" w:type="dxa"/>
                  <w:vAlign w:val="center"/>
                </w:tcPr>
                <w:p w14:paraId="048E8C52">
                  <w:pPr>
                    <w:pStyle w:val="42"/>
                    <w:bidi w:val="0"/>
                    <w:ind w:firstLine="0" w:firstLineChars="0"/>
                    <w:jc w:val="center"/>
                    <w:rPr>
                      <w:rFonts w:hint="default" w:eastAsia="宋体"/>
                      <w:lang w:val="en-US" w:eastAsia="zh-CN"/>
                    </w:rPr>
                  </w:pPr>
                  <w:r>
                    <w:rPr>
                      <w:rFonts w:hint="eastAsia"/>
                      <w:lang w:val="en-US" w:eastAsia="zh-CN"/>
                    </w:rPr>
                    <w:t>0.018</w:t>
                  </w:r>
                </w:p>
              </w:tc>
              <w:tc>
                <w:tcPr>
                  <w:tcW w:w="899" w:type="dxa"/>
                  <w:vAlign w:val="center"/>
                </w:tcPr>
                <w:p w14:paraId="5A9A885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0.0075</w:t>
                  </w:r>
                </w:p>
              </w:tc>
              <w:tc>
                <w:tcPr>
                  <w:tcW w:w="915" w:type="dxa"/>
                  <w:vAlign w:val="center"/>
                </w:tcPr>
                <w:p w14:paraId="706D6D0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0.5</w:t>
                  </w:r>
                </w:p>
              </w:tc>
            </w:tr>
          </w:tbl>
          <w:p w14:paraId="47E0A384">
            <w:pPr>
              <w:pStyle w:val="6"/>
              <w:numPr>
                <w:ilvl w:val="3"/>
                <w:numId w:val="0"/>
              </w:numPr>
              <w:bidi w:val="0"/>
              <w:ind w:left="0" w:leftChars="0" w:firstLine="0" w:firstLineChars="0"/>
              <w:rPr>
                <w:rFonts w:hint="eastAsia"/>
              </w:rPr>
            </w:pPr>
            <w:r>
              <w:rPr>
                <w:rFonts w:hint="default" w:ascii="Times New Roman" w:hAnsi="Times New Roman" w:eastAsia="宋体" w:cs="Times New Roman"/>
                <w:b/>
                <w:i w:val="0"/>
                <w:kern w:val="2"/>
                <w:sz w:val="24"/>
                <w:szCs w:val="24"/>
                <w:lang w:val="en-US" w:eastAsia="zh-CN" w:bidi="ar-SA"/>
              </w:rPr>
              <w:t>4.5.1.3、</w:t>
            </w:r>
            <w:r>
              <w:rPr>
                <w:rFonts w:hint="eastAsia"/>
                <w:spacing w:val="-1"/>
                <w:sz w:val="24"/>
                <w:lang w:eastAsia="zh-CN"/>
              </w:rPr>
              <w:t>化制烘干工序废气</w:t>
            </w:r>
          </w:p>
          <w:p w14:paraId="2310775E">
            <w:pPr>
              <w:rPr>
                <w:rFonts w:hint="eastAsia"/>
                <w:lang w:eastAsia="zh-CN"/>
              </w:rPr>
            </w:pPr>
            <w:r>
              <w:rPr>
                <w:rFonts w:hint="eastAsia"/>
                <w:lang w:eastAsia="zh-CN"/>
              </w:rPr>
              <w:t>项目在无害化处理全过程都会产生一定量的恶臭气体，主要为NH</w:t>
            </w:r>
            <w:r>
              <w:rPr>
                <w:rFonts w:hint="eastAsia"/>
                <w:vertAlign w:val="subscript"/>
                <w:lang w:eastAsia="zh-CN"/>
              </w:rPr>
              <w:t>3</w:t>
            </w:r>
            <w:r>
              <w:rPr>
                <w:rFonts w:hint="eastAsia"/>
                <w:lang w:eastAsia="zh-CN"/>
              </w:rPr>
              <w:t>、H</w:t>
            </w:r>
            <w:r>
              <w:rPr>
                <w:rFonts w:hint="eastAsia"/>
                <w:vertAlign w:val="subscript"/>
                <w:lang w:eastAsia="zh-CN"/>
              </w:rPr>
              <w:t>2</w:t>
            </w:r>
            <w:r>
              <w:rPr>
                <w:rFonts w:hint="eastAsia"/>
                <w:lang w:eastAsia="zh-CN"/>
              </w:rPr>
              <w:t>S和非甲烷总烃。</w:t>
            </w:r>
          </w:p>
          <w:p w14:paraId="42F95301">
            <w:pPr>
              <w:rPr>
                <w:rFonts w:hint="default" w:ascii="Times New Roman" w:hAnsi="Times New Roman" w:eastAsia="宋体" w:cs="Times New Roman"/>
                <w:spacing w:val="-2"/>
                <w:sz w:val="24"/>
                <w:u w:val="single"/>
                <w:lang w:val="en-US" w:eastAsia="zh-CN"/>
              </w:rPr>
            </w:pPr>
            <w:r>
              <w:rPr>
                <w:rFonts w:hint="eastAsia"/>
                <w:lang w:eastAsia="zh-CN"/>
              </w:rPr>
              <w:t>根据《定远县题桥环境科技有限公司定远县病死畜禽无害化处理项目竣工环境保护验收监测报告表》可知，验收监测期间工况达产率90%，项目年处理能力为</w:t>
            </w:r>
            <w:r>
              <w:rPr>
                <w:rFonts w:hint="eastAsia"/>
                <w:lang w:val="en-US" w:eastAsia="zh-CN"/>
              </w:rPr>
              <w:t>6000</w:t>
            </w:r>
            <w:r>
              <w:rPr>
                <w:rFonts w:hint="eastAsia"/>
                <w:lang w:eastAsia="zh-CN"/>
              </w:rPr>
              <w:t>t，年生产2400h，验收监测期间锅炉排气筒进口有组织NH</w:t>
            </w:r>
            <w:r>
              <w:rPr>
                <w:rFonts w:hint="eastAsia"/>
                <w:vertAlign w:val="subscript"/>
                <w:lang w:eastAsia="zh-CN"/>
              </w:rPr>
              <w:t>3</w:t>
            </w:r>
            <w:r>
              <w:rPr>
                <w:rFonts w:hint="eastAsia"/>
                <w:lang w:eastAsia="zh-CN"/>
              </w:rPr>
              <w:t>产生速率为0.641kg/h、H</w:t>
            </w:r>
            <w:r>
              <w:rPr>
                <w:rFonts w:hint="eastAsia"/>
                <w:vertAlign w:val="subscript"/>
                <w:lang w:val="en-US" w:eastAsia="zh-CN"/>
              </w:rPr>
              <w:t>2</w:t>
            </w:r>
            <w:r>
              <w:rPr>
                <w:rFonts w:hint="eastAsia"/>
                <w:lang w:eastAsia="zh-CN"/>
              </w:rPr>
              <w:t>S产生速率为0.00512kg/h、非甲烷总烃产生速率为0.594kg/h</w:t>
            </w:r>
            <w:r>
              <w:rPr>
                <w:rFonts w:ascii="Times New Roman" w:hAnsi="Times New Roman" w:eastAsia="宋体" w:cs="Times New Roman"/>
                <w:spacing w:val="-2"/>
                <w:sz w:val="24"/>
              </w:rPr>
              <w:t>。</w:t>
            </w:r>
            <w:r>
              <w:rPr>
                <w:rFonts w:hint="eastAsia" w:cs="Times New Roman"/>
                <w:spacing w:val="-2"/>
                <w:sz w:val="24"/>
                <w:u w:val="single"/>
                <w:lang w:eastAsia="zh-CN"/>
              </w:rPr>
              <w:t>本项目的处理规模约为其</w:t>
            </w:r>
            <w:r>
              <w:rPr>
                <w:rFonts w:hint="eastAsia" w:cs="Times New Roman"/>
                <w:spacing w:val="-2"/>
                <w:sz w:val="24"/>
                <w:u w:val="single"/>
                <w:lang w:val="en-US" w:eastAsia="zh-CN"/>
              </w:rPr>
              <w:t>1.22倍，则本项目</w:t>
            </w:r>
            <w:r>
              <w:rPr>
                <w:rFonts w:hint="eastAsia"/>
                <w:u w:val="single"/>
                <w:lang w:eastAsia="zh-CN"/>
              </w:rPr>
              <w:t>NH</w:t>
            </w:r>
            <w:r>
              <w:rPr>
                <w:rFonts w:hint="eastAsia"/>
                <w:u w:val="single"/>
                <w:vertAlign w:val="subscript"/>
                <w:lang w:eastAsia="zh-CN"/>
              </w:rPr>
              <w:t>3</w:t>
            </w:r>
            <w:r>
              <w:rPr>
                <w:rFonts w:hint="eastAsia"/>
                <w:u w:val="single"/>
                <w:lang w:eastAsia="zh-CN"/>
              </w:rPr>
              <w:t>、H</w:t>
            </w:r>
            <w:r>
              <w:rPr>
                <w:rFonts w:hint="eastAsia"/>
                <w:u w:val="single"/>
                <w:vertAlign w:val="subscript"/>
                <w:lang w:val="en-US" w:eastAsia="zh-CN"/>
              </w:rPr>
              <w:t>2</w:t>
            </w:r>
            <w:r>
              <w:rPr>
                <w:rFonts w:hint="eastAsia"/>
                <w:u w:val="single"/>
                <w:lang w:eastAsia="zh-CN"/>
              </w:rPr>
              <w:t>S及非甲烷总烃产生速率等比按</w:t>
            </w:r>
            <w:r>
              <w:rPr>
                <w:rFonts w:hint="eastAsia"/>
                <w:u w:val="single"/>
                <w:lang w:val="en-US" w:eastAsia="zh-CN"/>
              </w:rPr>
              <w:t>1.22倍计算（</w:t>
            </w:r>
            <w:r>
              <w:rPr>
                <w:rFonts w:hint="eastAsia"/>
                <w:u w:val="single"/>
                <w:lang w:eastAsia="zh-CN"/>
              </w:rPr>
              <w:t>NH</w:t>
            </w:r>
            <w:r>
              <w:rPr>
                <w:rFonts w:hint="eastAsia"/>
                <w:u w:val="single"/>
                <w:vertAlign w:val="subscript"/>
                <w:lang w:eastAsia="zh-CN"/>
              </w:rPr>
              <w:t>3</w:t>
            </w:r>
            <w:r>
              <w:rPr>
                <w:rFonts w:hint="eastAsia"/>
                <w:u w:val="single"/>
                <w:lang w:eastAsia="zh-CN"/>
              </w:rPr>
              <w:t>：0.</w:t>
            </w:r>
            <w:r>
              <w:rPr>
                <w:rFonts w:hint="eastAsia"/>
                <w:u w:val="single"/>
                <w:lang w:val="en-US" w:eastAsia="zh-CN"/>
              </w:rPr>
              <w:t>87</w:t>
            </w:r>
            <w:r>
              <w:rPr>
                <w:rFonts w:hint="eastAsia"/>
                <w:u w:val="single"/>
                <w:lang w:eastAsia="zh-CN"/>
              </w:rPr>
              <w:t>kg/h，H</w:t>
            </w:r>
            <w:r>
              <w:rPr>
                <w:rFonts w:hint="eastAsia"/>
                <w:u w:val="single"/>
                <w:vertAlign w:val="subscript"/>
                <w:lang w:val="en-US" w:eastAsia="zh-CN"/>
              </w:rPr>
              <w:t>2</w:t>
            </w:r>
            <w:r>
              <w:rPr>
                <w:rFonts w:hint="eastAsia"/>
                <w:u w:val="single"/>
                <w:lang w:eastAsia="zh-CN"/>
              </w:rPr>
              <w:t>S：0.00</w:t>
            </w:r>
            <w:r>
              <w:rPr>
                <w:rFonts w:hint="eastAsia"/>
                <w:u w:val="single"/>
                <w:lang w:val="en-US" w:eastAsia="zh-CN"/>
              </w:rPr>
              <w:t>69</w:t>
            </w:r>
            <w:r>
              <w:rPr>
                <w:rFonts w:hint="eastAsia"/>
                <w:u w:val="single"/>
                <w:lang w:eastAsia="zh-CN"/>
              </w:rPr>
              <w:t>kg/h，非甲烷总烃：</w:t>
            </w:r>
            <w:r>
              <w:rPr>
                <w:rFonts w:hint="eastAsia"/>
                <w:u w:val="single"/>
                <w:lang w:val="en-US" w:eastAsia="zh-CN"/>
              </w:rPr>
              <w:t>0.8</w:t>
            </w:r>
            <w:r>
              <w:rPr>
                <w:rFonts w:hint="eastAsia"/>
                <w:u w:val="single"/>
                <w:lang w:eastAsia="zh-CN"/>
              </w:rPr>
              <w:t>kg/h</w:t>
            </w:r>
            <w:r>
              <w:rPr>
                <w:rFonts w:hint="eastAsia"/>
                <w:u w:val="single"/>
                <w:lang w:val="en-US" w:eastAsia="zh-CN"/>
              </w:rPr>
              <w:t>）。</w:t>
            </w:r>
          </w:p>
          <w:p w14:paraId="737BD0DC">
            <w:pPr>
              <w:rPr>
                <w:rFonts w:hint="eastAsia" w:ascii="Times New Roman" w:hAnsi="Times New Roman" w:eastAsia="宋体" w:cs="Times New Roman"/>
                <w:spacing w:val="-2"/>
                <w:sz w:val="24"/>
                <w:lang w:eastAsia="zh-CN"/>
              </w:rPr>
            </w:pPr>
            <w:r>
              <w:rPr>
                <w:rFonts w:hint="eastAsia" w:cs="Times New Roman"/>
                <w:spacing w:val="-2"/>
                <w:sz w:val="24"/>
                <w:lang w:eastAsia="zh-CN"/>
              </w:rPr>
              <w:t>本项目</w:t>
            </w:r>
            <w:r>
              <w:rPr>
                <w:rFonts w:hint="eastAsia" w:ascii="Times New Roman" w:hAnsi="Times New Roman" w:eastAsia="宋体" w:cs="Times New Roman"/>
                <w:spacing w:val="-2"/>
                <w:sz w:val="24"/>
              </w:rPr>
              <w:t>整个</w:t>
            </w:r>
            <w:r>
              <w:rPr>
                <w:rFonts w:hint="eastAsia" w:cs="Times New Roman"/>
                <w:spacing w:val="-2"/>
                <w:sz w:val="24"/>
                <w:lang w:eastAsia="zh-CN"/>
              </w:rPr>
              <w:t>化制烘干</w:t>
            </w:r>
            <w:r>
              <w:rPr>
                <w:rFonts w:hint="eastAsia" w:ascii="Times New Roman" w:hAnsi="Times New Roman" w:eastAsia="宋体" w:cs="Times New Roman"/>
                <w:spacing w:val="-2"/>
                <w:sz w:val="24"/>
              </w:rPr>
              <w:t>工段为密闭装置，生产过程中密闭负压生产，废气处理措施。在烘干机排气阀上接密闭管道，将化制烘干工段污蒸汽</w:t>
            </w:r>
            <w:r>
              <w:rPr>
                <w:rFonts w:hint="eastAsia" w:cs="Times New Roman"/>
                <w:spacing w:val="-2"/>
                <w:sz w:val="24"/>
                <w:lang w:eastAsia="zh-CN"/>
              </w:rPr>
              <w:t>（</w:t>
            </w:r>
            <w:r>
              <w:rPr>
                <w:rFonts w:hint="eastAsia"/>
                <w:lang w:eastAsia="zh-CN"/>
              </w:rPr>
              <w:t>为病死禽畜自身含水</w:t>
            </w:r>
            <w:r>
              <w:rPr>
                <w:rFonts w:hint="eastAsia" w:ascii="Times New Roman" w:hAnsi="Times New Roman" w:cs="Times New Roman"/>
                <w:kern w:val="2"/>
                <w:sz w:val="24"/>
                <w:szCs w:val="24"/>
                <w:lang w:val="en-US" w:bidi="ar-SA"/>
              </w:rPr>
              <w:t>在化制过程中转化为水蒸气形式</w:t>
            </w:r>
            <w:r>
              <w:rPr>
                <w:rFonts w:hint="eastAsia" w:cs="Times New Roman"/>
                <w:spacing w:val="-2"/>
                <w:sz w:val="24"/>
                <w:lang w:eastAsia="zh-CN"/>
              </w:rPr>
              <w:t>）</w:t>
            </w:r>
            <w:r>
              <w:rPr>
                <w:rFonts w:hint="eastAsia" w:ascii="Times New Roman" w:hAnsi="Times New Roman" w:eastAsia="宋体" w:cs="Times New Roman"/>
                <w:spacing w:val="-2"/>
                <w:sz w:val="24"/>
              </w:rPr>
              <w:t>经冷凝后的不凝气经除臭箱除臭后，负压(风量取</w:t>
            </w:r>
            <w:r>
              <w:rPr>
                <w:rFonts w:hint="eastAsia" w:cs="Times New Roman"/>
                <w:spacing w:val="-2"/>
                <w:sz w:val="24"/>
                <w:highlight w:val="none"/>
                <w:lang w:val="en-US" w:eastAsia="zh-CN"/>
              </w:rPr>
              <w:t>15000</w:t>
            </w:r>
            <w:r>
              <w:rPr>
                <w:rFonts w:hint="eastAsia" w:ascii="Times New Roman" w:hAnsi="Times New Roman" w:eastAsia="宋体" w:cs="Times New Roman"/>
                <w:spacing w:val="-2"/>
                <w:sz w:val="24"/>
              </w:rPr>
              <w:t>m</w:t>
            </w:r>
            <w:r>
              <w:rPr>
                <w:rFonts w:hint="eastAsia" w:cs="Times New Roman"/>
                <w:spacing w:val="-2"/>
                <w:sz w:val="24"/>
                <w:vertAlign w:val="superscript"/>
                <w:lang w:val="en-US" w:eastAsia="zh-CN"/>
              </w:rPr>
              <w:t>3</w:t>
            </w:r>
            <w:r>
              <w:rPr>
                <w:rFonts w:hint="eastAsia" w:ascii="Times New Roman" w:hAnsi="Times New Roman" w:eastAsia="宋体" w:cs="Times New Roman"/>
                <w:spacing w:val="-2"/>
                <w:sz w:val="24"/>
              </w:rPr>
              <w:t>/h)导入蒸汽锅炉末端焚烧，氨气和硫化氢焚烧主要产物分别为氮氧化物(以二氧化氮计)和二氧化硫，非甲烷总烃焚烧产物为水和二氧化碳。锅炉内部温度大约在1100℃~1300℃</w:t>
            </w:r>
            <w:r>
              <w:rPr>
                <w:rFonts w:hint="eastAsia"/>
                <w:lang w:eastAsia="zh-CN"/>
              </w:rPr>
              <w:t>，</w:t>
            </w:r>
            <w:r>
              <w:rPr>
                <w:rFonts w:hint="eastAsia"/>
                <w:u w:val="single"/>
                <w:lang w:eastAsia="zh-CN"/>
              </w:rPr>
              <w:t>根据《定远县题桥环境科技有限公司定远县病死畜禽无害化处理项目竣工环境保护验收监测报告表》</w:t>
            </w:r>
            <w:r>
              <w:rPr>
                <w:rFonts w:hint="eastAsia"/>
                <w:lang w:eastAsia="zh-CN"/>
              </w:rPr>
              <w:t>，</w:t>
            </w:r>
            <w:r>
              <w:rPr>
                <w:rFonts w:hint="eastAsia" w:ascii="Times New Roman" w:hAnsi="Times New Roman" w:eastAsia="宋体" w:cs="Times New Roman"/>
                <w:spacing w:val="-2"/>
                <w:sz w:val="24"/>
                <w:u w:val="single"/>
              </w:rPr>
              <w:t>不凝气中NH</w:t>
            </w:r>
            <w:r>
              <w:rPr>
                <w:rFonts w:hint="eastAsia" w:ascii="Times New Roman" w:hAnsi="Times New Roman" w:eastAsia="宋体" w:cs="Times New Roman"/>
                <w:spacing w:val="-2"/>
                <w:sz w:val="24"/>
                <w:u w:val="single"/>
                <w:vertAlign w:val="subscript"/>
              </w:rPr>
              <w:t>3</w:t>
            </w:r>
            <w:r>
              <w:rPr>
                <w:rFonts w:hint="eastAsia" w:ascii="Times New Roman" w:hAnsi="Times New Roman" w:eastAsia="宋体" w:cs="Times New Roman"/>
                <w:spacing w:val="-2"/>
                <w:sz w:val="24"/>
                <w:u w:val="single"/>
              </w:rPr>
              <w:t>、H</w:t>
            </w:r>
            <w:r>
              <w:rPr>
                <w:rFonts w:hint="eastAsia" w:ascii="Times New Roman" w:hAnsi="Times New Roman" w:eastAsia="宋体" w:cs="Times New Roman"/>
                <w:spacing w:val="-2"/>
                <w:sz w:val="24"/>
                <w:u w:val="single"/>
                <w:vertAlign w:val="subscript"/>
              </w:rPr>
              <w:t>2</w:t>
            </w:r>
            <w:r>
              <w:rPr>
                <w:rFonts w:hint="eastAsia" w:ascii="Times New Roman" w:hAnsi="Times New Roman" w:eastAsia="宋体" w:cs="Times New Roman"/>
                <w:spacing w:val="-2"/>
                <w:sz w:val="24"/>
                <w:u w:val="single"/>
              </w:rPr>
              <w:t>S废气除臭箱效率</w:t>
            </w:r>
            <w:r>
              <w:rPr>
                <w:rFonts w:hint="eastAsia" w:cs="Times New Roman"/>
                <w:spacing w:val="-2"/>
                <w:sz w:val="24"/>
                <w:u w:val="single"/>
                <w:lang w:eastAsia="zh-CN"/>
              </w:rPr>
              <w:t>为</w:t>
            </w:r>
            <w:r>
              <w:rPr>
                <w:rFonts w:hint="eastAsia" w:ascii="Times New Roman" w:hAnsi="Times New Roman" w:eastAsia="宋体" w:cs="Times New Roman"/>
                <w:spacing w:val="-2"/>
                <w:sz w:val="24"/>
                <w:u w:val="single"/>
              </w:rPr>
              <w:t>85%，焚烧去除效率</w:t>
            </w:r>
            <w:r>
              <w:rPr>
                <w:rFonts w:hint="eastAsia" w:cs="Times New Roman"/>
                <w:spacing w:val="-2"/>
                <w:sz w:val="24"/>
                <w:u w:val="single"/>
                <w:lang w:eastAsia="zh-CN"/>
              </w:rPr>
              <w:t>为</w:t>
            </w:r>
            <w:r>
              <w:rPr>
                <w:rFonts w:hint="eastAsia" w:ascii="Times New Roman" w:hAnsi="Times New Roman" w:eastAsia="宋体" w:cs="Times New Roman"/>
                <w:spacing w:val="-2"/>
                <w:sz w:val="24"/>
                <w:u w:val="single"/>
              </w:rPr>
              <w:t>60%</w:t>
            </w:r>
            <w:r>
              <w:rPr>
                <w:rFonts w:hint="eastAsia" w:cs="Times New Roman"/>
                <w:spacing w:val="-2"/>
                <w:sz w:val="24"/>
                <w:u w:val="single"/>
                <w:lang w:eastAsia="zh-CN"/>
              </w:rPr>
              <w:t>（氨气燃烧产生的</w:t>
            </w:r>
            <w:r>
              <w:rPr>
                <w:rFonts w:hint="eastAsia" w:cs="Times New Roman"/>
                <w:spacing w:val="-2"/>
                <w:sz w:val="24"/>
                <w:u w:val="single"/>
                <w:lang w:val="en-US" w:eastAsia="zh-CN"/>
              </w:rPr>
              <w:t>NOx以NO</w:t>
            </w:r>
            <w:r>
              <w:rPr>
                <w:rFonts w:hint="eastAsia" w:cs="Times New Roman"/>
                <w:spacing w:val="-2"/>
                <w:sz w:val="24"/>
                <w:u w:val="single"/>
                <w:vertAlign w:val="subscript"/>
                <w:lang w:val="en-US" w:eastAsia="zh-CN"/>
              </w:rPr>
              <w:t>2</w:t>
            </w:r>
            <w:r>
              <w:rPr>
                <w:rFonts w:hint="eastAsia" w:cs="Times New Roman"/>
                <w:spacing w:val="-2"/>
                <w:sz w:val="24"/>
                <w:u w:val="single"/>
                <w:vertAlign w:val="baseline"/>
                <w:lang w:val="en-US" w:eastAsia="zh-CN"/>
              </w:rPr>
              <w:t>计，</w:t>
            </w:r>
            <w:r>
              <w:rPr>
                <w:rFonts w:hint="eastAsia" w:cs="Times New Roman"/>
                <w:spacing w:val="-2"/>
                <w:sz w:val="24"/>
                <w:u w:val="single"/>
                <w:lang w:eastAsia="zh-CN"/>
              </w:rPr>
              <w:t>每</w:t>
            </w:r>
            <w:r>
              <w:rPr>
                <w:rFonts w:hint="eastAsia" w:cs="Times New Roman"/>
                <w:spacing w:val="-2"/>
                <w:sz w:val="24"/>
                <w:u w:val="single"/>
                <w:lang w:val="en-US" w:eastAsia="zh-CN"/>
              </w:rPr>
              <w:t>17g产生46gNO</w:t>
            </w:r>
            <w:r>
              <w:rPr>
                <w:rFonts w:hint="eastAsia" w:cs="Times New Roman"/>
                <w:spacing w:val="-2"/>
                <w:sz w:val="24"/>
                <w:u w:val="single"/>
                <w:vertAlign w:val="subscript"/>
                <w:lang w:val="en-US" w:eastAsia="zh-CN"/>
              </w:rPr>
              <w:t>2</w:t>
            </w:r>
            <w:r>
              <w:rPr>
                <w:rFonts w:hint="eastAsia" w:cs="Times New Roman"/>
                <w:spacing w:val="-2"/>
                <w:sz w:val="24"/>
                <w:u w:val="single"/>
                <w:vertAlign w:val="baseline"/>
                <w:lang w:val="en-US" w:eastAsia="zh-CN"/>
              </w:rPr>
              <w:t>；每燃烧34g</w:t>
            </w:r>
            <w:r>
              <w:rPr>
                <w:rFonts w:hint="eastAsia" w:ascii="Times New Roman" w:hAnsi="Times New Roman" w:eastAsia="宋体" w:cs="Times New Roman"/>
                <w:spacing w:val="-2"/>
                <w:sz w:val="24"/>
                <w:u w:val="single"/>
              </w:rPr>
              <w:t>H</w:t>
            </w:r>
            <w:r>
              <w:rPr>
                <w:rFonts w:hint="eastAsia" w:ascii="Times New Roman" w:hAnsi="Times New Roman" w:eastAsia="宋体" w:cs="Times New Roman"/>
                <w:spacing w:val="-2"/>
                <w:sz w:val="24"/>
                <w:u w:val="single"/>
                <w:vertAlign w:val="subscript"/>
              </w:rPr>
              <w:t>2</w:t>
            </w:r>
            <w:r>
              <w:rPr>
                <w:rFonts w:hint="eastAsia" w:ascii="Times New Roman" w:hAnsi="Times New Roman" w:eastAsia="宋体" w:cs="Times New Roman"/>
                <w:spacing w:val="-2"/>
                <w:sz w:val="24"/>
                <w:u w:val="single"/>
              </w:rPr>
              <w:t>S</w:t>
            </w:r>
            <w:r>
              <w:rPr>
                <w:rFonts w:hint="eastAsia" w:cs="Times New Roman"/>
                <w:spacing w:val="-2"/>
                <w:sz w:val="24"/>
                <w:u w:val="single"/>
                <w:lang w:eastAsia="zh-CN"/>
              </w:rPr>
              <w:t>产生</w:t>
            </w:r>
            <w:r>
              <w:rPr>
                <w:rFonts w:hint="eastAsia" w:cs="Times New Roman"/>
                <w:spacing w:val="-2"/>
                <w:sz w:val="24"/>
                <w:u w:val="single"/>
                <w:lang w:val="en-US" w:eastAsia="zh-CN"/>
              </w:rPr>
              <w:t>64gSO</w:t>
            </w:r>
            <w:r>
              <w:rPr>
                <w:rFonts w:hint="eastAsia" w:cs="Times New Roman"/>
                <w:spacing w:val="-2"/>
                <w:sz w:val="24"/>
                <w:u w:val="single"/>
                <w:vertAlign w:val="subscript"/>
                <w:lang w:val="en-US" w:eastAsia="zh-CN"/>
              </w:rPr>
              <w:t>2</w:t>
            </w:r>
            <w:r>
              <w:rPr>
                <w:rFonts w:hint="eastAsia" w:cs="Times New Roman"/>
                <w:spacing w:val="-2"/>
                <w:sz w:val="24"/>
                <w:u w:val="single"/>
                <w:lang w:eastAsia="zh-CN"/>
              </w:rPr>
              <w:t>）</w:t>
            </w:r>
            <w:r>
              <w:rPr>
                <w:rFonts w:hint="eastAsia" w:ascii="Times New Roman" w:hAnsi="Times New Roman" w:eastAsia="宋体" w:cs="Times New Roman"/>
                <w:spacing w:val="-2"/>
                <w:sz w:val="24"/>
                <w:u w:val="single"/>
              </w:rPr>
              <w:t>;非甲烷总烃除臭箱</w:t>
            </w:r>
            <w:r>
              <w:rPr>
                <w:rFonts w:hint="eastAsia" w:cs="Times New Roman"/>
                <w:spacing w:val="-2"/>
                <w:sz w:val="24"/>
                <w:u w:val="single"/>
                <w:lang w:eastAsia="zh-CN"/>
              </w:rPr>
              <w:t>（生物过滤）</w:t>
            </w:r>
            <w:r>
              <w:rPr>
                <w:rFonts w:hint="eastAsia" w:ascii="Times New Roman" w:hAnsi="Times New Roman" w:eastAsia="宋体" w:cs="Times New Roman"/>
                <w:spacing w:val="-2"/>
                <w:sz w:val="24"/>
                <w:u w:val="single"/>
              </w:rPr>
              <w:t>效率</w:t>
            </w:r>
            <w:r>
              <w:rPr>
                <w:rFonts w:hint="eastAsia" w:cs="Times New Roman"/>
                <w:spacing w:val="-2"/>
                <w:sz w:val="24"/>
                <w:u w:val="single"/>
                <w:lang w:eastAsia="zh-CN"/>
              </w:rPr>
              <w:t>为</w:t>
            </w:r>
            <w:r>
              <w:rPr>
                <w:rFonts w:hint="eastAsia" w:ascii="Times New Roman" w:hAnsi="Times New Roman" w:eastAsia="宋体" w:cs="Times New Roman"/>
                <w:spacing w:val="-2"/>
                <w:sz w:val="24"/>
                <w:u w:val="single"/>
              </w:rPr>
              <w:t>10%，焚烧去除效率</w:t>
            </w:r>
            <w:r>
              <w:rPr>
                <w:rFonts w:hint="eastAsia" w:cs="Times New Roman"/>
                <w:spacing w:val="-2"/>
                <w:sz w:val="24"/>
                <w:u w:val="single"/>
                <w:lang w:eastAsia="zh-CN"/>
              </w:rPr>
              <w:t>为</w:t>
            </w:r>
            <w:r>
              <w:rPr>
                <w:rFonts w:hint="eastAsia" w:ascii="Times New Roman" w:hAnsi="Times New Roman" w:eastAsia="宋体" w:cs="Times New Roman"/>
                <w:spacing w:val="-2"/>
                <w:sz w:val="24"/>
                <w:u w:val="single"/>
              </w:rPr>
              <w:t>90%。</w:t>
            </w:r>
            <w:r>
              <w:rPr>
                <w:rFonts w:hint="eastAsia" w:ascii="Times New Roman" w:hAnsi="Times New Roman" w:eastAsia="宋体" w:cs="Times New Roman"/>
                <w:spacing w:val="-2"/>
                <w:sz w:val="24"/>
              </w:rPr>
              <w:t>废气经通过</w:t>
            </w:r>
            <w:r>
              <w:rPr>
                <w:rFonts w:hint="eastAsia" w:cs="Times New Roman"/>
                <w:spacing w:val="-2"/>
                <w:sz w:val="24"/>
                <w:lang w:val="en-US" w:eastAsia="zh-CN"/>
              </w:rPr>
              <w:t>1</w:t>
            </w:r>
            <w:r>
              <w:rPr>
                <w:rFonts w:hint="eastAsia" w:ascii="Times New Roman" w:hAnsi="Times New Roman" w:eastAsia="宋体" w:cs="Times New Roman"/>
                <w:spacing w:val="-2"/>
                <w:sz w:val="24"/>
              </w:rPr>
              <w:t>5m高排气筒DA001排放。</w:t>
            </w:r>
            <w:r>
              <w:rPr>
                <w:rFonts w:hint="eastAsia" w:cs="Times New Roman"/>
                <w:spacing w:val="-2"/>
                <w:sz w:val="24"/>
                <w:u w:val="single"/>
                <w:lang w:eastAsia="zh-CN"/>
              </w:rPr>
              <w:t>本项目废气处理设施效率参照</w:t>
            </w:r>
            <w:r>
              <w:rPr>
                <w:rFonts w:hint="eastAsia"/>
                <w:u w:val="single"/>
                <w:lang w:eastAsia="zh-CN"/>
              </w:rPr>
              <w:t>《定远县题桥环境科技有限公司定远县病死畜禽无害化处理项目竣工环境保护验收监测报告表》的处理效率。</w:t>
            </w:r>
          </w:p>
          <w:p w14:paraId="51CFA710">
            <w:pPr>
              <w:rPr>
                <w:rFonts w:ascii="Times New Roman" w:hAnsi="Times New Roman" w:eastAsia="宋体" w:cs="Times New Roman"/>
                <w:spacing w:val="-2"/>
                <w:sz w:val="24"/>
              </w:rPr>
            </w:pPr>
            <w:r>
              <w:rPr>
                <w:rFonts w:ascii="Times New Roman" w:hAnsi="Times New Roman" w:eastAsia="宋体" w:cs="Times New Roman"/>
                <w:spacing w:val="-2"/>
                <w:sz w:val="24"/>
              </w:rPr>
              <w:t>经</w:t>
            </w:r>
            <w:r>
              <w:rPr>
                <w:rFonts w:hint="eastAsia" w:cs="Times New Roman"/>
                <w:spacing w:val="-2"/>
                <w:sz w:val="24"/>
                <w:lang w:eastAsia="zh-CN"/>
              </w:rPr>
              <w:t>类比</w:t>
            </w:r>
            <w:r>
              <w:rPr>
                <w:rFonts w:ascii="Times New Roman" w:hAnsi="Times New Roman" w:eastAsia="宋体" w:cs="Times New Roman"/>
                <w:spacing w:val="-2"/>
                <w:sz w:val="24"/>
              </w:rPr>
              <w:t>估算，项目</w:t>
            </w:r>
            <w:r>
              <w:rPr>
                <w:rFonts w:hint="eastAsia" w:cs="Times New Roman"/>
                <w:spacing w:val="-2"/>
                <w:sz w:val="24"/>
                <w:lang w:eastAsia="zh-CN"/>
              </w:rPr>
              <w:t>化制烘干</w:t>
            </w:r>
            <w:r>
              <w:rPr>
                <w:rFonts w:ascii="Times New Roman" w:hAnsi="Times New Roman" w:eastAsia="宋体" w:cs="Times New Roman"/>
                <w:spacing w:val="-2"/>
                <w:sz w:val="24"/>
              </w:rPr>
              <w:t>废气污染物排放情况见</w:t>
            </w:r>
            <w:r>
              <w:rPr>
                <w:rFonts w:hint="eastAsia" w:cs="Times New Roman"/>
                <w:spacing w:val="-2"/>
                <w:sz w:val="24"/>
                <w:lang w:eastAsia="zh-CN"/>
              </w:rPr>
              <w:t>下</w:t>
            </w:r>
            <w:r>
              <w:rPr>
                <w:rFonts w:ascii="Times New Roman" w:hAnsi="Times New Roman" w:eastAsia="宋体" w:cs="Times New Roman"/>
                <w:spacing w:val="-2"/>
                <w:sz w:val="24"/>
              </w:rPr>
              <w:t>表。</w:t>
            </w:r>
          </w:p>
          <w:p w14:paraId="6D7057F9">
            <w:pPr>
              <w:pStyle w:val="8"/>
              <w:numPr>
                <w:ilvl w:val="5"/>
                <w:numId w:val="0"/>
              </w:numPr>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表4-4</w:t>
            </w:r>
            <w:r>
              <w:rPr>
                <w:rFonts w:hint="eastAsia"/>
                <w:spacing w:val="-1"/>
                <w:sz w:val="24"/>
                <w:lang w:eastAsia="zh-CN"/>
              </w:rPr>
              <w:t>项目有组织</w:t>
            </w:r>
            <w:r>
              <w:rPr>
                <w:rFonts w:hint="eastAsia" w:cs="Times New Roman"/>
                <w:spacing w:val="-2"/>
                <w:sz w:val="24"/>
                <w:lang w:eastAsia="zh-CN"/>
              </w:rPr>
              <w:t>化制烘干</w:t>
            </w:r>
            <w:r>
              <w:rPr>
                <w:spacing w:val="-1"/>
                <w:sz w:val="24"/>
              </w:rPr>
              <w:t>废气</w:t>
            </w:r>
            <w:r>
              <w:rPr>
                <w:rFonts w:hint="eastAsia"/>
              </w:rPr>
              <w:t>产排情况一览表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868"/>
              <w:gridCol w:w="625"/>
              <w:gridCol w:w="794"/>
              <w:gridCol w:w="794"/>
              <w:gridCol w:w="954"/>
              <w:gridCol w:w="864"/>
              <w:gridCol w:w="669"/>
              <w:gridCol w:w="794"/>
              <w:gridCol w:w="831"/>
              <w:gridCol w:w="954"/>
            </w:tblGrid>
            <w:tr w14:paraId="609F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Merge w:val="restart"/>
                  <w:vAlign w:val="center"/>
                </w:tcPr>
                <w:p w14:paraId="09EBE418">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eastAsia="宋体"/>
                      <w:lang w:eastAsia="zh-CN"/>
                    </w:rPr>
                  </w:pPr>
                  <w:r>
                    <w:rPr>
                      <w:rFonts w:hint="eastAsia"/>
                      <w:lang w:eastAsia="zh-CN"/>
                    </w:rPr>
                    <w:t>排放源</w:t>
                  </w:r>
                </w:p>
              </w:tc>
              <w:tc>
                <w:tcPr>
                  <w:tcW w:w="887" w:type="dxa"/>
                  <w:vMerge w:val="restart"/>
                  <w:vAlign w:val="center"/>
                </w:tcPr>
                <w:p w14:paraId="26C9966E">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rPr>
                  </w:pPr>
                  <w:r>
                    <w:rPr>
                      <w:rFonts w:hint="default" w:ascii="Times New Roman" w:hAnsi="Times New Roman" w:eastAsia="宋体" w:cs="Times New Roman"/>
                      <w:b w:val="0"/>
                      <w:bCs w:val="0"/>
                      <w:color w:val="auto"/>
                      <w:sz w:val="21"/>
                      <w:szCs w:val="21"/>
                      <w:highlight w:val="none"/>
                    </w:rPr>
                    <w:t>排气筒名称</w:t>
                  </w:r>
                </w:p>
              </w:tc>
              <w:tc>
                <w:tcPr>
                  <w:tcW w:w="485" w:type="dxa"/>
                  <w:vMerge w:val="restart"/>
                  <w:vAlign w:val="center"/>
                </w:tcPr>
                <w:p w14:paraId="2359BE81">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rPr>
                  </w:pPr>
                  <w:r>
                    <w:rPr>
                      <w:rFonts w:hint="eastAsia"/>
                    </w:rPr>
                    <w:t>污染物名称</w:t>
                  </w:r>
                </w:p>
              </w:tc>
              <w:tc>
                <w:tcPr>
                  <w:tcW w:w="2487" w:type="dxa"/>
                  <w:gridSpan w:val="3"/>
                  <w:vAlign w:val="center"/>
                </w:tcPr>
                <w:p w14:paraId="4601C15E">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污染物产生情况</w:t>
                  </w:r>
                </w:p>
              </w:tc>
              <w:tc>
                <w:tcPr>
                  <w:tcW w:w="940" w:type="dxa"/>
                  <w:vMerge w:val="restart"/>
                  <w:vAlign w:val="center"/>
                </w:tcPr>
                <w:p w14:paraId="6B615259">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处理措施</w:t>
                  </w:r>
                </w:p>
              </w:tc>
              <w:tc>
                <w:tcPr>
                  <w:tcW w:w="678" w:type="dxa"/>
                  <w:vMerge w:val="restart"/>
                  <w:vAlign w:val="center"/>
                </w:tcPr>
                <w:p w14:paraId="0FC6BB96">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eastAsia="宋体"/>
                      <w:lang w:eastAsia="zh-CN"/>
                    </w:rPr>
                  </w:pPr>
                  <w:r>
                    <w:rPr>
                      <w:rFonts w:hint="eastAsia"/>
                      <w:lang w:eastAsia="zh-CN"/>
                    </w:rPr>
                    <w:t>处理效率</w:t>
                  </w:r>
                </w:p>
              </w:tc>
              <w:tc>
                <w:tcPr>
                  <w:tcW w:w="2617" w:type="dxa"/>
                  <w:gridSpan w:val="3"/>
                  <w:vAlign w:val="center"/>
                </w:tcPr>
                <w:p w14:paraId="0FA10D35">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污染物</w:t>
                  </w:r>
                  <w:r>
                    <w:rPr>
                      <w:rFonts w:hint="eastAsia"/>
                      <w:lang w:eastAsia="zh-CN"/>
                    </w:rPr>
                    <w:t>排放</w:t>
                  </w:r>
                  <w:r>
                    <w:t>情况</w:t>
                  </w:r>
                </w:p>
              </w:tc>
            </w:tr>
            <w:tr w14:paraId="7B78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Merge w:val="continue"/>
                  <w:vAlign w:val="center"/>
                </w:tcPr>
                <w:p w14:paraId="5E067BDA">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887" w:type="dxa"/>
                  <w:vMerge w:val="continue"/>
                  <w:vAlign w:val="center"/>
                </w:tcPr>
                <w:p w14:paraId="733C4549">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485" w:type="dxa"/>
                  <w:vMerge w:val="continue"/>
                  <w:vAlign w:val="center"/>
                </w:tcPr>
                <w:p w14:paraId="179D5F1C">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725" w:type="dxa"/>
                  <w:vAlign w:val="center"/>
                </w:tcPr>
                <w:p w14:paraId="39CA408C">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产生量(t/a)</w:t>
                  </w:r>
                </w:p>
              </w:tc>
              <w:tc>
                <w:tcPr>
                  <w:tcW w:w="789" w:type="dxa"/>
                  <w:vAlign w:val="center"/>
                </w:tcPr>
                <w:p w14:paraId="7CE0116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t>产生速率(kg/h)</w:t>
                  </w:r>
                </w:p>
              </w:tc>
              <w:tc>
                <w:tcPr>
                  <w:tcW w:w="973" w:type="dxa"/>
                  <w:vAlign w:val="center"/>
                </w:tcPr>
                <w:p w14:paraId="1F1B1959">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rPr>
                      <w:rFonts w:hint="eastAsia"/>
                      <w:lang w:eastAsia="zh-CN"/>
                    </w:rPr>
                    <w:t>产生</w:t>
                  </w:r>
                  <w:r>
                    <w:t>浓度</w:t>
                  </w:r>
                  <w:r>
                    <w:rPr>
                      <w:rFonts w:hint="eastAsia"/>
                    </w:rPr>
                    <w:t>(</w:t>
                  </w:r>
                  <w:r>
                    <w:t>mg/m</w:t>
                  </w:r>
                  <w:r>
                    <w:rPr>
                      <w:vertAlign w:val="superscript"/>
                    </w:rPr>
                    <w:t>3</w:t>
                  </w:r>
                  <w:r>
                    <w:rPr>
                      <w:rFonts w:hint="eastAsia"/>
                    </w:rPr>
                    <w:t>)</w:t>
                  </w:r>
                </w:p>
              </w:tc>
              <w:tc>
                <w:tcPr>
                  <w:tcW w:w="940" w:type="dxa"/>
                  <w:vMerge w:val="continue"/>
                  <w:vAlign w:val="center"/>
                </w:tcPr>
                <w:p w14:paraId="6DA820AE">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678" w:type="dxa"/>
                  <w:vMerge w:val="continue"/>
                  <w:vAlign w:val="center"/>
                </w:tcPr>
                <w:p w14:paraId="76714A3A">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794" w:type="dxa"/>
                  <w:vAlign w:val="center"/>
                </w:tcPr>
                <w:p w14:paraId="65FA99A3">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排放量(t/a)</w:t>
                  </w:r>
                </w:p>
              </w:tc>
              <w:tc>
                <w:tcPr>
                  <w:tcW w:w="849" w:type="dxa"/>
                  <w:vAlign w:val="center"/>
                </w:tcPr>
                <w:p w14:paraId="59E4E7BE">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排放速率(kg/h)</w:t>
                  </w:r>
                </w:p>
              </w:tc>
              <w:tc>
                <w:tcPr>
                  <w:tcW w:w="974" w:type="dxa"/>
                  <w:vAlign w:val="center"/>
                </w:tcPr>
                <w:p w14:paraId="3D9B4295">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排放浓度</w:t>
                  </w:r>
                  <w:r>
                    <w:rPr>
                      <w:rFonts w:hint="eastAsia"/>
                    </w:rPr>
                    <w:t>(</w:t>
                  </w:r>
                  <w:r>
                    <w:t>mg/m</w:t>
                  </w:r>
                  <w:r>
                    <w:rPr>
                      <w:vertAlign w:val="superscript"/>
                    </w:rPr>
                    <w:t>3</w:t>
                  </w:r>
                  <w:r>
                    <w:rPr>
                      <w:rFonts w:hint="eastAsia"/>
                    </w:rPr>
                    <w:t>)</w:t>
                  </w:r>
                </w:p>
              </w:tc>
            </w:tr>
            <w:tr w14:paraId="2447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Merge w:val="restart"/>
                  <w:vAlign w:val="center"/>
                </w:tcPr>
                <w:p w14:paraId="74677F41">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rPr>
                      <w:rFonts w:hint="eastAsia"/>
                      <w:spacing w:val="-1"/>
                      <w:sz w:val="21"/>
                      <w:szCs w:val="21"/>
                      <w:lang w:eastAsia="zh-CN"/>
                    </w:rPr>
                    <w:t>化制烘干废气</w:t>
                  </w:r>
                </w:p>
              </w:tc>
              <w:tc>
                <w:tcPr>
                  <w:tcW w:w="887" w:type="dxa"/>
                  <w:vMerge w:val="restart"/>
                  <w:vAlign w:val="center"/>
                </w:tcPr>
                <w:p w14:paraId="6915DAD7">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spacing w:val="-1"/>
                      <w:sz w:val="21"/>
                      <w:szCs w:val="21"/>
                      <w:lang w:val="en-US" w:eastAsia="zh-CN"/>
                    </w:rPr>
                  </w:pPr>
                  <w:r>
                    <w:rPr>
                      <w:rFonts w:hint="eastAsia"/>
                      <w:spacing w:val="-1"/>
                      <w:sz w:val="21"/>
                      <w:szCs w:val="21"/>
                      <w:lang w:val="en-US" w:eastAsia="zh-CN"/>
                    </w:rPr>
                    <w:t>DA001</w:t>
                  </w:r>
                </w:p>
              </w:tc>
              <w:tc>
                <w:tcPr>
                  <w:tcW w:w="485" w:type="dxa"/>
                  <w:vAlign w:val="center"/>
                </w:tcPr>
                <w:p w14:paraId="279628A5">
                  <w:pPr>
                    <w:pStyle w:val="42"/>
                    <w:bidi w:val="0"/>
                    <w:ind w:firstLine="0" w:firstLineChars="0"/>
                    <w:jc w:val="center"/>
                  </w:pPr>
                  <w:r>
                    <w:rPr>
                      <w:rFonts w:hint="eastAsia"/>
                      <w:lang w:val="en-US" w:eastAsia="zh-CN"/>
                    </w:rPr>
                    <w:t>SO</w:t>
                  </w:r>
                  <w:r>
                    <w:rPr>
                      <w:rFonts w:hint="eastAsia"/>
                      <w:vertAlign w:val="subscript"/>
                      <w:lang w:val="en-US" w:eastAsia="zh-CN"/>
                    </w:rPr>
                    <w:t>2</w:t>
                  </w:r>
                </w:p>
              </w:tc>
              <w:tc>
                <w:tcPr>
                  <w:tcW w:w="725" w:type="dxa"/>
                  <w:vAlign w:val="center"/>
                </w:tcPr>
                <w:p w14:paraId="0919C88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0.0029</w:t>
                  </w:r>
                </w:p>
              </w:tc>
              <w:tc>
                <w:tcPr>
                  <w:tcW w:w="789" w:type="dxa"/>
                  <w:vAlign w:val="center"/>
                </w:tcPr>
                <w:p w14:paraId="56654C4B">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0.0012</w:t>
                  </w:r>
                </w:p>
              </w:tc>
              <w:tc>
                <w:tcPr>
                  <w:tcW w:w="973" w:type="dxa"/>
                  <w:vAlign w:val="center"/>
                </w:tcPr>
                <w:p w14:paraId="636A858B">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0.08</w:t>
                  </w:r>
                </w:p>
              </w:tc>
              <w:tc>
                <w:tcPr>
                  <w:tcW w:w="940" w:type="dxa"/>
                  <w:vAlign w:val="center"/>
                </w:tcPr>
                <w:p w14:paraId="45D266E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w:t>
                  </w:r>
                </w:p>
              </w:tc>
              <w:tc>
                <w:tcPr>
                  <w:tcW w:w="678" w:type="dxa"/>
                  <w:vAlign w:val="center"/>
                </w:tcPr>
                <w:p w14:paraId="683EFC91">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w:t>
                  </w:r>
                </w:p>
              </w:tc>
              <w:tc>
                <w:tcPr>
                  <w:tcW w:w="794" w:type="dxa"/>
                  <w:vAlign w:val="center"/>
                </w:tcPr>
                <w:p w14:paraId="54DE559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0.0029</w:t>
                  </w:r>
                </w:p>
              </w:tc>
              <w:tc>
                <w:tcPr>
                  <w:tcW w:w="849" w:type="dxa"/>
                  <w:vAlign w:val="center"/>
                </w:tcPr>
                <w:p w14:paraId="68DF37D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0.0012</w:t>
                  </w:r>
                </w:p>
              </w:tc>
              <w:tc>
                <w:tcPr>
                  <w:tcW w:w="974" w:type="dxa"/>
                  <w:vAlign w:val="center"/>
                </w:tcPr>
                <w:p w14:paraId="3E788270">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0.08</w:t>
                  </w:r>
                </w:p>
              </w:tc>
            </w:tr>
            <w:tr w14:paraId="64C3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Merge w:val="continue"/>
                  <w:vAlign w:val="center"/>
                </w:tcPr>
                <w:p w14:paraId="457221BE">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887" w:type="dxa"/>
                  <w:vMerge w:val="continue"/>
                  <w:vAlign w:val="center"/>
                </w:tcPr>
                <w:p w14:paraId="6BE24C56">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485" w:type="dxa"/>
                  <w:vAlign w:val="center"/>
                </w:tcPr>
                <w:p w14:paraId="5366CB01">
                  <w:pPr>
                    <w:pStyle w:val="42"/>
                    <w:bidi w:val="0"/>
                    <w:ind w:firstLine="0" w:firstLineChars="0"/>
                    <w:jc w:val="center"/>
                  </w:pPr>
                  <w:r>
                    <w:rPr>
                      <w:rFonts w:hint="eastAsia"/>
                      <w:lang w:val="en-US" w:eastAsia="zh-CN"/>
                    </w:rPr>
                    <w:t>NOx</w:t>
                  </w:r>
                </w:p>
              </w:tc>
              <w:tc>
                <w:tcPr>
                  <w:tcW w:w="725" w:type="dxa"/>
                  <w:vAlign w:val="center"/>
                </w:tcPr>
                <w:p w14:paraId="4234BDB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0.508</w:t>
                  </w:r>
                </w:p>
              </w:tc>
              <w:tc>
                <w:tcPr>
                  <w:tcW w:w="789" w:type="dxa"/>
                  <w:vAlign w:val="center"/>
                </w:tcPr>
                <w:p w14:paraId="565E6DE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0.212</w:t>
                  </w:r>
                </w:p>
              </w:tc>
              <w:tc>
                <w:tcPr>
                  <w:tcW w:w="973" w:type="dxa"/>
                  <w:vAlign w:val="center"/>
                </w:tcPr>
                <w:p w14:paraId="6875697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14.13</w:t>
                  </w:r>
                </w:p>
              </w:tc>
              <w:tc>
                <w:tcPr>
                  <w:tcW w:w="940" w:type="dxa"/>
                  <w:vAlign w:val="center"/>
                </w:tcPr>
                <w:p w14:paraId="2CCD567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w:t>
                  </w:r>
                </w:p>
              </w:tc>
              <w:tc>
                <w:tcPr>
                  <w:tcW w:w="678" w:type="dxa"/>
                  <w:vAlign w:val="center"/>
                </w:tcPr>
                <w:p w14:paraId="2D2C4C3A">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w:t>
                  </w:r>
                </w:p>
              </w:tc>
              <w:tc>
                <w:tcPr>
                  <w:tcW w:w="794" w:type="dxa"/>
                  <w:vAlign w:val="center"/>
                </w:tcPr>
                <w:p w14:paraId="2EEC165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0.508</w:t>
                  </w:r>
                </w:p>
              </w:tc>
              <w:tc>
                <w:tcPr>
                  <w:tcW w:w="849" w:type="dxa"/>
                  <w:vAlign w:val="center"/>
                </w:tcPr>
                <w:p w14:paraId="2A27ACF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0.212</w:t>
                  </w:r>
                </w:p>
              </w:tc>
              <w:tc>
                <w:tcPr>
                  <w:tcW w:w="974" w:type="dxa"/>
                  <w:vAlign w:val="center"/>
                </w:tcPr>
                <w:p w14:paraId="414EF36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14.13</w:t>
                  </w:r>
                </w:p>
              </w:tc>
            </w:tr>
            <w:tr w14:paraId="5720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Merge w:val="continue"/>
                  <w:vAlign w:val="center"/>
                </w:tcPr>
                <w:p w14:paraId="65AABB71">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887" w:type="dxa"/>
                  <w:vMerge w:val="continue"/>
                  <w:vAlign w:val="center"/>
                </w:tcPr>
                <w:p w14:paraId="3FF1B583">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spacing w:val="-1"/>
                      <w:sz w:val="21"/>
                      <w:szCs w:val="21"/>
                      <w:lang w:val="en-US" w:eastAsia="zh-CN"/>
                    </w:rPr>
                  </w:pPr>
                </w:p>
              </w:tc>
              <w:tc>
                <w:tcPr>
                  <w:tcW w:w="485" w:type="dxa"/>
                  <w:vAlign w:val="center"/>
                </w:tcPr>
                <w:p w14:paraId="51AE792C">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spacing w:val="-1"/>
                      <w:sz w:val="21"/>
                      <w:szCs w:val="21"/>
                      <w:lang w:eastAsia="zh-CN"/>
                    </w:rPr>
                  </w:pPr>
                  <w:r>
                    <w:rPr>
                      <w:rFonts w:hint="eastAsia"/>
                      <w:spacing w:val="-1"/>
                      <w:sz w:val="21"/>
                      <w:szCs w:val="21"/>
                      <w:lang w:eastAsia="zh-CN"/>
                    </w:rPr>
                    <w:t>非甲烷总烃</w:t>
                  </w:r>
                </w:p>
              </w:tc>
              <w:tc>
                <w:tcPr>
                  <w:tcW w:w="725" w:type="dxa"/>
                  <w:vAlign w:val="center"/>
                </w:tcPr>
                <w:p w14:paraId="65BBEDE8">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1.932</w:t>
                  </w:r>
                </w:p>
              </w:tc>
              <w:tc>
                <w:tcPr>
                  <w:tcW w:w="789" w:type="dxa"/>
                  <w:vAlign w:val="center"/>
                </w:tcPr>
                <w:p w14:paraId="1804EBE4">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0.8</w:t>
                  </w:r>
                </w:p>
              </w:tc>
              <w:tc>
                <w:tcPr>
                  <w:tcW w:w="973" w:type="dxa"/>
                  <w:vAlign w:val="center"/>
                </w:tcPr>
                <w:p w14:paraId="4A753652">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53.33</w:t>
                  </w:r>
                </w:p>
              </w:tc>
              <w:tc>
                <w:tcPr>
                  <w:tcW w:w="940" w:type="dxa"/>
                  <w:vMerge w:val="restart"/>
                  <w:vAlign w:val="center"/>
                </w:tcPr>
                <w:p w14:paraId="0DB1BBC9">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rPr>
                      <w:rFonts w:hint="eastAsia" w:cs="Times New Roman"/>
                      <w:spacing w:val="-2"/>
                      <w:sz w:val="21"/>
                      <w:szCs w:val="21"/>
                      <w:lang w:eastAsia="zh-CN"/>
                    </w:rPr>
                    <w:t>除臭箱</w:t>
                  </w:r>
                  <w:r>
                    <w:rPr>
                      <w:rFonts w:hint="eastAsia" w:cs="Times New Roman"/>
                      <w:spacing w:val="-2"/>
                      <w:sz w:val="21"/>
                      <w:szCs w:val="21"/>
                      <w:lang w:val="en-US" w:eastAsia="zh-CN"/>
                    </w:rPr>
                    <w:t>+</w:t>
                  </w:r>
                  <w:r>
                    <w:rPr>
                      <w:rFonts w:hint="eastAsia"/>
                      <w:sz w:val="21"/>
                      <w:szCs w:val="21"/>
                      <w:lang w:val="en-US" w:eastAsia="zh-CN"/>
                    </w:rPr>
                    <w:t>低氮燃烧</w:t>
                  </w:r>
                  <w:r>
                    <w:rPr>
                      <w:sz w:val="21"/>
                      <w:szCs w:val="21"/>
                    </w:rPr>
                    <w:t>+</w:t>
                  </w:r>
                  <w:r>
                    <w:rPr>
                      <w:rFonts w:hint="eastAsia"/>
                      <w:sz w:val="21"/>
                      <w:szCs w:val="21"/>
                      <w:u w:val="single"/>
                      <w:lang w:val="en-US" w:eastAsia="zh-CN"/>
                    </w:rPr>
                    <w:t>15</w:t>
                  </w:r>
                  <w:r>
                    <w:rPr>
                      <w:rFonts w:hint="eastAsia"/>
                      <w:sz w:val="21"/>
                      <w:szCs w:val="21"/>
                      <w:u w:val="single"/>
                    </w:rPr>
                    <w:t>m排气筒</w:t>
                  </w:r>
                </w:p>
              </w:tc>
              <w:tc>
                <w:tcPr>
                  <w:tcW w:w="678" w:type="dxa"/>
                  <w:vAlign w:val="center"/>
                </w:tcPr>
                <w:p w14:paraId="71FCF8B8">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ascii="Times New Roman" w:hAnsi="Times New Roman" w:eastAsia="宋体" w:cs="Times New Roman"/>
                      <w:spacing w:val="-2"/>
                      <w:sz w:val="24"/>
                      <w:lang w:val="en-US" w:eastAsia="zh-CN"/>
                    </w:rPr>
                  </w:pPr>
                  <w:r>
                    <w:rPr>
                      <w:rFonts w:hint="eastAsia" w:cs="Times New Roman"/>
                      <w:spacing w:val="-2"/>
                      <w:sz w:val="24"/>
                      <w:lang w:val="en-US" w:eastAsia="zh-CN"/>
                    </w:rPr>
                    <w:t>91</w:t>
                  </w:r>
                  <w:r>
                    <w:rPr>
                      <w:rFonts w:hint="eastAsia" w:ascii="Times New Roman" w:hAnsi="Times New Roman" w:eastAsia="宋体" w:cs="Times New Roman"/>
                      <w:spacing w:val="-2"/>
                      <w:sz w:val="24"/>
                      <w:lang w:val="en-US" w:eastAsia="zh-CN"/>
                    </w:rPr>
                    <w:t>%</w:t>
                  </w:r>
                </w:p>
              </w:tc>
              <w:tc>
                <w:tcPr>
                  <w:tcW w:w="794" w:type="dxa"/>
                  <w:vAlign w:val="center"/>
                </w:tcPr>
                <w:p w14:paraId="7A4C6657">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0.174</w:t>
                  </w:r>
                </w:p>
              </w:tc>
              <w:tc>
                <w:tcPr>
                  <w:tcW w:w="849" w:type="dxa"/>
                  <w:vAlign w:val="center"/>
                </w:tcPr>
                <w:p w14:paraId="55042DD0">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0.072</w:t>
                  </w:r>
                </w:p>
              </w:tc>
              <w:tc>
                <w:tcPr>
                  <w:tcW w:w="974" w:type="dxa"/>
                  <w:vAlign w:val="center"/>
                </w:tcPr>
                <w:p w14:paraId="1C5E5C02">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4.8</w:t>
                  </w:r>
                </w:p>
              </w:tc>
            </w:tr>
            <w:tr w14:paraId="3ECF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Merge w:val="continue"/>
                  <w:vAlign w:val="center"/>
                </w:tcPr>
                <w:p w14:paraId="598DD282">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spacing w:val="-1"/>
                      <w:sz w:val="21"/>
                      <w:szCs w:val="21"/>
                      <w:lang w:eastAsia="zh-CN"/>
                    </w:rPr>
                  </w:pPr>
                </w:p>
              </w:tc>
              <w:tc>
                <w:tcPr>
                  <w:tcW w:w="887" w:type="dxa"/>
                  <w:vMerge w:val="continue"/>
                  <w:vAlign w:val="center"/>
                </w:tcPr>
                <w:p w14:paraId="32C35D32">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spacing w:val="-1"/>
                      <w:sz w:val="21"/>
                      <w:szCs w:val="21"/>
                      <w:lang w:eastAsia="zh-CN"/>
                    </w:rPr>
                  </w:pPr>
                </w:p>
              </w:tc>
              <w:tc>
                <w:tcPr>
                  <w:tcW w:w="485" w:type="dxa"/>
                  <w:vAlign w:val="center"/>
                </w:tcPr>
                <w:p w14:paraId="252A22ED">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spacing w:val="-1"/>
                      <w:sz w:val="21"/>
                      <w:szCs w:val="21"/>
                      <w:lang w:eastAsia="zh-CN"/>
                    </w:rPr>
                  </w:pPr>
                  <w:r>
                    <w:rPr>
                      <w:rFonts w:hint="eastAsia"/>
                      <w:spacing w:val="-1"/>
                      <w:sz w:val="21"/>
                      <w:szCs w:val="21"/>
                      <w:lang w:eastAsia="zh-CN"/>
                    </w:rPr>
                    <w:t>氨气</w:t>
                  </w:r>
                </w:p>
              </w:tc>
              <w:tc>
                <w:tcPr>
                  <w:tcW w:w="725" w:type="dxa"/>
                  <w:vAlign w:val="center"/>
                </w:tcPr>
                <w:p w14:paraId="7B7462DE">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2.085</w:t>
                  </w:r>
                </w:p>
              </w:tc>
              <w:tc>
                <w:tcPr>
                  <w:tcW w:w="789" w:type="dxa"/>
                  <w:vAlign w:val="center"/>
                </w:tcPr>
                <w:p w14:paraId="0362F407">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0.87</w:t>
                  </w:r>
                </w:p>
              </w:tc>
              <w:tc>
                <w:tcPr>
                  <w:tcW w:w="973" w:type="dxa"/>
                  <w:vAlign w:val="center"/>
                </w:tcPr>
                <w:p w14:paraId="0C7ACBDB">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58</w:t>
                  </w:r>
                </w:p>
              </w:tc>
              <w:tc>
                <w:tcPr>
                  <w:tcW w:w="940" w:type="dxa"/>
                  <w:vMerge w:val="continue"/>
                  <w:vAlign w:val="center"/>
                </w:tcPr>
                <w:p w14:paraId="7B32B5C3">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ascii="Times New Roman" w:hAnsi="Times New Roman" w:eastAsia="宋体" w:cs="Times New Roman"/>
                      <w:spacing w:val="-2"/>
                      <w:sz w:val="24"/>
                    </w:rPr>
                  </w:pPr>
                </w:p>
              </w:tc>
              <w:tc>
                <w:tcPr>
                  <w:tcW w:w="678" w:type="dxa"/>
                  <w:vMerge w:val="restart"/>
                  <w:vAlign w:val="center"/>
                </w:tcPr>
                <w:p w14:paraId="16EAC58E">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ascii="Times New Roman" w:hAnsi="Times New Roman" w:eastAsia="宋体" w:cs="Times New Roman"/>
                      <w:spacing w:val="-2"/>
                      <w:sz w:val="24"/>
                      <w:lang w:val="en-US" w:eastAsia="zh-CN"/>
                    </w:rPr>
                  </w:pPr>
                  <w:r>
                    <w:rPr>
                      <w:rFonts w:hint="eastAsia" w:cs="Times New Roman"/>
                      <w:spacing w:val="-2"/>
                      <w:sz w:val="24"/>
                      <w:lang w:val="en-US" w:eastAsia="zh-CN"/>
                    </w:rPr>
                    <w:t>94%</w:t>
                  </w:r>
                </w:p>
              </w:tc>
              <w:tc>
                <w:tcPr>
                  <w:tcW w:w="794" w:type="dxa"/>
                  <w:vAlign w:val="center"/>
                </w:tcPr>
                <w:p w14:paraId="4F04366F">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0.125</w:t>
                  </w:r>
                </w:p>
              </w:tc>
              <w:tc>
                <w:tcPr>
                  <w:tcW w:w="849" w:type="dxa"/>
                  <w:vAlign w:val="center"/>
                </w:tcPr>
                <w:p w14:paraId="7FC3EE43">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0.052</w:t>
                  </w:r>
                </w:p>
              </w:tc>
              <w:tc>
                <w:tcPr>
                  <w:tcW w:w="974" w:type="dxa"/>
                  <w:vAlign w:val="center"/>
                </w:tcPr>
                <w:p w14:paraId="25F7943D">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3.48</w:t>
                  </w:r>
                </w:p>
              </w:tc>
            </w:tr>
            <w:tr w14:paraId="6C7F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Merge w:val="continue"/>
                  <w:vAlign w:val="center"/>
                </w:tcPr>
                <w:p w14:paraId="63FEC4A7">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spacing w:val="-1"/>
                      <w:sz w:val="21"/>
                      <w:szCs w:val="21"/>
                      <w:lang w:eastAsia="zh-CN"/>
                    </w:rPr>
                  </w:pPr>
                </w:p>
              </w:tc>
              <w:tc>
                <w:tcPr>
                  <w:tcW w:w="887" w:type="dxa"/>
                  <w:vMerge w:val="continue"/>
                  <w:vAlign w:val="center"/>
                </w:tcPr>
                <w:p w14:paraId="5EF3FB33">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spacing w:val="-1"/>
                      <w:sz w:val="21"/>
                      <w:szCs w:val="21"/>
                      <w:lang w:eastAsia="zh-CN"/>
                    </w:rPr>
                  </w:pPr>
                </w:p>
              </w:tc>
              <w:tc>
                <w:tcPr>
                  <w:tcW w:w="485" w:type="dxa"/>
                  <w:vAlign w:val="center"/>
                </w:tcPr>
                <w:p w14:paraId="4C7922F9">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spacing w:val="-1"/>
                      <w:sz w:val="21"/>
                      <w:szCs w:val="21"/>
                      <w:lang w:eastAsia="zh-CN"/>
                    </w:rPr>
                  </w:pPr>
                  <w:r>
                    <w:rPr>
                      <w:rFonts w:hint="eastAsia"/>
                      <w:spacing w:val="-1"/>
                      <w:sz w:val="21"/>
                      <w:szCs w:val="21"/>
                      <w:lang w:eastAsia="zh-CN"/>
                    </w:rPr>
                    <w:t>硫化氢</w:t>
                  </w:r>
                </w:p>
              </w:tc>
              <w:tc>
                <w:tcPr>
                  <w:tcW w:w="725" w:type="dxa"/>
                  <w:vAlign w:val="center"/>
                </w:tcPr>
                <w:p w14:paraId="7775E5F5">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0.017</w:t>
                  </w:r>
                </w:p>
              </w:tc>
              <w:tc>
                <w:tcPr>
                  <w:tcW w:w="789" w:type="dxa"/>
                  <w:vAlign w:val="center"/>
                </w:tcPr>
                <w:p w14:paraId="155A359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0.0069</w:t>
                  </w:r>
                </w:p>
              </w:tc>
              <w:tc>
                <w:tcPr>
                  <w:tcW w:w="973" w:type="dxa"/>
                  <w:vAlign w:val="center"/>
                </w:tcPr>
                <w:p w14:paraId="11B4CA78">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0.463</w:t>
                  </w:r>
                </w:p>
              </w:tc>
              <w:tc>
                <w:tcPr>
                  <w:tcW w:w="940" w:type="dxa"/>
                  <w:vMerge w:val="continue"/>
                  <w:vAlign w:val="center"/>
                </w:tcPr>
                <w:p w14:paraId="485893C6">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ascii="Times New Roman" w:hAnsi="Times New Roman" w:eastAsia="宋体" w:cs="Times New Roman"/>
                      <w:spacing w:val="-2"/>
                      <w:sz w:val="24"/>
                    </w:rPr>
                  </w:pPr>
                </w:p>
              </w:tc>
              <w:tc>
                <w:tcPr>
                  <w:tcW w:w="678" w:type="dxa"/>
                  <w:vMerge w:val="continue"/>
                  <w:vAlign w:val="center"/>
                </w:tcPr>
                <w:p w14:paraId="29EC6C77">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ascii="Times New Roman" w:hAnsi="Times New Roman" w:eastAsia="宋体" w:cs="Times New Roman"/>
                      <w:spacing w:val="-2"/>
                      <w:sz w:val="24"/>
                    </w:rPr>
                  </w:pPr>
                </w:p>
              </w:tc>
              <w:tc>
                <w:tcPr>
                  <w:tcW w:w="794" w:type="dxa"/>
                  <w:vAlign w:val="center"/>
                </w:tcPr>
                <w:p w14:paraId="04BD0A1B">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0.001</w:t>
                  </w:r>
                </w:p>
              </w:tc>
              <w:tc>
                <w:tcPr>
                  <w:tcW w:w="849" w:type="dxa"/>
                  <w:vAlign w:val="center"/>
                </w:tcPr>
                <w:p w14:paraId="2397DD9A">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0.0004</w:t>
                  </w:r>
                </w:p>
              </w:tc>
              <w:tc>
                <w:tcPr>
                  <w:tcW w:w="974" w:type="dxa"/>
                  <w:vAlign w:val="center"/>
                </w:tcPr>
                <w:p w14:paraId="036D7C81">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0.028</w:t>
                  </w:r>
                </w:p>
              </w:tc>
            </w:tr>
          </w:tbl>
          <w:p w14:paraId="433ACA78">
            <w:pPr>
              <w:pStyle w:val="6"/>
              <w:numPr>
                <w:ilvl w:val="3"/>
                <w:numId w:val="0"/>
              </w:numPr>
              <w:bidi w:val="0"/>
              <w:ind w:left="0" w:leftChars="0" w:firstLine="0" w:firstLineChars="0"/>
              <w:rPr>
                <w:rFonts w:hint="eastAsia"/>
                <w:lang w:eastAsia="zh-CN"/>
              </w:rPr>
            </w:pPr>
            <w:r>
              <w:rPr>
                <w:rFonts w:hint="default" w:ascii="Times New Roman" w:hAnsi="Times New Roman" w:eastAsia="宋体" w:cs="Times New Roman"/>
                <w:b/>
                <w:i w:val="0"/>
                <w:kern w:val="2"/>
                <w:sz w:val="24"/>
                <w:szCs w:val="24"/>
                <w:lang w:val="en-US" w:eastAsia="zh-CN" w:bidi="ar-SA"/>
              </w:rPr>
              <w:t>4.5.1.4、</w:t>
            </w:r>
            <w:r>
              <w:rPr>
                <w:rFonts w:hint="eastAsia"/>
                <w:lang w:eastAsia="zh-CN"/>
              </w:rPr>
              <w:t>其他工序(投料、破碎、缓存)废气</w:t>
            </w:r>
          </w:p>
          <w:p w14:paraId="103D0E83">
            <w:pPr>
              <w:bidi w:val="0"/>
              <w:rPr>
                <w:rFonts w:hint="eastAsia" w:cs="Times New Roman"/>
                <w:spacing w:val="-2"/>
                <w:sz w:val="24"/>
                <w:highlight w:val="none"/>
                <w:lang w:eastAsia="zh-CN"/>
              </w:rPr>
            </w:pPr>
            <w:r>
              <w:rPr>
                <w:rFonts w:hint="eastAsia" w:cs="Times New Roman"/>
                <w:spacing w:val="-2"/>
                <w:sz w:val="24"/>
                <w:highlight w:val="none"/>
                <w:lang w:eastAsia="zh-CN"/>
              </w:rPr>
              <w:t>根据《定远县题桥环境科技有限公司定远县病死畜禽无害化处理项目竣工环境保护验收监测报告表》可知，项目年处理能力为6000t，年生产2400h，验收监测期间工况达产率90%，验收监测期间</w:t>
            </w:r>
            <w:r>
              <w:rPr>
                <w:rFonts w:hint="eastAsia" w:cs="Times New Roman"/>
                <w:spacing w:val="-2"/>
                <w:sz w:val="24"/>
                <w:highlight w:val="none"/>
                <w:lang w:val="en-US" w:eastAsia="zh-CN"/>
              </w:rPr>
              <w:t>DA002</w:t>
            </w:r>
            <w:r>
              <w:rPr>
                <w:rFonts w:hint="eastAsia" w:cs="Times New Roman"/>
                <w:spacing w:val="-2"/>
                <w:sz w:val="24"/>
                <w:highlight w:val="none"/>
                <w:lang w:eastAsia="zh-CN"/>
              </w:rPr>
              <w:t>排气筒进口有组织NH</w:t>
            </w:r>
            <w:r>
              <w:rPr>
                <w:rFonts w:hint="eastAsia" w:cs="Times New Roman"/>
                <w:spacing w:val="-2"/>
                <w:sz w:val="24"/>
                <w:highlight w:val="none"/>
                <w:vertAlign w:val="subscript"/>
                <w:lang w:eastAsia="zh-CN"/>
              </w:rPr>
              <w:t>3</w:t>
            </w:r>
            <w:r>
              <w:rPr>
                <w:rFonts w:hint="eastAsia" w:cs="Times New Roman"/>
                <w:spacing w:val="-2"/>
                <w:sz w:val="24"/>
                <w:highlight w:val="none"/>
                <w:lang w:eastAsia="zh-CN"/>
              </w:rPr>
              <w:t>产生速率为0.0901kg/h、H</w:t>
            </w:r>
            <w:r>
              <w:rPr>
                <w:rFonts w:hint="eastAsia" w:cs="Times New Roman"/>
                <w:spacing w:val="-2"/>
                <w:sz w:val="24"/>
                <w:highlight w:val="none"/>
                <w:vertAlign w:val="subscript"/>
                <w:lang w:val="en-US" w:eastAsia="zh-CN"/>
              </w:rPr>
              <w:t>2</w:t>
            </w:r>
            <w:r>
              <w:rPr>
                <w:rFonts w:hint="eastAsia" w:cs="Times New Roman"/>
                <w:spacing w:val="-2"/>
                <w:sz w:val="24"/>
                <w:highlight w:val="none"/>
                <w:lang w:eastAsia="zh-CN"/>
              </w:rPr>
              <w:t>S产生速率为0.00188kg/h、非甲烷总烃产生速率为0.0747kg/h。</w:t>
            </w:r>
            <w:r>
              <w:rPr>
                <w:rFonts w:hint="eastAsia" w:cs="Times New Roman"/>
                <w:spacing w:val="-2"/>
                <w:sz w:val="24"/>
                <w:u w:val="single"/>
                <w:lang w:eastAsia="zh-CN"/>
              </w:rPr>
              <w:t>本项目的处理规模约为其</w:t>
            </w:r>
            <w:r>
              <w:rPr>
                <w:rFonts w:hint="eastAsia" w:cs="Times New Roman"/>
                <w:spacing w:val="-2"/>
                <w:sz w:val="24"/>
                <w:u w:val="single"/>
                <w:lang w:val="en-US" w:eastAsia="zh-CN"/>
              </w:rPr>
              <w:t>1.22倍，则本项目</w:t>
            </w:r>
            <w:r>
              <w:rPr>
                <w:rFonts w:hint="eastAsia"/>
                <w:u w:val="single"/>
                <w:lang w:eastAsia="zh-CN"/>
              </w:rPr>
              <w:t>NH</w:t>
            </w:r>
            <w:r>
              <w:rPr>
                <w:rFonts w:hint="eastAsia"/>
                <w:u w:val="single"/>
                <w:vertAlign w:val="subscript"/>
                <w:lang w:eastAsia="zh-CN"/>
              </w:rPr>
              <w:t>3</w:t>
            </w:r>
            <w:r>
              <w:rPr>
                <w:rFonts w:hint="eastAsia"/>
                <w:u w:val="single"/>
                <w:lang w:eastAsia="zh-CN"/>
              </w:rPr>
              <w:t>、H</w:t>
            </w:r>
            <w:r>
              <w:rPr>
                <w:rFonts w:hint="eastAsia"/>
                <w:u w:val="single"/>
                <w:vertAlign w:val="subscript"/>
                <w:lang w:val="en-US" w:eastAsia="zh-CN"/>
              </w:rPr>
              <w:t>2</w:t>
            </w:r>
            <w:r>
              <w:rPr>
                <w:rFonts w:hint="eastAsia"/>
                <w:u w:val="single"/>
                <w:lang w:eastAsia="zh-CN"/>
              </w:rPr>
              <w:t>S及非甲烷总烃产生速率等比按</w:t>
            </w:r>
            <w:r>
              <w:rPr>
                <w:rFonts w:hint="eastAsia"/>
                <w:u w:val="single"/>
                <w:lang w:val="en-US" w:eastAsia="zh-CN"/>
              </w:rPr>
              <w:t>1.22倍计算（</w:t>
            </w:r>
            <w:r>
              <w:rPr>
                <w:rFonts w:hint="eastAsia"/>
                <w:u w:val="single"/>
                <w:lang w:eastAsia="zh-CN"/>
              </w:rPr>
              <w:t>NH</w:t>
            </w:r>
            <w:r>
              <w:rPr>
                <w:rFonts w:hint="eastAsia"/>
                <w:u w:val="single"/>
                <w:vertAlign w:val="subscript"/>
                <w:lang w:eastAsia="zh-CN"/>
              </w:rPr>
              <w:t>3</w:t>
            </w:r>
            <w:r>
              <w:rPr>
                <w:rFonts w:hint="eastAsia"/>
                <w:u w:val="single"/>
                <w:lang w:eastAsia="zh-CN"/>
              </w:rPr>
              <w:t>：</w:t>
            </w:r>
            <w:r>
              <w:rPr>
                <w:rFonts w:hint="eastAsia"/>
                <w:u w:val="single"/>
                <w:lang w:val="en-US" w:eastAsia="zh-CN"/>
              </w:rPr>
              <w:t>0.122</w:t>
            </w:r>
            <w:r>
              <w:rPr>
                <w:rFonts w:hint="eastAsia"/>
                <w:u w:val="single"/>
                <w:lang w:eastAsia="zh-CN"/>
              </w:rPr>
              <w:t>kg/h，H</w:t>
            </w:r>
            <w:r>
              <w:rPr>
                <w:rFonts w:hint="eastAsia"/>
                <w:u w:val="single"/>
                <w:vertAlign w:val="subscript"/>
                <w:lang w:val="en-US" w:eastAsia="zh-CN"/>
              </w:rPr>
              <w:t>2</w:t>
            </w:r>
            <w:r>
              <w:rPr>
                <w:rFonts w:hint="eastAsia"/>
                <w:u w:val="single"/>
                <w:lang w:eastAsia="zh-CN"/>
              </w:rPr>
              <w:t>S：</w:t>
            </w:r>
            <w:r>
              <w:rPr>
                <w:rFonts w:hint="eastAsia"/>
                <w:u w:val="single"/>
                <w:lang w:val="en-US" w:eastAsia="zh-CN"/>
              </w:rPr>
              <w:t>0.0025</w:t>
            </w:r>
            <w:r>
              <w:rPr>
                <w:rFonts w:hint="eastAsia"/>
                <w:u w:val="single"/>
                <w:lang w:eastAsia="zh-CN"/>
              </w:rPr>
              <w:t>kg/h，非甲烷总烃：</w:t>
            </w:r>
            <w:r>
              <w:rPr>
                <w:rFonts w:hint="eastAsia"/>
                <w:u w:val="single"/>
                <w:lang w:val="en-US" w:eastAsia="zh-CN"/>
              </w:rPr>
              <w:t>0.1</w:t>
            </w:r>
            <w:r>
              <w:rPr>
                <w:rFonts w:hint="eastAsia"/>
                <w:u w:val="single"/>
                <w:lang w:eastAsia="zh-CN"/>
              </w:rPr>
              <w:t>kg/h</w:t>
            </w:r>
            <w:r>
              <w:rPr>
                <w:rFonts w:hint="eastAsia"/>
                <w:u w:val="single"/>
                <w:lang w:val="en-US" w:eastAsia="zh-CN"/>
              </w:rPr>
              <w:t>）。</w:t>
            </w:r>
          </w:p>
          <w:p w14:paraId="1D38C720">
            <w:pPr>
              <w:pStyle w:val="12"/>
              <w:rPr>
                <w:rFonts w:hint="eastAsia" w:cs="Times New Roman"/>
                <w:spacing w:val="-2"/>
                <w:sz w:val="24"/>
                <w:highlight w:val="none"/>
                <w:lang w:val="en-US" w:eastAsia="zh-CN"/>
              </w:rPr>
            </w:pPr>
            <w:r>
              <w:rPr>
                <w:rFonts w:hint="eastAsia"/>
                <w:lang w:eastAsia="zh-CN"/>
              </w:rPr>
              <w:t>本项目对无害化厂房设置微负压收集系统，</w:t>
            </w:r>
            <w:r>
              <w:rPr>
                <w:rFonts w:hint="eastAsia"/>
                <w:u w:val="single"/>
                <w:lang w:eastAsia="zh-CN"/>
              </w:rPr>
              <w:t>根据《定远县题桥环境科技有限公司定远县病死畜禽无害化处理项目竣工环境保护验收监测报告表》可知，废气收集效率为90%；废气采用除臭塔+碱喷淋塔+二级活性炭吸附处理，废气处理效率为90%。本项目风量取</w:t>
            </w:r>
            <w:r>
              <w:rPr>
                <w:rFonts w:hint="eastAsia"/>
                <w:u w:val="single"/>
                <w:lang w:val="en-US" w:eastAsia="zh-CN"/>
              </w:rPr>
              <w:t>36000</w:t>
            </w:r>
            <w:r>
              <w:rPr>
                <w:rFonts w:hint="eastAsia"/>
                <w:u w:val="single"/>
                <w:lang w:eastAsia="zh-CN"/>
              </w:rPr>
              <w:t>m</w:t>
            </w:r>
            <w:r>
              <w:rPr>
                <w:rFonts w:hint="eastAsia"/>
                <w:u w:val="single"/>
                <w:vertAlign w:val="superscript"/>
                <w:lang w:eastAsia="zh-CN"/>
              </w:rPr>
              <w:t>3</w:t>
            </w:r>
            <w:r>
              <w:rPr>
                <w:rFonts w:hint="eastAsia"/>
                <w:u w:val="single"/>
                <w:lang w:eastAsia="zh-CN"/>
              </w:rPr>
              <w:t>/h，经废气处理设施处理后通过</w:t>
            </w:r>
            <w:r>
              <w:rPr>
                <w:rFonts w:hint="eastAsia"/>
                <w:u w:val="single"/>
                <w:lang w:val="en-US" w:eastAsia="zh-CN"/>
              </w:rPr>
              <w:t>20</w:t>
            </w:r>
            <w:r>
              <w:rPr>
                <w:rFonts w:hint="eastAsia"/>
                <w:u w:val="single"/>
                <w:lang w:eastAsia="zh-CN"/>
              </w:rPr>
              <w:t>m排气筒DA002排放，</w:t>
            </w:r>
            <w:r>
              <w:rPr>
                <w:rFonts w:hint="eastAsia" w:cs="Times New Roman"/>
                <w:spacing w:val="-2"/>
                <w:sz w:val="24"/>
                <w:highlight w:val="none"/>
                <w:lang w:val="en-US" w:eastAsia="zh-CN"/>
              </w:rPr>
              <w:t>废气污染物排放情况见下表。</w:t>
            </w:r>
          </w:p>
          <w:p w14:paraId="51B34C01">
            <w:pPr>
              <w:pStyle w:val="8"/>
              <w:numPr>
                <w:ilvl w:val="5"/>
                <w:numId w:val="0"/>
              </w:numPr>
              <w:bidi w:val="0"/>
              <w:jc w:val="center"/>
              <w:rPr>
                <w:rFonts w:hint="eastAsia"/>
                <w:lang w:val="en-US" w:eastAsia="zh-CN"/>
              </w:rPr>
            </w:pPr>
            <w:r>
              <w:rPr>
                <w:rFonts w:hint="default" w:ascii="Times New Roman" w:hAnsi="Times New Roman" w:eastAsia="宋体" w:cs="Times New Roman"/>
                <w:b/>
                <w:i w:val="0"/>
                <w:color w:val="auto"/>
                <w:kern w:val="2"/>
                <w:sz w:val="24"/>
                <w:szCs w:val="24"/>
                <w:shd w:val="clear" w:fill="FFFFFF"/>
                <w:lang w:val="en-US" w:eastAsia="zh-CN" w:bidi="ar-SA"/>
              </w:rPr>
              <w:t>表4-5</w:t>
            </w:r>
            <w:r>
              <w:rPr>
                <w:rFonts w:hint="eastAsia"/>
                <w:spacing w:val="-1"/>
                <w:sz w:val="24"/>
                <w:lang w:eastAsia="zh-CN"/>
              </w:rPr>
              <w:t>项目有组织</w:t>
            </w:r>
            <w:r>
              <w:rPr>
                <w:rFonts w:hint="eastAsia"/>
                <w:lang w:eastAsia="zh-CN"/>
              </w:rPr>
              <w:t>其他工序(投料、破碎、缓存)</w:t>
            </w:r>
            <w:r>
              <w:rPr>
                <w:spacing w:val="-1"/>
                <w:sz w:val="24"/>
              </w:rPr>
              <w:t>废气</w:t>
            </w:r>
            <w:r>
              <w:rPr>
                <w:rFonts w:hint="eastAsia"/>
              </w:rPr>
              <w:t>产排情况一览表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72"/>
              <w:gridCol w:w="468"/>
              <w:gridCol w:w="706"/>
              <w:gridCol w:w="794"/>
              <w:gridCol w:w="956"/>
              <w:gridCol w:w="877"/>
              <w:gridCol w:w="671"/>
              <w:gridCol w:w="794"/>
              <w:gridCol w:w="899"/>
              <w:gridCol w:w="957"/>
            </w:tblGrid>
            <w:tr w14:paraId="0240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restart"/>
                  <w:vAlign w:val="center"/>
                </w:tcPr>
                <w:p w14:paraId="433F54E6">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eastAsia="宋体"/>
                      <w:lang w:eastAsia="zh-CN"/>
                    </w:rPr>
                  </w:pPr>
                  <w:r>
                    <w:rPr>
                      <w:rFonts w:hint="eastAsia"/>
                      <w:lang w:eastAsia="zh-CN"/>
                    </w:rPr>
                    <w:t>排放源</w:t>
                  </w:r>
                </w:p>
              </w:tc>
              <w:tc>
                <w:tcPr>
                  <w:tcW w:w="880" w:type="dxa"/>
                  <w:vMerge w:val="restart"/>
                  <w:vAlign w:val="center"/>
                </w:tcPr>
                <w:p w14:paraId="277B141D">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rPr>
                  </w:pPr>
                  <w:r>
                    <w:rPr>
                      <w:rFonts w:hint="default" w:ascii="Times New Roman" w:hAnsi="Times New Roman" w:eastAsia="宋体" w:cs="Times New Roman"/>
                      <w:b w:val="0"/>
                      <w:bCs w:val="0"/>
                      <w:color w:val="auto"/>
                      <w:sz w:val="21"/>
                      <w:szCs w:val="21"/>
                      <w:highlight w:val="none"/>
                    </w:rPr>
                    <w:t>排气筒名称</w:t>
                  </w:r>
                </w:p>
              </w:tc>
              <w:tc>
                <w:tcPr>
                  <w:tcW w:w="476" w:type="dxa"/>
                  <w:vMerge w:val="restart"/>
                  <w:vAlign w:val="center"/>
                </w:tcPr>
                <w:p w14:paraId="66C46F44">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rPr>
                  </w:pPr>
                  <w:r>
                    <w:rPr>
                      <w:rFonts w:hint="eastAsia"/>
                    </w:rPr>
                    <w:t>污染物名称</w:t>
                  </w:r>
                </w:p>
              </w:tc>
              <w:tc>
                <w:tcPr>
                  <w:tcW w:w="2467" w:type="dxa"/>
                  <w:gridSpan w:val="3"/>
                  <w:vAlign w:val="center"/>
                </w:tcPr>
                <w:p w14:paraId="461A8066">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污染物产生情况</w:t>
                  </w:r>
                </w:p>
              </w:tc>
              <w:tc>
                <w:tcPr>
                  <w:tcW w:w="908" w:type="dxa"/>
                  <w:vMerge w:val="restart"/>
                  <w:vAlign w:val="center"/>
                </w:tcPr>
                <w:p w14:paraId="48D8803F">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处理措施</w:t>
                  </w:r>
                </w:p>
              </w:tc>
              <w:tc>
                <w:tcPr>
                  <w:tcW w:w="675" w:type="dxa"/>
                  <w:vMerge w:val="restart"/>
                  <w:vAlign w:val="center"/>
                </w:tcPr>
                <w:p w14:paraId="59A93927">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eastAsia="宋体"/>
                      <w:lang w:eastAsia="zh-CN"/>
                    </w:rPr>
                  </w:pPr>
                  <w:r>
                    <w:rPr>
                      <w:rFonts w:hint="eastAsia"/>
                      <w:lang w:eastAsia="zh-CN"/>
                    </w:rPr>
                    <w:t>处理效率</w:t>
                  </w:r>
                </w:p>
              </w:tc>
              <w:tc>
                <w:tcPr>
                  <w:tcW w:w="2585" w:type="dxa"/>
                  <w:gridSpan w:val="3"/>
                  <w:vAlign w:val="center"/>
                </w:tcPr>
                <w:p w14:paraId="5180545A">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污染物</w:t>
                  </w:r>
                  <w:r>
                    <w:rPr>
                      <w:rFonts w:hint="eastAsia"/>
                      <w:lang w:eastAsia="zh-CN"/>
                    </w:rPr>
                    <w:t>排放</w:t>
                  </w:r>
                  <w:r>
                    <w:t>情况</w:t>
                  </w:r>
                </w:p>
              </w:tc>
            </w:tr>
            <w:tr w14:paraId="789F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7E8EFA80">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880" w:type="dxa"/>
                  <w:vMerge w:val="continue"/>
                  <w:vAlign w:val="center"/>
                </w:tcPr>
                <w:p w14:paraId="57B85682">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476" w:type="dxa"/>
                  <w:vMerge w:val="continue"/>
                  <w:vAlign w:val="center"/>
                </w:tcPr>
                <w:p w14:paraId="3B10DA41">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709" w:type="dxa"/>
                  <w:vAlign w:val="center"/>
                </w:tcPr>
                <w:p w14:paraId="62B7C700">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产生量(t/a)</w:t>
                  </w:r>
                </w:p>
              </w:tc>
              <w:tc>
                <w:tcPr>
                  <w:tcW w:w="794" w:type="dxa"/>
                  <w:vAlign w:val="center"/>
                </w:tcPr>
                <w:p w14:paraId="6C491A87">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t>产生速率(kg/h)</w:t>
                  </w:r>
                </w:p>
              </w:tc>
              <w:tc>
                <w:tcPr>
                  <w:tcW w:w="964" w:type="dxa"/>
                  <w:vAlign w:val="center"/>
                </w:tcPr>
                <w:p w14:paraId="61E82502">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rPr>
                      <w:rFonts w:hint="eastAsia"/>
                      <w:lang w:eastAsia="zh-CN"/>
                    </w:rPr>
                    <w:t>产生</w:t>
                  </w:r>
                  <w:r>
                    <w:t>浓度</w:t>
                  </w:r>
                  <w:r>
                    <w:rPr>
                      <w:rFonts w:hint="eastAsia"/>
                    </w:rPr>
                    <w:t>(</w:t>
                  </w:r>
                  <w:r>
                    <w:t>mg/m</w:t>
                  </w:r>
                  <w:r>
                    <w:rPr>
                      <w:vertAlign w:val="superscript"/>
                    </w:rPr>
                    <w:t>3</w:t>
                  </w:r>
                  <w:r>
                    <w:rPr>
                      <w:rFonts w:hint="eastAsia"/>
                    </w:rPr>
                    <w:t>)</w:t>
                  </w:r>
                </w:p>
              </w:tc>
              <w:tc>
                <w:tcPr>
                  <w:tcW w:w="908" w:type="dxa"/>
                  <w:vMerge w:val="continue"/>
                  <w:vAlign w:val="center"/>
                </w:tcPr>
                <w:p w14:paraId="0100C5B7">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675" w:type="dxa"/>
                  <w:vMerge w:val="continue"/>
                  <w:vAlign w:val="center"/>
                </w:tcPr>
                <w:p w14:paraId="5DD3F2E6">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794" w:type="dxa"/>
                  <w:vAlign w:val="center"/>
                </w:tcPr>
                <w:p w14:paraId="3944506D">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排放量(t/a)</w:t>
                  </w:r>
                </w:p>
              </w:tc>
              <w:tc>
                <w:tcPr>
                  <w:tcW w:w="826" w:type="dxa"/>
                  <w:vAlign w:val="center"/>
                </w:tcPr>
                <w:p w14:paraId="69016BBC">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排放速率(kg/h)</w:t>
                  </w:r>
                </w:p>
              </w:tc>
              <w:tc>
                <w:tcPr>
                  <w:tcW w:w="965" w:type="dxa"/>
                  <w:vAlign w:val="center"/>
                </w:tcPr>
                <w:p w14:paraId="17DAD3C4">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排放浓度</w:t>
                  </w:r>
                  <w:r>
                    <w:rPr>
                      <w:rFonts w:hint="eastAsia"/>
                    </w:rPr>
                    <w:t>(</w:t>
                  </w:r>
                  <w:r>
                    <w:t>mg/m</w:t>
                  </w:r>
                  <w:r>
                    <w:rPr>
                      <w:vertAlign w:val="superscript"/>
                    </w:rPr>
                    <w:t>3</w:t>
                  </w:r>
                  <w:r>
                    <w:rPr>
                      <w:rFonts w:hint="eastAsia"/>
                    </w:rPr>
                    <w:t>)</w:t>
                  </w:r>
                </w:p>
              </w:tc>
            </w:tr>
            <w:tr w14:paraId="36FB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restart"/>
                  <w:vAlign w:val="center"/>
                </w:tcPr>
                <w:p w14:paraId="5F17C21B">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rPr>
                      <w:rFonts w:hint="eastAsia"/>
                      <w:lang w:eastAsia="zh-CN"/>
                    </w:rPr>
                    <w:t>其他工序(投料、破碎、缓存、油渣分离)废气</w:t>
                  </w:r>
                </w:p>
              </w:tc>
              <w:tc>
                <w:tcPr>
                  <w:tcW w:w="880" w:type="dxa"/>
                  <w:vMerge w:val="restart"/>
                  <w:vAlign w:val="center"/>
                </w:tcPr>
                <w:p w14:paraId="5AA43CD0">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spacing w:val="-1"/>
                      <w:sz w:val="21"/>
                      <w:szCs w:val="21"/>
                      <w:lang w:val="en-US" w:eastAsia="zh-CN"/>
                    </w:rPr>
                  </w:pPr>
                  <w:r>
                    <w:rPr>
                      <w:rFonts w:hint="eastAsia"/>
                      <w:spacing w:val="-1"/>
                      <w:sz w:val="21"/>
                      <w:szCs w:val="21"/>
                      <w:lang w:val="en-US" w:eastAsia="zh-CN"/>
                    </w:rPr>
                    <w:t>DA002</w:t>
                  </w:r>
                </w:p>
              </w:tc>
              <w:tc>
                <w:tcPr>
                  <w:tcW w:w="476" w:type="dxa"/>
                  <w:vAlign w:val="center"/>
                </w:tcPr>
                <w:p w14:paraId="63F91025">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spacing w:val="-1"/>
                      <w:sz w:val="21"/>
                      <w:szCs w:val="21"/>
                      <w:lang w:eastAsia="zh-CN"/>
                    </w:rPr>
                  </w:pPr>
                  <w:r>
                    <w:rPr>
                      <w:rFonts w:hint="eastAsia"/>
                      <w:spacing w:val="-1"/>
                      <w:sz w:val="21"/>
                      <w:szCs w:val="21"/>
                      <w:lang w:eastAsia="zh-CN"/>
                    </w:rPr>
                    <w:t>非甲烷总烃</w:t>
                  </w:r>
                </w:p>
              </w:tc>
              <w:tc>
                <w:tcPr>
                  <w:tcW w:w="709" w:type="dxa"/>
                  <w:vAlign w:val="center"/>
                </w:tcPr>
                <w:p w14:paraId="5107366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0.243</w:t>
                  </w:r>
                </w:p>
              </w:tc>
              <w:tc>
                <w:tcPr>
                  <w:tcW w:w="794" w:type="dxa"/>
                  <w:vAlign w:val="center"/>
                </w:tcPr>
                <w:p w14:paraId="40AA6AE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0.1</w:t>
                  </w:r>
                </w:p>
              </w:tc>
              <w:tc>
                <w:tcPr>
                  <w:tcW w:w="964" w:type="dxa"/>
                  <w:vAlign w:val="center"/>
                </w:tcPr>
                <w:p w14:paraId="42FA62C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2.78</w:t>
                  </w:r>
                </w:p>
              </w:tc>
              <w:tc>
                <w:tcPr>
                  <w:tcW w:w="908" w:type="dxa"/>
                  <w:vMerge w:val="restart"/>
                  <w:vAlign w:val="center"/>
                </w:tcPr>
                <w:p w14:paraId="7DE82A21">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rPr>
                      <w:rFonts w:hint="eastAsia"/>
                      <w:lang w:eastAsia="zh-CN"/>
                    </w:rPr>
                    <w:t>除臭塔+碱喷淋塔+二级活性炭吸附</w:t>
                  </w:r>
                  <w:r>
                    <w:rPr>
                      <w:rFonts w:hint="eastAsia"/>
                      <w:lang w:val="en-US" w:eastAsia="zh-CN"/>
                    </w:rPr>
                    <w:t>+20</w:t>
                  </w:r>
                  <w:r>
                    <w:rPr>
                      <w:rFonts w:hint="eastAsia"/>
                      <w:u w:val="single"/>
                    </w:rPr>
                    <w:t>m排气筒</w:t>
                  </w:r>
                </w:p>
              </w:tc>
              <w:tc>
                <w:tcPr>
                  <w:tcW w:w="675" w:type="dxa"/>
                  <w:vMerge w:val="restart"/>
                  <w:vAlign w:val="center"/>
                </w:tcPr>
                <w:p w14:paraId="50072118">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ascii="Times New Roman" w:hAnsi="Times New Roman" w:eastAsia="宋体" w:cs="Times New Roman"/>
                      <w:spacing w:val="-2"/>
                      <w:sz w:val="24"/>
                      <w:lang w:val="en-US" w:eastAsia="zh-CN"/>
                    </w:rPr>
                  </w:pPr>
                  <w:r>
                    <w:rPr>
                      <w:rFonts w:hint="eastAsia" w:cs="Times New Roman"/>
                      <w:spacing w:val="-2"/>
                      <w:sz w:val="24"/>
                      <w:lang w:val="en-US" w:eastAsia="zh-CN"/>
                    </w:rPr>
                    <w:t>90%</w:t>
                  </w:r>
                </w:p>
              </w:tc>
              <w:tc>
                <w:tcPr>
                  <w:tcW w:w="794" w:type="dxa"/>
                  <w:vAlign w:val="center"/>
                </w:tcPr>
                <w:p w14:paraId="033B2BF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0.024</w:t>
                  </w:r>
                </w:p>
              </w:tc>
              <w:tc>
                <w:tcPr>
                  <w:tcW w:w="826" w:type="dxa"/>
                  <w:vAlign w:val="center"/>
                </w:tcPr>
                <w:p w14:paraId="2284B4C4">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0.01</w:t>
                  </w:r>
                </w:p>
              </w:tc>
              <w:tc>
                <w:tcPr>
                  <w:tcW w:w="965" w:type="dxa"/>
                  <w:vAlign w:val="center"/>
                </w:tcPr>
                <w:p w14:paraId="2657905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0.28</w:t>
                  </w:r>
                </w:p>
              </w:tc>
            </w:tr>
            <w:tr w14:paraId="4E13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74F6B48A">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spacing w:val="-1"/>
                      <w:sz w:val="21"/>
                      <w:szCs w:val="21"/>
                      <w:lang w:eastAsia="zh-CN"/>
                    </w:rPr>
                  </w:pPr>
                </w:p>
              </w:tc>
              <w:tc>
                <w:tcPr>
                  <w:tcW w:w="880" w:type="dxa"/>
                  <w:vMerge w:val="continue"/>
                  <w:vAlign w:val="center"/>
                </w:tcPr>
                <w:p w14:paraId="72049E73">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spacing w:val="-1"/>
                      <w:sz w:val="21"/>
                      <w:szCs w:val="21"/>
                      <w:lang w:eastAsia="zh-CN"/>
                    </w:rPr>
                  </w:pPr>
                </w:p>
              </w:tc>
              <w:tc>
                <w:tcPr>
                  <w:tcW w:w="476" w:type="dxa"/>
                  <w:vAlign w:val="center"/>
                </w:tcPr>
                <w:p w14:paraId="3E21E010">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spacing w:val="-1"/>
                      <w:sz w:val="21"/>
                      <w:szCs w:val="21"/>
                      <w:lang w:eastAsia="zh-CN"/>
                    </w:rPr>
                  </w:pPr>
                  <w:r>
                    <w:rPr>
                      <w:rFonts w:hint="eastAsia"/>
                      <w:spacing w:val="-1"/>
                      <w:sz w:val="21"/>
                      <w:szCs w:val="21"/>
                      <w:lang w:eastAsia="zh-CN"/>
                    </w:rPr>
                    <w:t>氨气</w:t>
                  </w:r>
                </w:p>
              </w:tc>
              <w:tc>
                <w:tcPr>
                  <w:tcW w:w="709" w:type="dxa"/>
                  <w:vAlign w:val="center"/>
                </w:tcPr>
                <w:p w14:paraId="03A0918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0.293</w:t>
                  </w:r>
                </w:p>
              </w:tc>
              <w:tc>
                <w:tcPr>
                  <w:tcW w:w="794" w:type="dxa"/>
                  <w:vAlign w:val="center"/>
                </w:tcPr>
                <w:p w14:paraId="50AD9C9C">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0.122</w:t>
                  </w:r>
                </w:p>
              </w:tc>
              <w:tc>
                <w:tcPr>
                  <w:tcW w:w="964" w:type="dxa"/>
                  <w:vAlign w:val="center"/>
                </w:tcPr>
                <w:p w14:paraId="75E6A48D">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3.39</w:t>
                  </w:r>
                </w:p>
              </w:tc>
              <w:tc>
                <w:tcPr>
                  <w:tcW w:w="908" w:type="dxa"/>
                  <w:vMerge w:val="continue"/>
                  <w:vAlign w:val="center"/>
                </w:tcPr>
                <w:p w14:paraId="1F623E63">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ascii="Times New Roman" w:hAnsi="Times New Roman" w:eastAsia="宋体" w:cs="Times New Roman"/>
                      <w:spacing w:val="-2"/>
                      <w:sz w:val="24"/>
                    </w:rPr>
                  </w:pPr>
                </w:p>
              </w:tc>
              <w:tc>
                <w:tcPr>
                  <w:tcW w:w="675" w:type="dxa"/>
                  <w:vMerge w:val="continue"/>
                  <w:vAlign w:val="center"/>
                </w:tcPr>
                <w:p w14:paraId="35DC6DF3">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ascii="Times New Roman" w:hAnsi="Times New Roman" w:eastAsia="宋体" w:cs="Times New Roman"/>
                      <w:spacing w:val="-2"/>
                      <w:sz w:val="24"/>
                      <w:lang w:val="en-US" w:eastAsia="zh-CN"/>
                    </w:rPr>
                  </w:pPr>
                </w:p>
              </w:tc>
              <w:tc>
                <w:tcPr>
                  <w:tcW w:w="794" w:type="dxa"/>
                  <w:vAlign w:val="center"/>
                </w:tcPr>
                <w:p w14:paraId="0E88808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0.029</w:t>
                  </w:r>
                </w:p>
              </w:tc>
              <w:tc>
                <w:tcPr>
                  <w:tcW w:w="826" w:type="dxa"/>
                  <w:vAlign w:val="center"/>
                </w:tcPr>
                <w:p w14:paraId="234FA43D">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0.012</w:t>
                  </w:r>
                </w:p>
              </w:tc>
              <w:tc>
                <w:tcPr>
                  <w:tcW w:w="965" w:type="dxa"/>
                  <w:vAlign w:val="center"/>
                </w:tcPr>
                <w:p w14:paraId="531AFB0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0.34</w:t>
                  </w:r>
                </w:p>
              </w:tc>
            </w:tr>
            <w:tr w14:paraId="3152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423F1E6D">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spacing w:val="-1"/>
                      <w:sz w:val="21"/>
                      <w:szCs w:val="21"/>
                      <w:lang w:eastAsia="zh-CN"/>
                    </w:rPr>
                  </w:pPr>
                </w:p>
              </w:tc>
              <w:tc>
                <w:tcPr>
                  <w:tcW w:w="880" w:type="dxa"/>
                  <w:vMerge w:val="continue"/>
                  <w:vAlign w:val="center"/>
                </w:tcPr>
                <w:p w14:paraId="1045400D">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spacing w:val="-1"/>
                      <w:sz w:val="21"/>
                      <w:szCs w:val="21"/>
                      <w:lang w:eastAsia="zh-CN"/>
                    </w:rPr>
                  </w:pPr>
                </w:p>
              </w:tc>
              <w:tc>
                <w:tcPr>
                  <w:tcW w:w="476" w:type="dxa"/>
                  <w:vAlign w:val="center"/>
                </w:tcPr>
                <w:p w14:paraId="242EA7EE">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spacing w:val="-1"/>
                      <w:sz w:val="21"/>
                      <w:szCs w:val="21"/>
                      <w:lang w:eastAsia="zh-CN"/>
                    </w:rPr>
                  </w:pPr>
                  <w:r>
                    <w:rPr>
                      <w:rFonts w:hint="eastAsia"/>
                      <w:spacing w:val="-1"/>
                      <w:sz w:val="21"/>
                      <w:szCs w:val="21"/>
                      <w:lang w:eastAsia="zh-CN"/>
                    </w:rPr>
                    <w:t>硫化氢</w:t>
                  </w:r>
                </w:p>
              </w:tc>
              <w:tc>
                <w:tcPr>
                  <w:tcW w:w="709" w:type="dxa"/>
                  <w:vAlign w:val="center"/>
                </w:tcPr>
                <w:p w14:paraId="545EB1A7">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0.006</w:t>
                  </w:r>
                </w:p>
              </w:tc>
              <w:tc>
                <w:tcPr>
                  <w:tcW w:w="794" w:type="dxa"/>
                  <w:vAlign w:val="center"/>
                </w:tcPr>
                <w:p w14:paraId="05C79C4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0.0025</w:t>
                  </w:r>
                </w:p>
              </w:tc>
              <w:tc>
                <w:tcPr>
                  <w:tcW w:w="964" w:type="dxa"/>
                  <w:vAlign w:val="center"/>
                </w:tcPr>
                <w:p w14:paraId="6CE0162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0.071</w:t>
                  </w:r>
                </w:p>
              </w:tc>
              <w:tc>
                <w:tcPr>
                  <w:tcW w:w="908" w:type="dxa"/>
                  <w:vMerge w:val="continue"/>
                  <w:vAlign w:val="center"/>
                </w:tcPr>
                <w:p w14:paraId="354110A9">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ascii="Times New Roman" w:hAnsi="Times New Roman" w:eastAsia="宋体" w:cs="Times New Roman"/>
                      <w:spacing w:val="-2"/>
                      <w:sz w:val="24"/>
                    </w:rPr>
                  </w:pPr>
                </w:p>
              </w:tc>
              <w:tc>
                <w:tcPr>
                  <w:tcW w:w="675" w:type="dxa"/>
                  <w:vMerge w:val="continue"/>
                  <w:vAlign w:val="center"/>
                </w:tcPr>
                <w:p w14:paraId="3E25FC89">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ascii="Times New Roman" w:hAnsi="Times New Roman" w:eastAsia="宋体" w:cs="Times New Roman"/>
                      <w:spacing w:val="-2"/>
                      <w:sz w:val="24"/>
                    </w:rPr>
                  </w:pPr>
                </w:p>
              </w:tc>
              <w:tc>
                <w:tcPr>
                  <w:tcW w:w="794" w:type="dxa"/>
                  <w:vAlign w:val="center"/>
                </w:tcPr>
                <w:p w14:paraId="67FD2DE0">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0.0006</w:t>
                  </w:r>
                </w:p>
              </w:tc>
              <w:tc>
                <w:tcPr>
                  <w:tcW w:w="826" w:type="dxa"/>
                  <w:vAlign w:val="center"/>
                </w:tcPr>
                <w:p w14:paraId="3BDD6FE7">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0.00025</w:t>
                  </w:r>
                </w:p>
              </w:tc>
              <w:tc>
                <w:tcPr>
                  <w:tcW w:w="965" w:type="dxa"/>
                  <w:vAlign w:val="center"/>
                </w:tcPr>
                <w:p w14:paraId="2D9CBBD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0.0071</w:t>
                  </w:r>
                </w:p>
              </w:tc>
            </w:tr>
          </w:tbl>
          <w:p w14:paraId="30A22BFD">
            <w:pPr>
              <w:pStyle w:val="6"/>
              <w:numPr>
                <w:ilvl w:val="3"/>
                <w:numId w:val="0"/>
              </w:numPr>
              <w:bidi w:val="0"/>
              <w:ind w:left="0" w:leftChars="0" w:firstLine="0" w:firstLineChars="0"/>
              <w:rPr>
                <w:rFonts w:hint="eastAsia"/>
                <w:lang w:val="en-US" w:eastAsia="zh-CN"/>
              </w:rPr>
            </w:pPr>
            <w:r>
              <w:rPr>
                <w:rFonts w:hint="default" w:ascii="Times New Roman" w:hAnsi="Times New Roman" w:eastAsia="宋体" w:cs="Times New Roman"/>
                <w:b/>
                <w:i w:val="0"/>
                <w:kern w:val="2"/>
                <w:sz w:val="24"/>
                <w:szCs w:val="24"/>
                <w:lang w:val="en-US" w:eastAsia="zh-CN" w:bidi="ar-SA"/>
              </w:rPr>
              <w:t>4.5.1.5、</w:t>
            </w:r>
            <w:r>
              <w:rPr>
                <w:rFonts w:hint="eastAsia"/>
                <w:lang w:val="en-US" w:eastAsia="zh-CN"/>
              </w:rPr>
              <w:t>黑膜厌氧池废气</w:t>
            </w:r>
          </w:p>
          <w:p w14:paraId="11E4760D">
            <w:pPr>
              <w:adjustRightInd w:val="0"/>
              <w:snapToGrid w:val="0"/>
              <w:spacing w:line="360" w:lineRule="auto"/>
              <w:ind w:firstLine="480" w:firstLineChars="200"/>
              <w:jc w:val="both"/>
              <w:rPr>
                <w:rFonts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u w:val="single"/>
                <w:lang w:val="en-US" w:eastAsia="zh-CN"/>
              </w:rPr>
              <w:t>根据《规模化畜禽养殖场沼气工程设计规范》</w:t>
            </w:r>
            <w:r>
              <w:rPr>
                <w:rFonts w:hint="default" w:ascii="Times New Roman" w:hAnsi="Times New Roman" w:eastAsia="宋体" w:cs="Times New Roman"/>
                <w:color w:val="000000"/>
                <w:sz w:val="24"/>
                <w:szCs w:val="24"/>
                <w:highlight w:val="none"/>
                <w:u w:val="single"/>
                <w:lang w:val="en-US" w:eastAsia="zh-CN"/>
              </w:rPr>
              <w:t>（NY/T1222-2006）每去除1kgCOD</w:t>
            </w:r>
            <w:r>
              <w:rPr>
                <w:rFonts w:hint="default" w:ascii="Times New Roman" w:hAnsi="Times New Roman" w:eastAsia="宋体" w:cs="Times New Roman"/>
                <w:color w:val="000000"/>
                <w:sz w:val="24"/>
                <w:szCs w:val="24"/>
                <w:highlight w:val="none"/>
                <w:u w:val="single"/>
                <w:vertAlign w:val="subscript"/>
                <w:lang w:val="en-US" w:eastAsia="zh-CN"/>
              </w:rPr>
              <w:t>Cr</w:t>
            </w:r>
            <w:r>
              <w:rPr>
                <w:rFonts w:hint="default" w:ascii="Times New Roman" w:hAnsi="Times New Roman" w:eastAsia="宋体" w:cs="Times New Roman"/>
                <w:color w:val="000000"/>
                <w:sz w:val="24"/>
                <w:szCs w:val="24"/>
                <w:highlight w:val="none"/>
                <w:u w:val="single"/>
                <w:lang w:val="en-US" w:eastAsia="zh-CN"/>
              </w:rPr>
              <w:t>可产0.35m</w:t>
            </w:r>
            <w:r>
              <w:rPr>
                <w:rFonts w:hint="default" w:ascii="Times New Roman" w:hAnsi="Times New Roman" w:eastAsia="宋体" w:cs="Times New Roman"/>
                <w:color w:val="000000"/>
                <w:sz w:val="24"/>
                <w:szCs w:val="24"/>
                <w:highlight w:val="none"/>
                <w:u w:val="single"/>
                <w:vertAlign w:val="superscript"/>
                <w:lang w:val="en-US" w:eastAsia="zh-CN"/>
              </w:rPr>
              <w:t>3</w:t>
            </w:r>
            <w:r>
              <w:rPr>
                <w:rFonts w:hint="default" w:ascii="Times New Roman" w:hAnsi="Times New Roman" w:eastAsia="宋体" w:cs="Times New Roman"/>
                <w:color w:val="000000"/>
                <w:sz w:val="24"/>
                <w:szCs w:val="24"/>
                <w:highlight w:val="none"/>
                <w:u w:val="single"/>
                <w:lang w:val="en-US" w:eastAsia="zh-CN"/>
              </w:rPr>
              <w:t>甲烷，</w:t>
            </w:r>
            <w:r>
              <w:rPr>
                <w:rFonts w:hint="default" w:ascii="Times New Roman" w:hAnsi="Times New Roman" w:eastAsia="宋体" w:cs="Times New Roman"/>
                <w:color w:val="000000"/>
                <w:sz w:val="24"/>
                <w:szCs w:val="24"/>
                <w:highlight w:val="none"/>
                <w:u w:val="single"/>
              </w:rPr>
              <w:t>项目进入黑膜</w:t>
            </w:r>
            <w:r>
              <w:rPr>
                <w:rFonts w:hint="eastAsia" w:ascii="Times New Roman" w:hAnsi="Times New Roman" w:eastAsia="宋体" w:cs="Times New Roman"/>
                <w:color w:val="000000"/>
                <w:sz w:val="24"/>
                <w:szCs w:val="24"/>
                <w:highlight w:val="none"/>
                <w:u w:val="single"/>
                <w:lang w:eastAsia="zh-CN"/>
              </w:rPr>
              <w:t>厌氧</w:t>
            </w:r>
            <w:r>
              <w:rPr>
                <w:rFonts w:hint="default" w:ascii="Times New Roman" w:hAnsi="Times New Roman" w:eastAsia="宋体" w:cs="Times New Roman"/>
                <w:color w:val="000000"/>
                <w:sz w:val="24"/>
                <w:szCs w:val="24"/>
                <w:highlight w:val="none"/>
                <w:u w:val="single"/>
              </w:rPr>
              <w:t>池的总废水量为</w:t>
            </w:r>
            <w:r>
              <w:rPr>
                <w:rFonts w:hint="eastAsia" w:ascii="Times New Roman" w:hAnsi="Times New Roman" w:eastAsia="宋体" w:cs="Times New Roman"/>
                <w:color w:val="000000"/>
                <w:sz w:val="24"/>
                <w:szCs w:val="24"/>
                <w:highlight w:val="none"/>
                <w:u w:val="single"/>
                <w:lang w:val="en-US" w:eastAsia="zh-CN"/>
              </w:rPr>
              <w:t>6231.23t</w:t>
            </w:r>
            <w:r>
              <w:rPr>
                <w:rFonts w:hint="default" w:ascii="Times New Roman" w:hAnsi="Times New Roman" w:eastAsia="宋体" w:cs="Times New Roman"/>
                <w:color w:val="000000"/>
                <w:sz w:val="24"/>
                <w:szCs w:val="24"/>
                <w:highlight w:val="none"/>
                <w:u w:val="single"/>
              </w:rPr>
              <w:t>/a</w:t>
            </w:r>
            <w:r>
              <w:rPr>
                <w:rFonts w:hint="eastAsia" w:ascii="Times New Roman" w:hAnsi="Times New Roman" w:eastAsia="宋体" w:cs="Times New Roman"/>
                <w:color w:val="000000"/>
                <w:sz w:val="24"/>
                <w:szCs w:val="24"/>
                <w:highlight w:val="none"/>
                <w:u w:val="single"/>
                <w:lang w:val="en-US" w:eastAsia="zh-CN"/>
              </w:rPr>
              <w:t>，</w:t>
            </w:r>
            <w:r>
              <w:rPr>
                <w:rFonts w:hint="default" w:ascii="Times New Roman" w:hAnsi="Times New Roman" w:eastAsia="宋体" w:cs="Times New Roman"/>
                <w:color w:val="000000"/>
                <w:sz w:val="24"/>
                <w:szCs w:val="24"/>
                <w:highlight w:val="none"/>
                <w:u w:val="single"/>
                <w:lang w:val="en-US" w:eastAsia="zh-CN"/>
              </w:rPr>
              <w:t>COD</w:t>
            </w:r>
            <w:r>
              <w:rPr>
                <w:rFonts w:hint="eastAsia" w:ascii="Times New Roman" w:hAnsi="Times New Roman" w:eastAsia="宋体" w:cs="Times New Roman"/>
                <w:color w:val="000000"/>
                <w:sz w:val="24"/>
                <w:szCs w:val="24"/>
                <w:highlight w:val="none"/>
                <w:u w:val="single"/>
                <w:lang w:val="en-US" w:eastAsia="zh-CN"/>
              </w:rPr>
              <w:t>产生量10.78t/a</w:t>
            </w:r>
            <w:r>
              <w:rPr>
                <w:rFonts w:hint="default" w:ascii="Times New Roman" w:hAnsi="Times New Roman" w:eastAsia="宋体" w:cs="Times New Roman"/>
                <w:color w:val="000000"/>
                <w:sz w:val="24"/>
                <w:szCs w:val="24"/>
                <w:highlight w:val="none"/>
                <w:u w:val="single"/>
                <w:lang w:val="en-US" w:eastAsia="zh-CN"/>
              </w:rPr>
              <w:t>，COD去除效率为</w:t>
            </w:r>
            <w:r>
              <w:rPr>
                <w:rFonts w:hint="eastAsia" w:ascii="Times New Roman" w:hAnsi="Times New Roman" w:eastAsia="宋体" w:cs="Times New Roman"/>
                <w:color w:val="000000"/>
                <w:sz w:val="24"/>
                <w:szCs w:val="24"/>
                <w:highlight w:val="none"/>
                <w:u w:val="single"/>
                <w:lang w:val="en-US" w:eastAsia="zh-CN"/>
              </w:rPr>
              <w:t>5</w:t>
            </w:r>
            <w:r>
              <w:rPr>
                <w:rFonts w:hint="default" w:ascii="Times New Roman" w:hAnsi="Times New Roman" w:eastAsia="宋体" w:cs="Times New Roman"/>
                <w:color w:val="000000"/>
                <w:sz w:val="24"/>
                <w:szCs w:val="24"/>
                <w:highlight w:val="none"/>
                <w:u w:val="single"/>
                <w:lang w:val="en-US" w:eastAsia="zh-CN"/>
              </w:rPr>
              <w:t>0%，则COD的去除量为</w:t>
            </w:r>
            <w:r>
              <w:rPr>
                <w:rFonts w:hint="eastAsia" w:ascii="Times New Roman" w:hAnsi="Times New Roman" w:eastAsia="宋体" w:cs="Times New Roman"/>
                <w:color w:val="000000"/>
                <w:sz w:val="24"/>
                <w:szCs w:val="24"/>
                <w:highlight w:val="none"/>
                <w:u w:val="single"/>
                <w:lang w:val="en-US" w:eastAsia="zh-CN"/>
              </w:rPr>
              <w:t>5.39</w:t>
            </w:r>
            <w:r>
              <w:rPr>
                <w:rFonts w:hint="default" w:ascii="Times New Roman" w:hAnsi="Times New Roman" w:eastAsia="宋体" w:cs="Times New Roman"/>
                <w:color w:val="000000"/>
                <w:sz w:val="24"/>
                <w:szCs w:val="24"/>
                <w:highlight w:val="none"/>
                <w:u w:val="single"/>
                <w:lang w:val="en-US" w:eastAsia="zh-CN"/>
              </w:rPr>
              <w:t>t/a，沼气中甲烷的含量一般为50~70%，本次评价取60%，则沼气的产生量为</w:t>
            </w:r>
            <w:r>
              <w:rPr>
                <w:rFonts w:hint="eastAsia" w:ascii="Times New Roman" w:hAnsi="Times New Roman" w:eastAsia="宋体" w:cs="Times New Roman"/>
                <w:color w:val="000000"/>
                <w:sz w:val="24"/>
                <w:szCs w:val="24"/>
                <w:highlight w:val="none"/>
                <w:u w:val="single"/>
                <w:lang w:val="en-US" w:eastAsia="zh-CN"/>
              </w:rPr>
              <w:t>3144.17</w:t>
            </w:r>
            <w:r>
              <w:rPr>
                <w:rFonts w:hint="default" w:ascii="Times New Roman" w:hAnsi="Times New Roman" w:eastAsia="宋体" w:cs="Times New Roman"/>
                <w:color w:val="000000"/>
                <w:sz w:val="24"/>
                <w:szCs w:val="24"/>
                <w:highlight w:val="none"/>
                <w:u w:val="single"/>
                <w:lang w:val="en-US" w:eastAsia="zh-CN"/>
              </w:rPr>
              <w:t>m</w:t>
            </w:r>
            <w:r>
              <w:rPr>
                <w:rFonts w:hint="default" w:ascii="Times New Roman" w:hAnsi="Times New Roman" w:eastAsia="宋体" w:cs="Times New Roman"/>
                <w:color w:val="000000"/>
                <w:sz w:val="24"/>
                <w:szCs w:val="24"/>
                <w:highlight w:val="none"/>
                <w:u w:val="single"/>
                <w:vertAlign w:val="superscript"/>
                <w:lang w:val="en-US" w:eastAsia="zh-CN"/>
              </w:rPr>
              <w:t>3</w:t>
            </w:r>
            <w:r>
              <w:rPr>
                <w:rFonts w:hint="default" w:ascii="Times New Roman" w:hAnsi="Times New Roman" w:eastAsia="宋体" w:cs="Times New Roman"/>
                <w:color w:val="000000"/>
                <w:sz w:val="24"/>
                <w:szCs w:val="24"/>
                <w:highlight w:val="none"/>
                <w:u w:val="single"/>
                <w:lang w:val="en-US" w:eastAsia="zh-CN"/>
              </w:rPr>
              <w:t>/a</w:t>
            </w:r>
            <w:r>
              <w:rPr>
                <w:rFonts w:hint="eastAsia" w:ascii="Times New Roman" w:hAnsi="Times New Roman" w:eastAsia="宋体" w:cs="Times New Roman"/>
                <w:color w:val="000000"/>
                <w:sz w:val="24"/>
                <w:szCs w:val="24"/>
                <w:highlight w:val="none"/>
                <w:u w:val="single"/>
                <w:lang w:val="en-US" w:eastAsia="zh-CN"/>
              </w:rPr>
              <w:t>（</w:t>
            </w:r>
            <w:r>
              <w:rPr>
                <w:rFonts w:hint="default" w:ascii="Times New Roman" w:hAnsi="Times New Roman" w:eastAsia="宋体" w:cs="Times New Roman"/>
                <w:color w:val="000000"/>
                <w:sz w:val="24"/>
                <w:szCs w:val="24"/>
                <w:highlight w:val="none"/>
                <w:u w:val="single"/>
                <w:lang w:val="en-US" w:eastAsia="zh-CN"/>
              </w:rPr>
              <w:t>1立方米的沼气重0.001221吨</w:t>
            </w:r>
            <w:r>
              <w:rPr>
                <w:rFonts w:hint="eastAsia" w:ascii="Times New Roman" w:hAnsi="Times New Roman" w:eastAsia="宋体" w:cs="Times New Roman"/>
                <w:color w:val="000000"/>
                <w:sz w:val="24"/>
                <w:szCs w:val="24"/>
                <w:highlight w:val="none"/>
                <w:u w:val="single"/>
                <w:lang w:val="en-US" w:eastAsia="zh-CN"/>
              </w:rPr>
              <w:t>，本次为3.839</w:t>
            </w:r>
            <w:r>
              <w:rPr>
                <w:rFonts w:hint="default" w:ascii="Times New Roman" w:hAnsi="Times New Roman" w:eastAsia="宋体" w:cs="Times New Roman"/>
                <w:color w:val="000000"/>
                <w:sz w:val="24"/>
                <w:szCs w:val="24"/>
                <w:highlight w:val="none"/>
                <w:u w:val="single"/>
                <w:lang w:val="en-US" w:eastAsia="zh-CN"/>
              </w:rPr>
              <w:t>吨</w:t>
            </w:r>
            <w:r>
              <w:rPr>
                <w:rFonts w:hint="eastAsia" w:ascii="Times New Roman" w:hAnsi="Times New Roman" w:eastAsia="宋体" w:cs="Times New Roman"/>
                <w:color w:val="000000"/>
                <w:sz w:val="24"/>
                <w:szCs w:val="24"/>
                <w:highlight w:val="none"/>
                <w:u w:val="single"/>
                <w:lang w:val="en-US" w:eastAsia="zh-CN"/>
              </w:rPr>
              <w:t>），</w:t>
            </w:r>
            <w:r>
              <w:rPr>
                <w:rFonts w:hint="default" w:ascii="Times New Roman" w:hAnsi="Times New Roman" w:eastAsia="宋体" w:cs="Times New Roman"/>
                <w:color w:val="000000"/>
                <w:sz w:val="24"/>
                <w:szCs w:val="24"/>
                <w:highlight w:val="none"/>
                <w:u w:val="single"/>
                <w:lang w:val="en-US" w:eastAsia="zh-CN"/>
              </w:rPr>
              <w:t>其中甲烷</w:t>
            </w:r>
            <w:r>
              <w:rPr>
                <w:rFonts w:hint="eastAsia" w:ascii="Times New Roman" w:hAnsi="Times New Roman" w:eastAsia="宋体" w:cs="Times New Roman"/>
                <w:color w:val="000000"/>
                <w:sz w:val="24"/>
                <w:szCs w:val="24"/>
                <w:highlight w:val="none"/>
                <w:u w:val="single"/>
                <w:lang w:val="en-US" w:eastAsia="zh-CN"/>
              </w:rPr>
              <w:t>1886.5</w:t>
            </w:r>
            <w:r>
              <w:rPr>
                <w:rFonts w:hint="default" w:ascii="Times New Roman" w:hAnsi="Times New Roman" w:eastAsia="宋体" w:cs="Times New Roman"/>
                <w:color w:val="000000"/>
                <w:sz w:val="24"/>
                <w:szCs w:val="24"/>
                <w:highlight w:val="none"/>
                <w:u w:val="single"/>
                <w:lang w:val="en-US" w:eastAsia="zh-CN"/>
              </w:rPr>
              <w:t>m</w:t>
            </w:r>
            <w:r>
              <w:rPr>
                <w:rFonts w:hint="default" w:ascii="Times New Roman" w:hAnsi="Times New Roman" w:eastAsia="宋体" w:cs="Times New Roman"/>
                <w:color w:val="000000"/>
                <w:sz w:val="24"/>
                <w:szCs w:val="24"/>
                <w:highlight w:val="none"/>
                <w:u w:val="single"/>
                <w:vertAlign w:val="superscript"/>
                <w:lang w:val="en-US" w:eastAsia="zh-CN"/>
              </w:rPr>
              <w:t>3</w:t>
            </w:r>
            <w:r>
              <w:rPr>
                <w:rFonts w:hint="default" w:ascii="Times New Roman" w:hAnsi="Times New Roman" w:eastAsia="宋体" w:cs="Times New Roman"/>
                <w:color w:val="000000"/>
                <w:sz w:val="24"/>
                <w:szCs w:val="24"/>
                <w:highlight w:val="none"/>
                <w:u w:val="single"/>
                <w:lang w:val="en-US" w:eastAsia="zh-CN"/>
              </w:rPr>
              <w:t>/a</w:t>
            </w:r>
            <w:r>
              <w:rPr>
                <w:rFonts w:hint="eastAsia" w:ascii="Times New Roman" w:hAnsi="Times New Roman" w:eastAsia="宋体" w:cs="Times New Roman"/>
                <w:color w:val="000000"/>
                <w:sz w:val="24"/>
                <w:szCs w:val="24"/>
                <w:highlight w:val="none"/>
                <w:u w:val="single"/>
                <w:lang w:val="en-US" w:eastAsia="zh-CN"/>
              </w:rPr>
              <w:t>。</w:t>
            </w:r>
          </w:p>
          <w:p w14:paraId="283BCEA2">
            <w:pPr>
              <w:pStyle w:val="8"/>
              <w:numPr>
                <w:ilvl w:val="5"/>
                <w:numId w:val="0"/>
              </w:numPr>
              <w:bidi w:val="0"/>
              <w:ind w:leftChars="0"/>
              <w:jc w:val="center"/>
              <w:rPr>
                <w:lang w:val="en-US" w:eastAsia="zh-CN"/>
              </w:rPr>
            </w:pPr>
            <w:r>
              <w:rPr>
                <w:lang w:val="en-US" w:eastAsia="zh-CN"/>
              </w:rPr>
              <w:t>表</w:t>
            </w:r>
            <w:r>
              <w:rPr>
                <w:rFonts w:hint="eastAsia"/>
                <w:lang w:val="en-US" w:eastAsia="zh-CN"/>
              </w:rPr>
              <w:t>4-12</w:t>
            </w:r>
            <w:r>
              <w:rPr>
                <w:lang w:val="en-US" w:eastAsia="zh-CN"/>
              </w:rPr>
              <w:t>沼气物理化学性质一览表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1840"/>
              <w:gridCol w:w="547"/>
              <w:gridCol w:w="5729"/>
            </w:tblGrid>
            <w:tr w14:paraId="208D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296" w:type="pct"/>
                  <w:noWrap w:val="0"/>
                  <w:tcMar>
                    <w:left w:w="0" w:type="dxa"/>
                    <w:right w:w="0" w:type="dxa"/>
                  </w:tcMar>
                  <w:vAlign w:val="center"/>
                </w:tcPr>
                <w:p w14:paraId="1D8526C6">
                  <w:pPr>
                    <w:pStyle w:val="64"/>
                    <w:rPr>
                      <w:rFonts w:ascii="Times New Roman" w:hAnsi="Times New Roman" w:eastAsia="宋体" w:cs="Times New Roman"/>
                      <w:sz w:val="21"/>
                      <w:szCs w:val="21"/>
                    </w:rPr>
                  </w:pPr>
                  <w:r>
                    <w:rPr>
                      <w:rFonts w:ascii="Times New Roman" w:hAnsi="Times New Roman" w:eastAsia="宋体" w:cs="Times New Roman"/>
                      <w:sz w:val="21"/>
                      <w:szCs w:val="21"/>
                    </w:rPr>
                    <w:t>序号</w:t>
                  </w:r>
                </w:p>
              </w:tc>
              <w:tc>
                <w:tcPr>
                  <w:tcW w:w="1383" w:type="pct"/>
                  <w:gridSpan w:val="2"/>
                  <w:noWrap w:val="0"/>
                  <w:tcMar>
                    <w:left w:w="0" w:type="dxa"/>
                    <w:right w:w="0" w:type="dxa"/>
                  </w:tcMar>
                  <w:vAlign w:val="center"/>
                </w:tcPr>
                <w:p w14:paraId="35AA4502">
                  <w:pPr>
                    <w:pStyle w:val="64"/>
                    <w:rPr>
                      <w:rFonts w:ascii="Times New Roman" w:hAnsi="Times New Roman" w:eastAsia="宋体" w:cs="Times New Roman"/>
                      <w:sz w:val="21"/>
                      <w:szCs w:val="21"/>
                    </w:rPr>
                  </w:pPr>
                  <w:r>
                    <w:rPr>
                      <w:rFonts w:ascii="Times New Roman" w:hAnsi="Times New Roman" w:eastAsia="宋体" w:cs="Times New Roman"/>
                      <w:sz w:val="21"/>
                      <w:szCs w:val="21"/>
                    </w:rPr>
                    <w:t>特性参数</w:t>
                  </w:r>
                </w:p>
              </w:tc>
              <w:tc>
                <w:tcPr>
                  <w:tcW w:w="3319" w:type="pct"/>
                  <w:noWrap w:val="0"/>
                  <w:tcMar>
                    <w:left w:w="0" w:type="dxa"/>
                    <w:right w:w="0" w:type="dxa"/>
                  </w:tcMar>
                  <w:vAlign w:val="center"/>
                </w:tcPr>
                <w:p w14:paraId="7921D001">
                  <w:pPr>
                    <w:pStyle w:val="64"/>
                    <w:rPr>
                      <w:rFonts w:ascii="Times New Roman" w:hAnsi="Times New Roman" w:eastAsia="宋体" w:cs="Times New Roman"/>
                      <w:sz w:val="21"/>
                      <w:szCs w:val="21"/>
                    </w:rPr>
                  </w:pPr>
                  <w:r>
                    <w:rPr>
                      <w:rFonts w:ascii="Times New Roman" w:hAnsi="Times New Roman" w:eastAsia="宋体" w:cs="Times New Roman"/>
                      <w:sz w:val="21"/>
                      <w:szCs w:val="21"/>
                    </w:rPr>
                    <w:t>CH</w:t>
                  </w:r>
                  <w:r>
                    <w:rPr>
                      <w:rFonts w:ascii="Times New Roman" w:hAnsi="Times New Roman" w:eastAsia="宋体" w:cs="Times New Roman"/>
                      <w:sz w:val="21"/>
                      <w:szCs w:val="21"/>
                      <w:vertAlign w:val="subscript"/>
                    </w:rPr>
                    <w:t>4</w:t>
                  </w:r>
                  <w:r>
                    <w:rPr>
                      <w:rFonts w:ascii="Times New Roman" w:hAnsi="Times New Roman" w:eastAsia="宋体" w:cs="Times New Roman"/>
                      <w:sz w:val="21"/>
                      <w:szCs w:val="21"/>
                    </w:rPr>
                    <w:t xml:space="preserve"> 60%、CO</w:t>
                  </w:r>
                  <w:r>
                    <w:rPr>
                      <w:rFonts w:ascii="Times New Roman" w:hAnsi="Times New Roman" w:eastAsia="宋体" w:cs="Times New Roman"/>
                      <w:sz w:val="21"/>
                      <w:szCs w:val="21"/>
                      <w:vertAlign w:val="subscript"/>
                    </w:rPr>
                    <w:t>2</w:t>
                  </w:r>
                  <w:r>
                    <w:rPr>
                      <w:rFonts w:ascii="Times New Roman" w:hAnsi="Times New Roman" w:eastAsia="宋体" w:cs="Times New Roman"/>
                      <w:sz w:val="21"/>
                      <w:szCs w:val="21"/>
                    </w:rPr>
                    <w:t xml:space="preserve"> 35%、H</w:t>
                  </w:r>
                  <w:r>
                    <w:rPr>
                      <w:rFonts w:ascii="Times New Roman" w:hAnsi="Times New Roman" w:eastAsia="宋体" w:cs="Times New Roman"/>
                      <w:sz w:val="21"/>
                      <w:szCs w:val="21"/>
                      <w:vertAlign w:val="subscript"/>
                    </w:rPr>
                    <w:t>2</w:t>
                  </w:r>
                  <w:r>
                    <w:rPr>
                      <w:rFonts w:ascii="Times New Roman" w:hAnsi="Times New Roman" w:eastAsia="宋体" w:cs="Times New Roman"/>
                      <w:sz w:val="21"/>
                      <w:szCs w:val="21"/>
                    </w:rPr>
                    <w:t>S0.034%、N</w:t>
                  </w:r>
                  <w:r>
                    <w:rPr>
                      <w:rFonts w:ascii="Times New Roman" w:hAnsi="Times New Roman" w:eastAsia="宋体" w:cs="Times New Roman"/>
                      <w:sz w:val="21"/>
                      <w:szCs w:val="21"/>
                      <w:vertAlign w:val="subscript"/>
                    </w:rPr>
                    <w:t>2</w:t>
                  </w:r>
                  <w:r>
                    <w:rPr>
                      <w:rFonts w:ascii="Times New Roman" w:hAnsi="Times New Roman" w:eastAsia="宋体" w:cs="Times New Roman"/>
                      <w:sz w:val="21"/>
                      <w:szCs w:val="21"/>
                    </w:rPr>
                    <w:t>及其他4.966%</w:t>
                  </w:r>
                </w:p>
              </w:tc>
            </w:tr>
            <w:tr w14:paraId="253D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6" w:type="pct"/>
                  <w:noWrap w:val="0"/>
                  <w:tcMar>
                    <w:left w:w="0" w:type="dxa"/>
                    <w:right w:w="0" w:type="dxa"/>
                  </w:tcMar>
                  <w:vAlign w:val="center"/>
                </w:tcPr>
                <w:p w14:paraId="3A5833E3">
                  <w:pPr>
                    <w:pStyle w:val="64"/>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1383" w:type="pct"/>
                  <w:gridSpan w:val="2"/>
                  <w:noWrap w:val="0"/>
                  <w:tcMar>
                    <w:left w:w="0" w:type="dxa"/>
                    <w:right w:w="0" w:type="dxa"/>
                  </w:tcMar>
                  <w:vAlign w:val="center"/>
                </w:tcPr>
                <w:p w14:paraId="12D555D6">
                  <w:pPr>
                    <w:pStyle w:val="64"/>
                    <w:rPr>
                      <w:rFonts w:ascii="Times New Roman" w:hAnsi="Times New Roman" w:eastAsia="宋体" w:cs="Times New Roman"/>
                      <w:sz w:val="21"/>
                      <w:szCs w:val="21"/>
                    </w:rPr>
                  </w:pPr>
                  <w:r>
                    <w:rPr>
                      <w:rFonts w:ascii="Times New Roman" w:hAnsi="Times New Roman" w:eastAsia="宋体" w:cs="Times New Roman"/>
                      <w:sz w:val="21"/>
                      <w:szCs w:val="21"/>
                    </w:rPr>
                    <w:t>密度（kg/m</w:t>
                  </w:r>
                  <w:r>
                    <w:rPr>
                      <w:rFonts w:ascii="Times New Roman" w:hAnsi="Times New Roman" w:eastAsia="宋体" w:cs="Times New Roman"/>
                      <w:sz w:val="21"/>
                      <w:szCs w:val="21"/>
                      <w:vertAlign w:val="superscript"/>
                    </w:rPr>
                    <w:t>3</w:t>
                  </w:r>
                  <w:r>
                    <w:rPr>
                      <w:rFonts w:ascii="Times New Roman" w:hAnsi="Times New Roman" w:eastAsia="宋体" w:cs="Times New Roman"/>
                      <w:sz w:val="21"/>
                      <w:szCs w:val="21"/>
                    </w:rPr>
                    <w:t>）</w:t>
                  </w:r>
                </w:p>
              </w:tc>
              <w:tc>
                <w:tcPr>
                  <w:tcW w:w="3319" w:type="pct"/>
                  <w:noWrap w:val="0"/>
                  <w:tcMar>
                    <w:left w:w="0" w:type="dxa"/>
                    <w:right w:w="0" w:type="dxa"/>
                  </w:tcMar>
                  <w:vAlign w:val="center"/>
                </w:tcPr>
                <w:p w14:paraId="16BFFC4D">
                  <w:pPr>
                    <w:pStyle w:val="64"/>
                    <w:rPr>
                      <w:rFonts w:ascii="Times New Roman" w:hAnsi="Times New Roman" w:eastAsia="宋体" w:cs="Times New Roman"/>
                      <w:sz w:val="21"/>
                      <w:szCs w:val="21"/>
                    </w:rPr>
                  </w:pPr>
                  <w:r>
                    <w:rPr>
                      <w:rFonts w:ascii="Times New Roman" w:hAnsi="Times New Roman" w:eastAsia="宋体" w:cs="Times New Roman"/>
                      <w:sz w:val="21"/>
                      <w:szCs w:val="21"/>
                    </w:rPr>
                    <w:t>1.221</w:t>
                  </w:r>
                </w:p>
              </w:tc>
            </w:tr>
            <w:tr w14:paraId="302D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6" w:type="pct"/>
                  <w:noWrap w:val="0"/>
                  <w:tcMar>
                    <w:left w:w="0" w:type="dxa"/>
                    <w:right w:w="0" w:type="dxa"/>
                  </w:tcMar>
                  <w:vAlign w:val="center"/>
                </w:tcPr>
                <w:p w14:paraId="726DE0FB">
                  <w:pPr>
                    <w:pStyle w:val="64"/>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1383" w:type="pct"/>
                  <w:gridSpan w:val="2"/>
                  <w:noWrap w:val="0"/>
                  <w:tcMar>
                    <w:left w:w="0" w:type="dxa"/>
                    <w:right w:w="0" w:type="dxa"/>
                  </w:tcMar>
                  <w:vAlign w:val="center"/>
                </w:tcPr>
                <w:p w14:paraId="4CBBD6BF">
                  <w:pPr>
                    <w:pStyle w:val="64"/>
                    <w:rPr>
                      <w:rFonts w:ascii="Times New Roman" w:hAnsi="Times New Roman" w:eastAsia="宋体" w:cs="Times New Roman"/>
                      <w:sz w:val="21"/>
                      <w:szCs w:val="21"/>
                    </w:rPr>
                  </w:pPr>
                  <w:r>
                    <w:rPr>
                      <w:rFonts w:ascii="Times New Roman" w:hAnsi="Times New Roman" w:eastAsia="宋体" w:cs="Times New Roman"/>
                      <w:sz w:val="21"/>
                      <w:szCs w:val="21"/>
                    </w:rPr>
                    <w:t>比重</w:t>
                  </w:r>
                </w:p>
              </w:tc>
              <w:tc>
                <w:tcPr>
                  <w:tcW w:w="3319" w:type="pct"/>
                  <w:noWrap w:val="0"/>
                  <w:tcMar>
                    <w:left w:w="0" w:type="dxa"/>
                    <w:right w:w="0" w:type="dxa"/>
                  </w:tcMar>
                  <w:vAlign w:val="center"/>
                </w:tcPr>
                <w:p w14:paraId="438129DD">
                  <w:pPr>
                    <w:pStyle w:val="64"/>
                    <w:rPr>
                      <w:rFonts w:ascii="Times New Roman" w:hAnsi="Times New Roman" w:eastAsia="宋体" w:cs="Times New Roman"/>
                      <w:sz w:val="21"/>
                      <w:szCs w:val="21"/>
                    </w:rPr>
                  </w:pPr>
                  <w:r>
                    <w:rPr>
                      <w:rFonts w:ascii="Times New Roman" w:hAnsi="Times New Roman" w:eastAsia="宋体" w:cs="Times New Roman"/>
                      <w:sz w:val="21"/>
                      <w:szCs w:val="21"/>
                    </w:rPr>
                    <w:t>0.944</w:t>
                  </w:r>
                </w:p>
              </w:tc>
            </w:tr>
            <w:tr w14:paraId="1FA7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6" w:type="pct"/>
                  <w:noWrap w:val="0"/>
                  <w:tcMar>
                    <w:left w:w="0" w:type="dxa"/>
                    <w:right w:w="0" w:type="dxa"/>
                  </w:tcMar>
                  <w:vAlign w:val="center"/>
                </w:tcPr>
                <w:p w14:paraId="41BE24C7">
                  <w:pPr>
                    <w:pStyle w:val="64"/>
                    <w:rPr>
                      <w:rFonts w:ascii="Times New Roman" w:hAnsi="Times New Roman" w:eastAsia="宋体" w:cs="Times New Roman"/>
                      <w:sz w:val="21"/>
                      <w:szCs w:val="21"/>
                    </w:rPr>
                  </w:pPr>
                  <w:r>
                    <w:rPr>
                      <w:rFonts w:ascii="Times New Roman" w:hAnsi="Times New Roman" w:eastAsia="宋体" w:cs="Times New Roman"/>
                      <w:sz w:val="21"/>
                      <w:szCs w:val="21"/>
                    </w:rPr>
                    <w:t>3</w:t>
                  </w:r>
                </w:p>
              </w:tc>
              <w:tc>
                <w:tcPr>
                  <w:tcW w:w="1383" w:type="pct"/>
                  <w:gridSpan w:val="2"/>
                  <w:noWrap w:val="0"/>
                  <w:tcMar>
                    <w:left w:w="0" w:type="dxa"/>
                    <w:right w:w="0" w:type="dxa"/>
                  </w:tcMar>
                  <w:vAlign w:val="center"/>
                </w:tcPr>
                <w:p w14:paraId="28ABFA7B">
                  <w:pPr>
                    <w:pStyle w:val="64"/>
                    <w:rPr>
                      <w:rFonts w:ascii="Times New Roman" w:hAnsi="Times New Roman" w:eastAsia="宋体" w:cs="Times New Roman"/>
                      <w:sz w:val="21"/>
                      <w:szCs w:val="21"/>
                    </w:rPr>
                  </w:pPr>
                  <w:r>
                    <w:rPr>
                      <w:rFonts w:ascii="Times New Roman" w:hAnsi="Times New Roman" w:eastAsia="宋体" w:cs="Times New Roman"/>
                      <w:sz w:val="21"/>
                      <w:szCs w:val="21"/>
                    </w:rPr>
                    <w:t>热值（kJ/m</w:t>
                  </w:r>
                  <w:r>
                    <w:rPr>
                      <w:rFonts w:ascii="Times New Roman" w:hAnsi="Times New Roman" w:eastAsia="宋体" w:cs="Times New Roman"/>
                      <w:sz w:val="21"/>
                      <w:szCs w:val="21"/>
                      <w:vertAlign w:val="superscript"/>
                    </w:rPr>
                    <w:t>3</w:t>
                  </w:r>
                  <w:r>
                    <w:rPr>
                      <w:rFonts w:ascii="Times New Roman" w:hAnsi="Times New Roman" w:eastAsia="宋体" w:cs="Times New Roman"/>
                      <w:sz w:val="21"/>
                      <w:szCs w:val="21"/>
                    </w:rPr>
                    <w:t>）</w:t>
                  </w:r>
                </w:p>
              </w:tc>
              <w:tc>
                <w:tcPr>
                  <w:tcW w:w="3319" w:type="pct"/>
                  <w:noWrap w:val="0"/>
                  <w:tcMar>
                    <w:left w:w="0" w:type="dxa"/>
                    <w:right w:w="0" w:type="dxa"/>
                  </w:tcMar>
                  <w:vAlign w:val="center"/>
                </w:tcPr>
                <w:p w14:paraId="26E64469">
                  <w:pPr>
                    <w:pStyle w:val="64"/>
                    <w:rPr>
                      <w:rFonts w:ascii="Times New Roman" w:hAnsi="Times New Roman" w:eastAsia="宋体" w:cs="Times New Roman"/>
                      <w:sz w:val="21"/>
                      <w:szCs w:val="21"/>
                    </w:rPr>
                  </w:pPr>
                  <w:r>
                    <w:rPr>
                      <w:rFonts w:ascii="Times New Roman" w:hAnsi="Times New Roman" w:eastAsia="宋体" w:cs="Times New Roman"/>
                      <w:sz w:val="21"/>
                      <w:szCs w:val="21"/>
                    </w:rPr>
                    <w:t>21524</w:t>
                  </w:r>
                </w:p>
              </w:tc>
            </w:tr>
            <w:tr w14:paraId="65B7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6" w:type="pct"/>
                  <w:noWrap w:val="0"/>
                  <w:tcMar>
                    <w:left w:w="0" w:type="dxa"/>
                    <w:right w:w="0" w:type="dxa"/>
                  </w:tcMar>
                  <w:vAlign w:val="center"/>
                </w:tcPr>
                <w:p w14:paraId="1319B12E">
                  <w:pPr>
                    <w:pStyle w:val="64"/>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1383" w:type="pct"/>
                  <w:gridSpan w:val="2"/>
                  <w:noWrap w:val="0"/>
                  <w:tcMar>
                    <w:left w:w="0" w:type="dxa"/>
                    <w:right w:w="0" w:type="dxa"/>
                  </w:tcMar>
                  <w:vAlign w:val="center"/>
                </w:tcPr>
                <w:p w14:paraId="09F1DC71">
                  <w:pPr>
                    <w:pStyle w:val="64"/>
                    <w:rPr>
                      <w:rFonts w:ascii="Times New Roman" w:hAnsi="Times New Roman" w:eastAsia="宋体" w:cs="Times New Roman"/>
                      <w:sz w:val="21"/>
                      <w:szCs w:val="21"/>
                    </w:rPr>
                  </w:pPr>
                  <w:r>
                    <w:rPr>
                      <w:rFonts w:ascii="Times New Roman" w:hAnsi="Times New Roman" w:eastAsia="宋体" w:cs="Times New Roman"/>
                      <w:sz w:val="21"/>
                      <w:szCs w:val="21"/>
                    </w:rPr>
                    <w:t>理论空气量（m</w:t>
                  </w:r>
                  <w:r>
                    <w:rPr>
                      <w:rFonts w:ascii="Times New Roman" w:hAnsi="Times New Roman" w:eastAsia="宋体" w:cs="Times New Roman"/>
                      <w:sz w:val="21"/>
                      <w:szCs w:val="21"/>
                      <w:vertAlign w:val="superscript"/>
                    </w:rPr>
                    <w:t>3</w:t>
                  </w:r>
                  <w:r>
                    <w:rPr>
                      <w:rFonts w:ascii="Times New Roman" w:hAnsi="Times New Roman" w:eastAsia="宋体" w:cs="Times New Roman"/>
                      <w:sz w:val="21"/>
                      <w:szCs w:val="21"/>
                    </w:rPr>
                    <w:t>/m</w:t>
                  </w:r>
                  <w:r>
                    <w:rPr>
                      <w:rFonts w:ascii="Times New Roman" w:hAnsi="Times New Roman" w:eastAsia="宋体" w:cs="Times New Roman"/>
                      <w:sz w:val="21"/>
                      <w:szCs w:val="21"/>
                      <w:vertAlign w:val="superscript"/>
                    </w:rPr>
                    <w:t>3</w:t>
                  </w:r>
                  <w:r>
                    <w:rPr>
                      <w:rFonts w:ascii="Times New Roman" w:hAnsi="Times New Roman" w:eastAsia="宋体" w:cs="Times New Roman"/>
                      <w:sz w:val="21"/>
                      <w:szCs w:val="21"/>
                    </w:rPr>
                    <w:t>）</w:t>
                  </w:r>
                </w:p>
              </w:tc>
              <w:tc>
                <w:tcPr>
                  <w:tcW w:w="3319" w:type="pct"/>
                  <w:noWrap w:val="0"/>
                  <w:tcMar>
                    <w:left w:w="0" w:type="dxa"/>
                    <w:right w:w="0" w:type="dxa"/>
                  </w:tcMar>
                  <w:vAlign w:val="center"/>
                </w:tcPr>
                <w:p w14:paraId="1519E853">
                  <w:pPr>
                    <w:pStyle w:val="64"/>
                    <w:rPr>
                      <w:rFonts w:ascii="Times New Roman" w:hAnsi="Times New Roman" w:eastAsia="宋体" w:cs="Times New Roman"/>
                      <w:sz w:val="21"/>
                      <w:szCs w:val="21"/>
                    </w:rPr>
                  </w:pPr>
                  <w:r>
                    <w:rPr>
                      <w:rFonts w:ascii="Times New Roman" w:hAnsi="Times New Roman" w:eastAsia="宋体" w:cs="Times New Roman"/>
                      <w:sz w:val="21"/>
                      <w:szCs w:val="21"/>
                    </w:rPr>
                    <w:t>5.71</w:t>
                  </w:r>
                </w:p>
              </w:tc>
            </w:tr>
            <w:tr w14:paraId="56CF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6" w:type="pct"/>
                  <w:vMerge w:val="restart"/>
                  <w:noWrap w:val="0"/>
                  <w:tcMar>
                    <w:left w:w="0" w:type="dxa"/>
                    <w:right w:w="0" w:type="dxa"/>
                  </w:tcMar>
                  <w:vAlign w:val="center"/>
                </w:tcPr>
                <w:p w14:paraId="3232D616">
                  <w:pPr>
                    <w:pStyle w:val="64"/>
                    <w:rPr>
                      <w:rFonts w:ascii="Times New Roman" w:hAnsi="Times New Roman" w:eastAsia="宋体" w:cs="Times New Roman"/>
                      <w:sz w:val="21"/>
                      <w:szCs w:val="21"/>
                    </w:rPr>
                  </w:pPr>
                  <w:r>
                    <w:rPr>
                      <w:rFonts w:ascii="Times New Roman" w:hAnsi="Times New Roman" w:eastAsia="宋体" w:cs="Times New Roman"/>
                      <w:sz w:val="21"/>
                      <w:szCs w:val="21"/>
                    </w:rPr>
                    <w:t>5</w:t>
                  </w:r>
                </w:p>
              </w:tc>
              <w:tc>
                <w:tcPr>
                  <w:tcW w:w="1066" w:type="pct"/>
                  <w:vMerge w:val="restart"/>
                  <w:noWrap w:val="0"/>
                  <w:tcMar>
                    <w:left w:w="0" w:type="dxa"/>
                    <w:right w:w="0" w:type="dxa"/>
                  </w:tcMar>
                  <w:vAlign w:val="center"/>
                </w:tcPr>
                <w:p w14:paraId="4433932B">
                  <w:pPr>
                    <w:pStyle w:val="64"/>
                    <w:rPr>
                      <w:rFonts w:ascii="Times New Roman" w:hAnsi="Times New Roman" w:eastAsia="宋体" w:cs="Times New Roman"/>
                      <w:sz w:val="21"/>
                      <w:szCs w:val="21"/>
                    </w:rPr>
                  </w:pPr>
                  <w:r>
                    <w:rPr>
                      <w:rFonts w:ascii="Times New Roman" w:hAnsi="Times New Roman" w:eastAsia="宋体" w:cs="Times New Roman"/>
                      <w:sz w:val="21"/>
                      <w:szCs w:val="21"/>
                    </w:rPr>
                    <w:t>爆炸极限（%）</w:t>
                  </w:r>
                </w:p>
              </w:tc>
              <w:tc>
                <w:tcPr>
                  <w:tcW w:w="317" w:type="pct"/>
                  <w:noWrap w:val="0"/>
                  <w:tcMar>
                    <w:left w:w="0" w:type="dxa"/>
                    <w:right w:w="0" w:type="dxa"/>
                  </w:tcMar>
                  <w:vAlign w:val="center"/>
                </w:tcPr>
                <w:p w14:paraId="501BA016">
                  <w:pPr>
                    <w:pStyle w:val="64"/>
                    <w:rPr>
                      <w:rFonts w:ascii="Times New Roman" w:hAnsi="Times New Roman" w:eastAsia="宋体" w:cs="Times New Roman"/>
                      <w:sz w:val="21"/>
                      <w:szCs w:val="21"/>
                    </w:rPr>
                  </w:pPr>
                  <w:r>
                    <w:rPr>
                      <w:rFonts w:ascii="Times New Roman" w:hAnsi="Times New Roman" w:eastAsia="宋体" w:cs="Times New Roman"/>
                      <w:sz w:val="21"/>
                      <w:szCs w:val="21"/>
                    </w:rPr>
                    <w:t>上限</w:t>
                  </w:r>
                </w:p>
              </w:tc>
              <w:tc>
                <w:tcPr>
                  <w:tcW w:w="3319" w:type="pct"/>
                  <w:noWrap w:val="0"/>
                  <w:tcMar>
                    <w:left w:w="0" w:type="dxa"/>
                    <w:right w:w="0" w:type="dxa"/>
                  </w:tcMar>
                  <w:vAlign w:val="center"/>
                </w:tcPr>
                <w:p w14:paraId="350C76CD">
                  <w:pPr>
                    <w:pStyle w:val="64"/>
                    <w:rPr>
                      <w:rFonts w:ascii="Times New Roman" w:hAnsi="Times New Roman" w:eastAsia="宋体" w:cs="Times New Roman"/>
                      <w:sz w:val="21"/>
                      <w:szCs w:val="21"/>
                    </w:rPr>
                  </w:pPr>
                  <w:r>
                    <w:rPr>
                      <w:rFonts w:ascii="Times New Roman" w:hAnsi="Times New Roman" w:eastAsia="宋体" w:cs="Times New Roman"/>
                      <w:sz w:val="21"/>
                      <w:szCs w:val="21"/>
                    </w:rPr>
                    <w:t>24.44</w:t>
                  </w:r>
                </w:p>
              </w:tc>
            </w:tr>
            <w:tr w14:paraId="587E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6" w:type="pct"/>
                  <w:vMerge w:val="continue"/>
                  <w:noWrap w:val="0"/>
                  <w:tcMar>
                    <w:left w:w="0" w:type="dxa"/>
                    <w:right w:w="0" w:type="dxa"/>
                  </w:tcMar>
                  <w:vAlign w:val="center"/>
                </w:tcPr>
                <w:p w14:paraId="7AEACDFD">
                  <w:pPr>
                    <w:pStyle w:val="64"/>
                    <w:rPr>
                      <w:rFonts w:ascii="Times New Roman" w:hAnsi="Times New Roman" w:eastAsia="宋体" w:cs="Times New Roman"/>
                      <w:sz w:val="21"/>
                      <w:szCs w:val="21"/>
                    </w:rPr>
                  </w:pPr>
                </w:p>
              </w:tc>
              <w:tc>
                <w:tcPr>
                  <w:tcW w:w="1066" w:type="pct"/>
                  <w:vMerge w:val="continue"/>
                  <w:noWrap w:val="0"/>
                  <w:tcMar>
                    <w:left w:w="0" w:type="dxa"/>
                    <w:right w:w="0" w:type="dxa"/>
                  </w:tcMar>
                  <w:vAlign w:val="center"/>
                </w:tcPr>
                <w:p w14:paraId="495EE226">
                  <w:pPr>
                    <w:pStyle w:val="64"/>
                    <w:rPr>
                      <w:rFonts w:ascii="Times New Roman" w:hAnsi="Times New Roman" w:eastAsia="宋体" w:cs="Times New Roman"/>
                      <w:sz w:val="21"/>
                      <w:szCs w:val="21"/>
                    </w:rPr>
                  </w:pPr>
                </w:p>
              </w:tc>
              <w:tc>
                <w:tcPr>
                  <w:tcW w:w="317" w:type="pct"/>
                  <w:noWrap w:val="0"/>
                  <w:tcMar>
                    <w:left w:w="0" w:type="dxa"/>
                    <w:right w:w="0" w:type="dxa"/>
                  </w:tcMar>
                  <w:vAlign w:val="center"/>
                </w:tcPr>
                <w:p w14:paraId="06F9CDA6">
                  <w:pPr>
                    <w:pStyle w:val="64"/>
                    <w:rPr>
                      <w:rFonts w:ascii="Times New Roman" w:hAnsi="Times New Roman" w:eastAsia="宋体" w:cs="Times New Roman"/>
                      <w:sz w:val="21"/>
                      <w:szCs w:val="21"/>
                    </w:rPr>
                  </w:pPr>
                  <w:r>
                    <w:rPr>
                      <w:rFonts w:ascii="Times New Roman" w:hAnsi="Times New Roman" w:eastAsia="宋体" w:cs="Times New Roman"/>
                      <w:sz w:val="21"/>
                      <w:szCs w:val="21"/>
                    </w:rPr>
                    <w:t>下限</w:t>
                  </w:r>
                </w:p>
              </w:tc>
              <w:tc>
                <w:tcPr>
                  <w:tcW w:w="3319" w:type="pct"/>
                  <w:noWrap w:val="0"/>
                  <w:tcMar>
                    <w:left w:w="0" w:type="dxa"/>
                    <w:right w:w="0" w:type="dxa"/>
                  </w:tcMar>
                  <w:vAlign w:val="center"/>
                </w:tcPr>
                <w:p w14:paraId="55DD9877">
                  <w:pPr>
                    <w:pStyle w:val="64"/>
                    <w:rPr>
                      <w:rFonts w:ascii="Times New Roman" w:hAnsi="Times New Roman" w:eastAsia="宋体" w:cs="Times New Roman"/>
                      <w:sz w:val="21"/>
                      <w:szCs w:val="21"/>
                    </w:rPr>
                  </w:pPr>
                  <w:r>
                    <w:rPr>
                      <w:rFonts w:ascii="Times New Roman" w:hAnsi="Times New Roman" w:eastAsia="宋体" w:cs="Times New Roman"/>
                      <w:sz w:val="21"/>
                      <w:szCs w:val="21"/>
                    </w:rPr>
                    <w:t>8.8</w:t>
                  </w:r>
                </w:p>
              </w:tc>
            </w:tr>
            <w:tr w14:paraId="5B07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6" w:type="pct"/>
                  <w:noWrap w:val="0"/>
                  <w:tcMar>
                    <w:left w:w="0" w:type="dxa"/>
                    <w:right w:w="0" w:type="dxa"/>
                  </w:tcMar>
                  <w:vAlign w:val="center"/>
                </w:tcPr>
                <w:p w14:paraId="68F4AA0C">
                  <w:pPr>
                    <w:pStyle w:val="64"/>
                    <w:rPr>
                      <w:rFonts w:ascii="Times New Roman" w:hAnsi="Times New Roman" w:eastAsia="宋体" w:cs="Times New Roman"/>
                      <w:sz w:val="21"/>
                      <w:szCs w:val="21"/>
                    </w:rPr>
                  </w:pPr>
                  <w:r>
                    <w:rPr>
                      <w:rFonts w:ascii="Times New Roman" w:hAnsi="Times New Roman" w:eastAsia="宋体" w:cs="Times New Roman"/>
                      <w:sz w:val="21"/>
                      <w:szCs w:val="21"/>
                    </w:rPr>
                    <w:t>6</w:t>
                  </w:r>
                </w:p>
              </w:tc>
              <w:tc>
                <w:tcPr>
                  <w:tcW w:w="1383" w:type="pct"/>
                  <w:gridSpan w:val="2"/>
                  <w:noWrap w:val="0"/>
                  <w:tcMar>
                    <w:left w:w="0" w:type="dxa"/>
                    <w:right w:w="0" w:type="dxa"/>
                  </w:tcMar>
                  <w:vAlign w:val="center"/>
                </w:tcPr>
                <w:p w14:paraId="5F8A6D21">
                  <w:pPr>
                    <w:pStyle w:val="64"/>
                    <w:rPr>
                      <w:rFonts w:ascii="Times New Roman" w:hAnsi="Times New Roman" w:eastAsia="宋体" w:cs="Times New Roman"/>
                      <w:sz w:val="21"/>
                      <w:szCs w:val="21"/>
                    </w:rPr>
                  </w:pPr>
                  <w:r>
                    <w:rPr>
                      <w:rFonts w:ascii="Times New Roman" w:hAnsi="Times New Roman" w:eastAsia="宋体" w:cs="Times New Roman"/>
                      <w:sz w:val="21"/>
                      <w:szCs w:val="21"/>
                    </w:rPr>
                    <w:t>理论烟气量（m</w:t>
                  </w:r>
                  <w:r>
                    <w:rPr>
                      <w:rFonts w:ascii="Times New Roman" w:hAnsi="Times New Roman" w:eastAsia="宋体" w:cs="Times New Roman"/>
                      <w:sz w:val="21"/>
                      <w:szCs w:val="21"/>
                      <w:vertAlign w:val="superscript"/>
                    </w:rPr>
                    <w:t>3</w:t>
                  </w:r>
                  <w:r>
                    <w:rPr>
                      <w:rFonts w:ascii="Times New Roman" w:hAnsi="Times New Roman" w:eastAsia="宋体" w:cs="Times New Roman"/>
                      <w:sz w:val="21"/>
                      <w:szCs w:val="21"/>
                    </w:rPr>
                    <w:t>/m</w:t>
                  </w:r>
                  <w:r>
                    <w:rPr>
                      <w:rFonts w:ascii="Times New Roman" w:hAnsi="Times New Roman" w:eastAsia="宋体" w:cs="Times New Roman"/>
                      <w:sz w:val="21"/>
                      <w:szCs w:val="21"/>
                      <w:vertAlign w:val="superscript"/>
                    </w:rPr>
                    <w:t>3</w:t>
                  </w:r>
                  <w:r>
                    <w:rPr>
                      <w:rFonts w:ascii="Times New Roman" w:hAnsi="Times New Roman" w:eastAsia="宋体" w:cs="Times New Roman"/>
                      <w:sz w:val="21"/>
                      <w:szCs w:val="21"/>
                    </w:rPr>
                    <w:t>）</w:t>
                  </w:r>
                </w:p>
              </w:tc>
              <w:tc>
                <w:tcPr>
                  <w:tcW w:w="3319" w:type="pct"/>
                  <w:noWrap w:val="0"/>
                  <w:tcMar>
                    <w:left w:w="0" w:type="dxa"/>
                    <w:right w:w="0" w:type="dxa"/>
                  </w:tcMar>
                  <w:vAlign w:val="center"/>
                </w:tcPr>
                <w:p w14:paraId="3F7EA3D4">
                  <w:pPr>
                    <w:pStyle w:val="64"/>
                    <w:rPr>
                      <w:rFonts w:ascii="Times New Roman" w:hAnsi="Times New Roman" w:eastAsia="宋体" w:cs="Times New Roman"/>
                      <w:sz w:val="21"/>
                      <w:szCs w:val="21"/>
                    </w:rPr>
                  </w:pPr>
                  <w:r>
                    <w:rPr>
                      <w:rFonts w:ascii="Times New Roman" w:hAnsi="Times New Roman" w:eastAsia="宋体" w:cs="Times New Roman"/>
                      <w:sz w:val="21"/>
                      <w:szCs w:val="21"/>
                    </w:rPr>
                    <w:t>8.914</w:t>
                  </w:r>
                </w:p>
              </w:tc>
            </w:tr>
            <w:tr w14:paraId="37EC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6" w:type="pct"/>
                  <w:noWrap w:val="0"/>
                  <w:tcMar>
                    <w:left w:w="0" w:type="dxa"/>
                    <w:right w:w="0" w:type="dxa"/>
                  </w:tcMar>
                  <w:vAlign w:val="center"/>
                </w:tcPr>
                <w:p w14:paraId="1D37EC34">
                  <w:pPr>
                    <w:pStyle w:val="64"/>
                    <w:rPr>
                      <w:rFonts w:ascii="Times New Roman" w:hAnsi="Times New Roman" w:eastAsia="宋体" w:cs="Times New Roman"/>
                      <w:sz w:val="21"/>
                      <w:szCs w:val="21"/>
                    </w:rPr>
                  </w:pPr>
                  <w:r>
                    <w:rPr>
                      <w:rFonts w:ascii="Times New Roman" w:hAnsi="Times New Roman" w:eastAsia="宋体" w:cs="Times New Roman"/>
                      <w:sz w:val="21"/>
                      <w:szCs w:val="21"/>
                    </w:rPr>
                    <w:t>7</w:t>
                  </w:r>
                </w:p>
              </w:tc>
              <w:tc>
                <w:tcPr>
                  <w:tcW w:w="1383" w:type="pct"/>
                  <w:gridSpan w:val="2"/>
                  <w:noWrap w:val="0"/>
                  <w:tcMar>
                    <w:left w:w="0" w:type="dxa"/>
                    <w:right w:w="0" w:type="dxa"/>
                  </w:tcMar>
                  <w:vAlign w:val="center"/>
                </w:tcPr>
                <w:p w14:paraId="736A0964">
                  <w:pPr>
                    <w:pStyle w:val="64"/>
                    <w:rPr>
                      <w:rFonts w:ascii="Times New Roman" w:hAnsi="Times New Roman" w:eastAsia="宋体" w:cs="Times New Roman"/>
                      <w:sz w:val="21"/>
                      <w:szCs w:val="21"/>
                    </w:rPr>
                  </w:pPr>
                  <w:r>
                    <w:rPr>
                      <w:rFonts w:ascii="Times New Roman" w:hAnsi="Times New Roman" w:eastAsia="宋体" w:cs="Times New Roman"/>
                      <w:sz w:val="21"/>
                      <w:szCs w:val="21"/>
                    </w:rPr>
                    <w:t>火焰传播速度（m/s）</w:t>
                  </w:r>
                </w:p>
              </w:tc>
              <w:tc>
                <w:tcPr>
                  <w:tcW w:w="3319" w:type="pct"/>
                  <w:noWrap w:val="0"/>
                  <w:tcMar>
                    <w:left w:w="0" w:type="dxa"/>
                    <w:right w:w="0" w:type="dxa"/>
                  </w:tcMar>
                  <w:vAlign w:val="center"/>
                </w:tcPr>
                <w:p w14:paraId="3C459DA0">
                  <w:pPr>
                    <w:pStyle w:val="64"/>
                    <w:rPr>
                      <w:rFonts w:ascii="Times New Roman" w:hAnsi="Times New Roman" w:eastAsia="宋体" w:cs="Times New Roman"/>
                      <w:sz w:val="21"/>
                      <w:szCs w:val="21"/>
                    </w:rPr>
                  </w:pPr>
                  <w:r>
                    <w:rPr>
                      <w:rFonts w:ascii="Times New Roman" w:hAnsi="Times New Roman" w:eastAsia="宋体" w:cs="Times New Roman"/>
                      <w:sz w:val="21"/>
                      <w:szCs w:val="21"/>
                    </w:rPr>
                    <w:t>0.198</w:t>
                  </w:r>
                </w:p>
              </w:tc>
            </w:tr>
          </w:tbl>
          <w:p w14:paraId="1A624735">
            <w:pPr>
              <w:autoSpaceDE/>
              <w:autoSpaceDN/>
              <w:spacing w:line="360" w:lineRule="auto"/>
              <w:ind w:firstLine="480" w:firstLineChars="200"/>
              <w:jc w:val="both"/>
              <w:rPr>
                <w:rFonts w:ascii="Times New Roman" w:hAnsi="Times New Roman" w:cs="Times New Roman"/>
                <w:sz w:val="24"/>
                <w:szCs w:val="24"/>
                <w:lang w:val="en-US" w:bidi="ar-SA"/>
              </w:rPr>
            </w:pPr>
            <w:r>
              <w:rPr>
                <w:rFonts w:hint="default" w:ascii="Times New Roman" w:hAnsi="Times New Roman" w:cs="Times New Roman"/>
                <w:color w:val="000000"/>
                <w:sz w:val="24"/>
                <w:szCs w:val="24"/>
                <w:highlight w:val="none"/>
                <w:u w:val="single"/>
              </w:rPr>
              <w:t>甲烷属于清洁能源，燃烧后产生水和二氧化碳，对大气环境影响很小</w:t>
            </w:r>
            <w:r>
              <w:rPr>
                <w:rFonts w:hint="default" w:ascii="Times New Roman" w:hAnsi="Times New Roman" w:cs="Times New Roman"/>
                <w:color w:val="000000"/>
                <w:sz w:val="24"/>
                <w:szCs w:val="24"/>
                <w:highlight w:val="none"/>
                <w:u w:val="single"/>
                <w:lang w:eastAsia="zh-CN"/>
              </w:rPr>
              <w:t>。</w:t>
            </w:r>
            <w:r>
              <w:rPr>
                <w:rFonts w:hint="default" w:ascii="Times New Roman" w:hAnsi="Times New Roman" w:cs="Times New Roman"/>
                <w:color w:val="000000"/>
                <w:sz w:val="24"/>
                <w:szCs w:val="24"/>
                <w:highlight w:val="none"/>
                <w:u w:val="single"/>
                <w:lang w:val="en-US" w:eastAsia="zh-CN"/>
              </w:rPr>
              <w:t>甲烷进入锅炉</w:t>
            </w:r>
            <w:r>
              <w:rPr>
                <w:rFonts w:hint="default" w:ascii="Times New Roman" w:hAnsi="Times New Roman" w:cs="Times New Roman"/>
                <w:color w:val="000000"/>
                <w:sz w:val="24"/>
                <w:szCs w:val="24"/>
                <w:u w:val="single"/>
                <w:lang w:val="en-US" w:eastAsia="zh-CN"/>
              </w:rPr>
              <w:t>末端燃烧时占空气的体积比约0.014%，而甲烷的爆炸极限为</w:t>
            </w:r>
            <w:r>
              <w:rPr>
                <w:rFonts w:hint="eastAsia" w:ascii="Times New Roman" w:hAnsi="Times New Roman" w:cs="Times New Roman"/>
                <w:color w:val="000000"/>
                <w:sz w:val="24"/>
                <w:szCs w:val="24"/>
                <w:u w:val="single"/>
                <w:lang w:val="en-US" w:eastAsia="zh-CN"/>
              </w:rPr>
              <w:t>8.8</w:t>
            </w:r>
            <w:r>
              <w:rPr>
                <w:rFonts w:hint="default" w:ascii="Times New Roman" w:hAnsi="Times New Roman" w:cs="Times New Roman"/>
                <w:color w:val="000000"/>
                <w:sz w:val="24"/>
                <w:szCs w:val="24"/>
                <w:u w:val="single"/>
                <w:lang w:val="en-US" w:eastAsia="zh-CN"/>
              </w:rPr>
              <w:t>%~</w:t>
            </w:r>
            <w:r>
              <w:rPr>
                <w:rFonts w:hint="eastAsia" w:ascii="Times New Roman" w:hAnsi="Times New Roman" w:cs="Times New Roman"/>
                <w:color w:val="000000"/>
                <w:sz w:val="24"/>
                <w:szCs w:val="24"/>
                <w:u w:val="single"/>
                <w:lang w:val="en-US" w:eastAsia="zh-CN"/>
              </w:rPr>
              <w:t>24.44</w:t>
            </w:r>
            <w:r>
              <w:rPr>
                <w:rFonts w:hint="default" w:ascii="Times New Roman" w:hAnsi="Times New Roman" w:cs="Times New Roman"/>
                <w:color w:val="000000"/>
                <w:sz w:val="24"/>
                <w:szCs w:val="24"/>
                <w:u w:val="single"/>
                <w:lang w:val="en-US" w:eastAsia="zh-CN"/>
              </w:rPr>
              <w:t>%，因此不会发生爆炸风险。此外，由于厌氧池沼气和恶臭产生量较少，不需要进行脱硫脱硝净化处理，</w:t>
            </w:r>
            <w:r>
              <w:rPr>
                <w:rFonts w:hint="default" w:ascii="Times New Roman" w:hAnsi="Times New Roman" w:cs="Times New Roman"/>
                <w:color w:val="auto"/>
                <w:kern w:val="0"/>
                <w:sz w:val="24"/>
                <w:szCs w:val="24"/>
                <w:highlight w:val="none"/>
                <w:u w:val="single"/>
              </w:rPr>
              <w:t>根据《畜禽养殖业污染防治技术政策》（环法[2010]151号）中有关规定，</w:t>
            </w:r>
            <w:r>
              <w:rPr>
                <w:rFonts w:hint="eastAsia" w:ascii="Times New Roman" w:hAnsi="Times New Roman" w:cs="Times New Roman"/>
                <w:color w:val="000000"/>
                <w:sz w:val="24"/>
                <w:szCs w:val="24"/>
                <w:u w:val="single"/>
                <w:lang w:val="en-US" w:eastAsia="zh-CN"/>
              </w:rPr>
              <w:t>沼气可作为燃料燃烧，</w:t>
            </w:r>
            <w:r>
              <w:rPr>
                <w:rFonts w:hint="default" w:ascii="Times New Roman" w:hAnsi="Times New Roman" w:cs="Times New Roman"/>
                <w:color w:val="auto"/>
                <w:kern w:val="0"/>
                <w:sz w:val="24"/>
                <w:szCs w:val="24"/>
                <w:highlight w:val="none"/>
                <w:u w:val="single"/>
              </w:rPr>
              <w:t>沼气宜作为燃料直接利用。</w:t>
            </w:r>
            <w:r>
              <w:rPr>
                <w:rFonts w:hint="eastAsia" w:ascii="Times New Roman" w:hAnsi="Times New Roman" w:cs="Times New Roman"/>
                <w:color w:val="000000"/>
                <w:sz w:val="24"/>
                <w:szCs w:val="24"/>
                <w:u w:val="single"/>
                <w:lang w:val="en-US" w:eastAsia="zh-CN"/>
              </w:rPr>
              <w:t>本次</w:t>
            </w:r>
            <w:r>
              <w:rPr>
                <w:rFonts w:hint="default" w:ascii="Times New Roman" w:hAnsi="Times New Roman" w:cs="Times New Roman"/>
                <w:color w:val="000000"/>
                <w:sz w:val="24"/>
                <w:szCs w:val="24"/>
                <w:u w:val="single"/>
                <w:lang w:val="en-US" w:eastAsia="zh-CN"/>
              </w:rPr>
              <w:t>可直接作为燃料导入锅炉末端燃烧</w:t>
            </w:r>
            <w:r>
              <w:rPr>
                <w:rFonts w:hint="eastAsia" w:ascii="Times New Roman" w:hAnsi="Times New Roman" w:cs="Times New Roman"/>
                <w:sz w:val="24"/>
                <w:szCs w:val="24"/>
                <w:u w:val="single"/>
                <w:lang w:val="en-US" w:bidi="ar-SA"/>
              </w:rPr>
              <w:t>。</w:t>
            </w:r>
          </w:p>
          <w:p w14:paraId="6BA02153">
            <w:pPr>
              <w:pStyle w:val="6"/>
              <w:numPr>
                <w:ilvl w:val="3"/>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4.5.1.6、</w:t>
            </w:r>
            <w:r>
              <w:rPr>
                <w:rFonts w:hint="eastAsia"/>
                <w:lang w:eastAsia="zh-CN"/>
              </w:rPr>
              <w:t>食堂油烟</w:t>
            </w:r>
          </w:p>
          <w:p w14:paraId="6BACF8E2">
            <w:pPr>
              <w:bidi w:val="0"/>
              <w:rPr>
                <w:rFonts w:hint="eastAsia"/>
                <w:lang w:val="en-US" w:eastAsia="zh-CN"/>
              </w:rPr>
            </w:pPr>
            <w:r>
              <w:rPr>
                <w:rFonts w:hint="eastAsia"/>
                <w:lang w:val="en-US" w:eastAsia="zh-CN"/>
              </w:rPr>
              <w:t>本项目办公楼设置食堂，使用液化石油气，食堂产生的废气包括餐饮油烟和燃烧废气。</w:t>
            </w:r>
          </w:p>
          <w:p w14:paraId="481DBC83">
            <w:pPr>
              <w:bidi w:val="0"/>
              <w:rPr>
                <w:rFonts w:hint="eastAsia"/>
                <w:lang w:val="en-US" w:eastAsia="zh-CN"/>
              </w:rPr>
            </w:pPr>
            <w:r>
              <w:rPr>
                <w:rFonts w:hint="eastAsia"/>
                <w:lang w:val="en-US" w:eastAsia="zh-CN"/>
              </w:rPr>
              <w:t>项目食堂采用液化石油气作燃料，液化石油气属清洁能源，其燃烧产生废气对环境影响较小，项目新增员工20人，食用油用量平均按0.03kg/人·天计，食堂烹调过程中平均挥发量为总耗油量的2.83%，则食堂新增油烟废气量为0.0051t/a。食堂油烟使用油烟净化器，食堂油烟径集气罩收集，引至油烟净化器处理后引至房顶排放，风机风量按3500m</w:t>
            </w:r>
            <w:r>
              <w:rPr>
                <w:rFonts w:hint="eastAsia"/>
                <w:vertAlign w:val="superscript"/>
                <w:lang w:val="en-US" w:eastAsia="zh-CN"/>
              </w:rPr>
              <w:t>3</w:t>
            </w:r>
            <w:r>
              <w:rPr>
                <w:rFonts w:hint="eastAsia"/>
                <w:lang w:val="en-US" w:eastAsia="zh-CN"/>
              </w:rPr>
              <w:t>/h计。食堂每天工作5h，则油烟产生浓度为0.97mg/m</w:t>
            </w:r>
            <w:r>
              <w:rPr>
                <w:rFonts w:hint="eastAsia"/>
                <w:vertAlign w:val="superscript"/>
                <w:lang w:val="en-US" w:eastAsia="zh-CN"/>
              </w:rPr>
              <w:t>3</w:t>
            </w:r>
            <w:r>
              <w:rPr>
                <w:rFonts w:hint="eastAsia"/>
                <w:lang w:val="en-US" w:eastAsia="zh-CN"/>
              </w:rPr>
              <w:t>，食堂油烟经油烟净化装置（处理效率按95%计）处理后排放量为0.000255t/a，排放浓度0.049mg/m</w:t>
            </w:r>
            <w:r>
              <w:rPr>
                <w:rFonts w:hint="eastAsia"/>
                <w:vertAlign w:val="superscript"/>
                <w:lang w:val="en-US" w:eastAsia="zh-CN"/>
              </w:rPr>
              <w:t>3</w:t>
            </w:r>
            <w:r>
              <w:rPr>
                <w:rFonts w:hint="eastAsia"/>
                <w:lang w:val="en-US" w:eastAsia="zh-CN"/>
              </w:rPr>
              <w:t>。因此，食堂油烟经净化后能够满足《饮食业油烟排放标准》（GB18483-2001）中标准限值要求，对周边环境影响较小。</w:t>
            </w:r>
          </w:p>
          <w:p w14:paraId="34385B2B">
            <w:pPr>
              <w:pStyle w:val="6"/>
              <w:numPr>
                <w:ilvl w:val="3"/>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4.5.1.7、</w:t>
            </w:r>
            <w:r>
              <w:rPr>
                <w:rFonts w:hint="eastAsia"/>
                <w:lang w:eastAsia="zh-CN"/>
              </w:rPr>
              <w:t>项目未收集无组织废气</w:t>
            </w:r>
          </w:p>
          <w:p w14:paraId="6AAD3B47">
            <w:pPr>
              <w:rPr>
                <w:rFonts w:hint="default"/>
                <w:lang w:val="en-US"/>
              </w:rPr>
            </w:pPr>
            <w:r>
              <w:rPr>
                <w:rFonts w:hint="eastAsia"/>
                <w:lang w:eastAsia="zh-CN"/>
              </w:rPr>
              <w:t>本项目无组织排放的废气主要为其他工序(投料、破碎、缓存、油渣分离)废气，经估算可得未收集的非甲烷总烃的排放量为</w:t>
            </w:r>
            <w:r>
              <w:rPr>
                <w:rFonts w:hint="eastAsia"/>
                <w:lang w:val="en-US" w:eastAsia="zh-CN"/>
              </w:rPr>
              <w:t>0.027t/a（0.01125kg/h），</w:t>
            </w:r>
            <w:r>
              <w:rPr>
                <w:rFonts w:hint="eastAsia" w:cs="Times New Roman"/>
                <w:spacing w:val="-2"/>
                <w:sz w:val="24"/>
                <w:highlight w:val="none"/>
                <w:lang w:eastAsia="zh-CN"/>
              </w:rPr>
              <w:t>NH</w:t>
            </w:r>
            <w:r>
              <w:rPr>
                <w:rFonts w:hint="eastAsia" w:cs="Times New Roman"/>
                <w:spacing w:val="-2"/>
                <w:sz w:val="24"/>
                <w:highlight w:val="none"/>
                <w:vertAlign w:val="subscript"/>
                <w:lang w:eastAsia="zh-CN"/>
              </w:rPr>
              <w:t>3</w:t>
            </w:r>
            <w:r>
              <w:rPr>
                <w:rFonts w:hint="eastAsia"/>
                <w:lang w:eastAsia="zh-CN"/>
              </w:rPr>
              <w:t>的排放量为</w:t>
            </w:r>
            <w:r>
              <w:rPr>
                <w:rFonts w:hint="eastAsia"/>
                <w:lang w:val="en-US" w:eastAsia="zh-CN"/>
              </w:rPr>
              <w:t>0.033t/a（0.014kg/h），</w:t>
            </w:r>
            <w:r>
              <w:rPr>
                <w:rFonts w:hint="eastAsia" w:cs="Times New Roman"/>
                <w:spacing w:val="-2"/>
                <w:sz w:val="24"/>
                <w:highlight w:val="none"/>
                <w:lang w:eastAsia="zh-CN"/>
              </w:rPr>
              <w:t>H</w:t>
            </w:r>
            <w:r>
              <w:rPr>
                <w:rFonts w:hint="eastAsia" w:cs="Times New Roman"/>
                <w:spacing w:val="-2"/>
                <w:sz w:val="24"/>
                <w:highlight w:val="none"/>
                <w:vertAlign w:val="subscript"/>
                <w:lang w:val="en-US" w:eastAsia="zh-CN"/>
              </w:rPr>
              <w:t>2</w:t>
            </w:r>
            <w:r>
              <w:rPr>
                <w:rFonts w:hint="eastAsia" w:cs="Times New Roman"/>
                <w:spacing w:val="-2"/>
                <w:sz w:val="24"/>
                <w:highlight w:val="none"/>
                <w:lang w:eastAsia="zh-CN"/>
              </w:rPr>
              <w:t>S</w:t>
            </w:r>
            <w:r>
              <w:rPr>
                <w:rFonts w:hint="eastAsia"/>
                <w:lang w:eastAsia="zh-CN"/>
              </w:rPr>
              <w:t>的排放量为</w:t>
            </w:r>
            <w:r>
              <w:rPr>
                <w:rFonts w:hint="eastAsia"/>
                <w:lang w:val="en-US" w:eastAsia="zh-CN"/>
              </w:rPr>
              <w:t>0.00067t/a（0.00028kg/h）。</w:t>
            </w:r>
          </w:p>
          <w:p w14:paraId="2D023496">
            <w:pPr>
              <w:pStyle w:val="6"/>
              <w:numPr>
                <w:ilvl w:val="3"/>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4.5.1.8、</w:t>
            </w:r>
            <w:r>
              <w:rPr>
                <w:rFonts w:hint="eastAsia"/>
                <w:lang w:eastAsia="zh-CN"/>
              </w:rPr>
              <w:t>废气产排情况一览表</w:t>
            </w:r>
          </w:p>
          <w:p w14:paraId="35AEEDED">
            <w:pPr>
              <w:pStyle w:val="8"/>
              <w:numPr>
                <w:ilvl w:val="5"/>
                <w:numId w:val="0"/>
              </w:numPr>
              <w:bidi w:val="0"/>
              <w:ind w:left="0" w:leftChars="0" w:firstLine="480" w:firstLineChars="200"/>
              <w:rPr>
                <w:sz w:val="24"/>
                <w:szCs w:val="24"/>
              </w:rPr>
            </w:pPr>
            <w:r>
              <w:rPr>
                <w:rFonts w:hint="default" w:ascii="Times New Roman" w:hAnsi="Times New Roman" w:eastAsia="宋体" w:cs="Times New Roman"/>
                <w:b/>
                <w:i w:val="0"/>
                <w:color w:val="auto"/>
                <w:kern w:val="2"/>
                <w:sz w:val="24"/>
                <w:szCs w:val="24"/>
                <w:shd w:val="clear" w:fill="FFFFFF"/>
                <w:lang w:val="en-US" w:eastAsia="zh-CN" w:bidi="ar-SA"/>
              </w:rPr>
              <w:t>表4-6</w:t>
            </w:r>
            <w:r>
              <w:rPr>
                <w:rFonts w:hint="eastAsia"/>
                <w:b/>
                <w:spacing w:val="-2"/>
                <w:sz w:val="24"/>
                <w:szCs w:val="24"/>
                <w:lang w:eastAsia="zh-CN"/>
              </w:rPr>
              <w:t>本项目新增</w:t>
            </w:r>
            <w:r>
              <w:rPr>
                <w:b/>
                <w:spacing w:val="-2"/>
                <w:sz w:val="24"/>
                <w:szCs w:val="24"/>
              </w:rPr>
              <w:t>废气产排污节点、污染物信息</w:t>
            </w:r>
            <w:r>
              <w:rPr>
                <w:b/>
                <w:spacing w:val="-10"/>
                <w:sz w:val="24"/>
                <w:szCs w:val="24"/>
              </w:rPr>
              <w:t>表</w:t>
            </w:r>
          </w:p>
          <w:tbl>
            <w:tblPr>
              <w:tblStyle w:val="26"/>
              <w:tblpPr w:leftFromText="180" w:rightFromText="180" w:vertAnchor="text" w:horzAnchor="page" w:tblpX="125"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905"/>
              <w:gridCol w:w="625"/>
              <w:gridCol w:w="1066"/>
              <w:gridCol w:w="1061"/>
              <w:gridCol w:w="926"/>
              <w:gridCol w:w="482"/>
              <w:gridCol w:w="1069"/>
              <w:gridCol w:w="1062"/>
              <w:gridCol w:w="966"/>
            </w:tblGrid>
            <w:tr w14:paraId="5A33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Align w:val="center"/>
                </w:tcPr>
                <w:p w14:paraId="082317FA">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t>序号</w:t>
                  </w:r>
                </w:p>
              </w:tc>
              <w:tc>
                <w:tcPr>
                  <w:tcW w:w="905" w:type="dxa"/>
                  <w:vAlign w:val="center"/>
                </w:tcPr>
                <w:p w14:paraId="2444CCA3">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t>产污环节</w:t>
                  </w:r>
                </w:p>
              </w:tc>
              <w:tc>
                <w:tcPr>
                  <w:tcW w:w="625" w:type="dxa"/>
                  <w:vAlign w:val="center"/>
                </w:tcPr>
                <w:p w14:paraId="662F9300">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t>污染物种类</w:t>
                  </w:r>
                </w:p>
              </w:tc>
              <w:tc>
                <w:tcPr>
                  <w:tcW w:w="1066" w:type="dxa"/>
                  <w:vAlign w:val="center"/>
                </w:tcPr>
                <w:p w14:paraId="12B0C55B">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t>污染物产生量t/a</w:t>
                  </w:r>
                </w:p>
              </w:tc>
              <w:tc>
                <w:tcPr>
                  <w:tcW w:w="1061" w:type="dxa"/>
                  <w:vAlign w:val="center"/>
                </w:tcPr>
                <w:p w14:paraId="1CA0D80D">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rPr>
                      <w:rFonts w:hint="eastAsia" w:eastAsia="宋体"/>
                      <w:lang w:eastAsia="zh-CN"/>
                    </w:rPr>
                  </w:pPr>
                  <w:r>
                    <w:t>污染物</w:t>
                  </w:r>
                  <w:r>
                    <w:rPr>
                      <w:rFonts w:hint="eastAsia"/>
                      <w:lang w:eastAsia="zh-CN"/>
                    </w:rPr>
                    <w:t>产生速率</w:t>
                  </w:r>
                </w:p>
                <w:p w14:paraId="153E368F">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t>kg/h</w:t>
                  </w:r>
                </w:p>
              </w:tc>
              <w:tc>
                <w:tcPr>
                  <w:tcW w:w="926" w:type="dxa"/>
                  <w:vAlign w:val="center"/>
                </w:tcPr>
                <w:p w14:paraId="286CBE70">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t>污染物</w:t>
                  </w:r>
                  <w:r>
                    <w:rPr>
                      <w:rFonts w:hint="eastAsia"/>
                      <w:lang w:eastAsia="zh-CN"/>
                    </w:rPr>
                    <w:t>产生</w:t>
                  </w:r>
                  <w:r>
                    <w:t>浓度mg/m</w:t>
                  </w:r>
                  <w:r>
                    <w:rPr>
                      <w:vertAlign w:val="superscript"/>
                    </w:rPr>
                    <w:t>3</w:t>
                  </w:r>
                </w:p>
              </w:tc>
              <w:tc>
                <w:tcPr>
                  <w:tcW w:w="482" w:type="dxa"/>
                  <w:vAlign w:val="center"/>
                </w:tcPr>
                <w:p w14:paraId="220C4177">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t>排放形式</w:t>
                  </w:r>
                </w:p>
              </w:tc>
              <w:tc>
                <w:tcPr>
                  <w:tcW w:w="1069" w:type="dxa"/>
                  <w:vAlign w:val="center"/>
                </w:tcPr>
                <w:p w14:paraId="387D6512">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t>污染物排放量t/a</w:t>
                  </w:r>
                </w:p>
              </w:tc>
              <w:tc>
                <w:tcPr>
                  <w:tcW w:w="1062" w:type="dxa"/>
                  <w:vAlign w:val="center"/>
                </w:tcPr>
                <w:p w14:paraId="79AC3F78">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t>污染物排放速率</w:t>
                  </w:r>
                </w:p>
                <w:p w14:paraId="340EE02B">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t>kg/h</w:t>
                  </w:r>
                </w:p>
              </w:tc>
              <w:tc>
                <w:tcPr>
                  <w:tcW w:w="966" w:type="dxa"/>
                  <w:vAlign w:val="center"/>
                </w:tcPr>
                <w:p w14:paraId="7D15C5B9">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t>污染物排放浓度</w:t>
                  </w:r>
                </w:p>
                <w:p w14:paraId="6596E8BC">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t>mg/m</w:t>
                  </w:r>
                  <w:r>
                    <w:rPr>
                      <w:vertAlign w:val="superscript"/>
                    </w:rPr>
                    <w:t>3</w:t>
                  </w:r>
                </w:p>
              </w:tc>
            </w:tr>
            <w:tr w14:paraId="2BD2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Merge w:val="restart"/>
                  <w:vAlign w:val="center"/>
                </w:tcPr>
                <w:p w14:paraId="1799F4B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1</w:t>
                  </w:r>
                </w:p>
              </w:tc>
              <w:tc>
                <w:tcPr>
                  <w:tcW w:w="905" w:type="dxa"/>
                  <w:vMerge w:val="restart"/>
                  <w:shd w:val="clear" w:color="auto" w:fill="auto"/>
                  <w:vAlign w:val="center"/>
                </w:tcPr>
                <w:p w14:paraId="42C7B10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spacing w:val="-1"/>
                      <w:sz w:val="21"/>
                      <w:szCs w:val="21"/>
                      <w:lang w:eastAsia="zh-CN"/>
                    </w:rPr>
                    <w:t>生物质锅炉</w:t>
                  </w:r>
                </w:p>
              </w:tc>
              <w:tc>
                <w:tcPr>
                  <w:tcW w:w="625" w:type="dxa"/>
                  <w:vAlign w:val="center"/>
                </w:tcPr>
                <w:p w14:paraId="73D4280A">
                  <w:pPr>
                    <w:pStyle w:val="42"/>
                    <w:bidi w:val="0"/>
                    <w:ind w:firstLine="0" w:firstLineChars="0"/>
                    <w:jc w:val="center"/>
                    <w:rPr>
                      <w:rFonts w:hint="eastAsia" w:eastAsia="宋体"/>
                      <w:lang w:eastAsia="zh-CN"/>
                    </w:rPr>
                  </w:pPr>
                  <w:r>
                    <w:rPr>
                      <w:rFonts w:hint="eastAsia"/>
                      <w:lang w:val="en-US" w:eastAsia="zh-CN"/>
                    </w:rPr>
                    <w:t>SO</w:t>
                  </w:r>
                  <w:r>
                    <w:rPr>
                      <w:rFonts w:hint="eastAsia"/>
                      <w:vertAlign w:val="subscript"/>
                      <w:lang w:val="en-US" w:eastAsia="zh-CN"/>
                    </w:rPr>
                    <w:t>2</w:t>
                  </w:r>
                </w:p>
              </w:tc>
              <w:tc>
                <w:tcPr>
                  <w:tcW w:w="1066" w:type="dxa"/>
                  <w:vAlign w:val="center"/>
                </w:tcPr>
                <w:p w14:paraId="5CCBD8C3">
                  <w:pPr>
                    <w:pStyle w:val="42"/>
                    <w:bidi w:val="0"/>
                    <w:ind w:firstLine="0" w:firstLineChars="0"/>
                    <w:jc w:val="center"/>
                  </w:pPr>
                  <w:r>
                    <w:rPr>
                      <w:rFonts w:hint="eastAsia"/>
                      <w:lang w:val="en-US" w:eastAsia="zh-CN"/>
                    </w:rPr>
                    <w:t>1.224</w:t>
                  </w:r>
                </w:p>
              </w:tc>
              <w:tc>
                <w:tcPr>
                  <w:tcW w:w="1061" w:type="dxa"/>
                  <w:vAlign w:val="center"/>
                </w:tcPr>
                <w:p w14:paraId="471B13C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0.51</w:t>
                  </w:r>
                </w:p>
              </w:tc>
              <w:tc>
                <w:tcPr>
                  <w:tcW w:w="926" w:type="dxa"/>
                  <w:vAlign w:val="center"/>
                </w:tcPr>
                <w:p w14:paraId="0653679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34</w:t>
                  </w:r>
                </w:p>
              </w:tc>
              <w:tc>
                <w:tcPr>
                  <w:tcW w:w="482" w:type="dxa"/>
                  <w:vMerge w:val="restart"/>
                  <w:vAlign w:val="center"/>
                </w:tcPr>
                <w:p w14:paraId="39E80DEE">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rPr>
                      <w:rFonts w:hint="eastAsia" w:eastAsia="宋体"/>
                      <w:lang w:eastAsia="zh-CN"/>
                    </w:rPr>
                  </w:pPr>
                  <w:r>
                    <w:rPr>
                      <w:rFonts w:hint="eastAsia"/>
                      <w:lang w:eastAsia="zh-CN"/>
                    </w:rPr>
                    <w:t>有组织</w:t>
                  </w:r>
                </w:p>
              </w:tc>
              <w:tc>
                <w:tcPr>
                  <w:tcW w:w="1069" w:type="dxa"/>
                  <w:vAlign w:val="center"/>
                </w:tcPr>
                <w:p w14:paraId="73E95BE4">
                  <w:pPr>
                    <w:pStyle w:val="42"/>
                    <w:bidi w:val="0"/>
                    <w:ind w:firstLine="0" w:firstLineChars="0"/>
                    <w:jc w:val="center"/>
                  </w:pPr>
                  <w:r>
                    <w:rPr>
                      <w:rFonts w:hint="eastAsia"/>
                      <w:lang w:val="en-US" w:eastAsia="zh-CN"/>
                    </w:rPr>
                    <w:t>1.224</w:t>
                  </w:r>
                </w:p>
              </w:tc>
              <w:tc>
                <w:tcPr>
                  <w:tcW w:w="1062" w:type="dxa"/>
                  <w:vAlign w:val="center"/>
                </w:tcPr>
                <w:p w14:paraId="52B5CBE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0.51</w:t>
                  </w:r>
                </w:p>
              </w:tc>
              <w:tc>
                <w:tcPr>
                  <w:tcW w:w="966" w:type="dxa"/>
                  <w:vAlign w:val="center"/>
                </w:tcPr>
                <w:p w14:paraId="4F9E869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34</w:t>
                  </w:r>
                </w:p>
              </w:tc>
            </w:tr>
            <w:tr w14:paraId="2CE9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Merge w:val="continue"/>
                  <w:vAlign w:val="center"/>
                </w:tcPr>
                <w:p w14:paraId="2766748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val="en-US" w:eastAsia="zh-CN"/>
                    </w:rPr>
                  </w:pPr>
                </w:p>
              </w:tc>
              <w:tc>
                <w:tcPr>
                  <w:tcW w:w="905" w:type="dxa"/>
                  <w:vMerge w:val="continue"/>
                  <w:shd w:val="clear" w:color="auto" w:fill="auto"/>
                  <w:vAlign w:val="center"/>
                </w:tcPr>
                <w:p w14:paraId="4C28B5D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p>
              </w:tc>
              <w:tc>
                <w:tcPr>
                  <w:tcW w:w="625" w:type="dxa"/>
                  <w:vAlign w:val="center"/>
                </w:tcPr>
                <w:p w14:paraId="7F4537F1">
                  <w:pPr>
                    <w:pStyle w:val="42"/>
                    <w:bidi w:val="0"/>
                    <w:ind w:firstLine="0" w:firstLineChars="0"/>
                    <w:jc w:val="center"/>
                    <w:rPr>
                      <w:rFonts w:hint="eastAsia"/>
                      <w:lang w:eastAsia="zh-CN"/>
                    </w:rPr>
                  </w:pPr>
                  <w:r>
                    <w:rPr>
                      <w:rFonts w:hint="eastAsia"/>
                      <w:lang w:val="en-US" w:eastAsia="zh-CN"/>
                    </w:rPr>
                    <w:t>NOx</w:t>
                  </w:r>
                </w:p>
              </w:tc>
              <w:tc>
                <w:tcPr>
                  <w:tcW w:w="1066" w:type="dxa"/>
                  <w:vAlign w:val="center"/>
                </w:tcPr>
                <w:p w14:paraId="685F3BE7">
                  <w:pPr>
                    <w:pStyle w:val="42"/>
                    <w:bidi w:val="0"/>
                    <w:ind w:firstLine="0" w:firstLineChars="0"/>
                    <w:jc w:val="center"/>
                  </w:pPr>
                  <w:r>
                    <w:rPr>
                      <w:rFonts w:hint="eastAsia"/>
                      <w:lang w:val="en-US" w:eastAsia="zh-CN"/>
                    </w:rPr>
                    <w:t>1.836</w:t>
                  </w:r>
                </w:p>
              </w:tc>
              <w:tc>
                <w:tcPr>
                  <w:tcW w:w="1061" w:type="dxa"/>
                  <w:vAlign w:val="center"/>
                </w:tcPr>
                <w:p w14:paraId="4E57B0D7">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0.765</w:t>
                  </w:r>
                </w:p>
              </w:tc>
              <w:tc>
                <w:tcPr>
                  <w:tcW w:w="926" w:type="dxa"/>
                  <w:vAlign w:val="center"/>
                </w:tcPr>
                <w:p w14:paraId="2707C61B">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51</w:t>
                  </w:r>
                </w:p>
              </w:tc>
              <w:tc>
                <w:tcPr>
                  <w:tcW w:w="482" w:type="dxa"/>
                  <w:vMerge w:val="continue"/>
                  <w:vAlign w:val="center"/>
                </w:tcPr>
                <w:p w14:paraId="32AD750F">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p>
              </w:tc>
              <w:tc>
                <w:tcPr>
                  <w:tcW w:w="1069" w:type="dxa"/>
                  <w:vAlign w:val="center"/>
                </w:tcPr>
                <w:p w14:paraId="1694428F">
                  <w:pPr>
                    <w:pStyle w:val="42"/>
                    <w:bidi w:val="0"/>
                    <w:ind w:firstLine="0" w:firstLineChars="0"/>
                    <w:jc w:val="center"/>
                  </w:pPr>
                  <w:r>
                    <w:rPr>
                      <w:rFonts w:hint="eastAsia"/>
                      <w:lang w:val="en-US" w:eastAsia="zh-CN"/>
                    </w:rPr>
                    <w:t>1.836</w:t>
                  </w:r>
                </w:p>
              </w:tc>
              <w:tc>
                <w:tcPr>
                  <w:tcW w:w="1062" w:type="dxa"/>
                  <w:vAlign w:val="center"/>
                </w:tcPr>
                <w:p w14:paraId="03757D8C">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0.765</w:t>
                  </w:r>
                </w:p>
              </w:tc>
              <w:tc>
                <w:tcPr>
                  <w:tcW w:w="966" w:type="dxa"/>
                  <w:vAlign w:val="center"/>
                </w:tcPr>
                <w:p w14:paraId="3E645D5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51</w:t>
                  </w:r>
                </w:p>
              </w:tc>
            </w:tr>
            <w:tr w14:paraId="1591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Merge w:val="continue"/>
                  <w:vAlign w:val="center"/>
                </w:tcPr>
                <w:p w14:paraId="70C6641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val="en-US" w:eastAsia="zh-CN"/>
                    </w:rPr>
                  </w:pPr>
                </w:p>
              </w:tc>
              <w:tc>
                <w:tcPr>
                  <w:tcW w:w="905" w:type="dxa"/>
                  <w:vMerge w:val="continue"/>
                  <w:shd w:val="clear" w:color="auto" w:fill="auto"/>
                  <w:vAlign w:val="center"/>
                </w:tcPr>
                <w:p w14:paraId="27344431">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p>
              </w:tc>
              <w:tc>
                <w:tcPr>
                  <w:tcW w:w="625" w:type="dxa"/>
                  <w:vAlign w:val="center"/>
                </w:tcPr>
                <w:p w14:paraId="370CEE31">
                  <w:pPr>
                    <w:pStyle w:val="42"/>
                    <w:bidi w:val="0"/>
                    <w:ind w:firstLine="0" w:firstLineChars="0"/>
                    <w:jc w:val="center"/>
                    <w:rPr>
                      <w:rFonts w:hint="eastAsia"/>
                      <w:lang w:eastAsia="zh-CN"/>
                    </w:rPr>
                  </w:pPr>
                  <w:r>
                    <w:rPr>
                      <w:rFonts w:hint="eastAsia"/>
                      <w:lang w:eastAsia="zh-CN"/>
                    </w:rPr>
                    <w:t>颗粒物</w:t>
                  </w:r>
                </w:p>
              </w:tc>
              <w:tc>
                <w:tcPr>
                  <w:tcW w:w="1066" w:type="dxa"/>
                  <w:vAlign w:val="center"/>
                </w:tcPr>
                <w:p w14:paraId="344D497F">
                  <w:pPr>
                    <w:pStyle w:val="42"/>
                    <w:bidi w:val="0"/>
                    <w:ind w:firstLine="0" w:firstLineChars="0"/>
                    <w:jc w:val="center"/>
                  </w:pPr>
                  <w:r>
                    <w:rPr>
                      <w:rFonts w:hint="eastAsia"/>
                      <w:lang w:val="en-US" w:eastAsia="zh-CN"/>
                    </w:rPr>
                    <w:t>0.9</w:t>
                  </w:r>
                </w:p>
              </w:tc>
              <w:tc>
                <w:tcPr>
                  <w:tcW w:w="1061" w:type="dxa"/>
                  <w:vAlign w:val="center"/>
                </w:tcPr>
                <w:p w14:paraId="3060FEB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0.375</w:t>
                  </w:r>
                </w:p>
              </w:tc>
              <w:tc>
                <w:tcPr>
                  <w:tcW w:w="926" w:type="dxa"/>
                  <w:vAlign w:val="center"/>
                </w:tcPr>
                <w:p w14:paraId="734EC70A">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25</w:t>
                  </w:r>
                </w:p>
              </w:tc>
              <w:tc>
                <w:tcPr>
                  <w:tcW w:w="482" w:type="dxa"/>
                  <w:vMerge w:val="continue"/>
                  <w:vAlign w:val="center"/>
                </w:tcPr>
                <w:p w14:paraId="0433B93E">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p>
              </w:tc>
              <w:tc>
                <w:tcPr>
                  <w:tcW w:w="1069" w:type="dxa"/>
                  <w:vAlign w:val="center"/>
                </w:tcPr>
                <w:p w14:paraId="746EED50">
                  <w:pPr>
                    <w:pStyle w:val="42"/>
                    <w:bidi w:val="0"/>
                    <w:ind w:firstLine="0" w:firstLineChars="0"/>
                    <w:jc w:val="center"/>
                  </w:pPr>
                  <w:r>
                    <w:rPr>
                      <w:rFonts w:hint="eastAsia"/>
                      <w:lang w:val="en-US" w:eastAsia="zh-CN"/>
                    </w:rPr>
                    <w:t>0.018</w:t>
                  </w:r>
                </w:p>
              </w:tc>
              <w:tc>
                <w:tcPr>
                  <w:tcW w:w="1062" w:type="dxa"/>
                  <w:vAlign w:val="center"/>
                </w:tcPr>
                <w:p w14:paraId="2A705E1B">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0.0075</w:t>
                  </w:r>
                </w:p>
              </w:tc>
              <w:tc>
                <w:tcPr>
                  <w:tcW w:w="966" w:type="dxa"/>
                  <w:vAlign w:val="center"/>
                </w:tcPr>
                <w:p w14:paraId="4EEE31F1">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0.5</w:t>
                  </w:r>
                </w:p>
              </w:tc>
            </w:tr>
            <w:tr w14:paraId="34AC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Merge w:val="restart"/>
                  <w:vAlign w:val="center"/>
                </w:tcPr>
                <w:p w14:paraId="300A596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2</w:t>
                  </w:r>
                </w:p>
              </w:tc>
              <w:tc>
                <w:tcPr>
                  <w:tcW w:w="905" w:type="dxa"/>
                  <w:vMerge w:val="restart"/>
                  <w:shd w:val="clear" w:color="auto" w:fill="auto"/>
                  <w:vAlign w:val="center"/>
                </w:tcPr>
                <w:p w14:paraId="29A9AC60">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lang w:val="en-US" w:eastAsia="zh-CN"/>
                    </w:rPr>
                  </w:pPr>
                  <w:r>
                    <w:rPr>
                      <w:rFonts w:hint="eastAsia"/>
                      <w:spacing w:val="-1"/>
                      <w:sz w:val="21"/>
                      <w:szCs w:val="21"/>
                      <w:lang w:eastAsia="zh-CN"/>
                    </w:rPr>
                    <w:t>化制烘干废气</w:t>
                  </w:r>
                </w:p>
              </w:tc>
              <w:tc>
                <w:tcPr>
                  <w:tcW w:w="625" w:type="dxa"/>
                  <w:vAlign w:val="center"/>
                </w:tcPr>
                <w:p w14:paraId="4DAF6CBC">
                  <w:pPr>
                    <w:pStyle w:val="42"/>
                    <w:bidi w:val="0"/>
                    <w:ind w:firstLine="0" w:firstLineChars="0"/>
                    <w:jc w:val="center"/>
                    <w:rPr>
                      <w:rFonts w:hint="eastAsia"/>
                      <w:lang w:eastAsia="zh-CN"/>
                    </w:rPr>
                  </w:pPr>
                  <w:r>
                    <w:rPr>
                      <w:rFonts w:hint="eastAsia"/>
                      <w:lang w:val="en-US" w:eastAsia="zh-CN"/>
                    </w:rPr>
                    <w:t>SO</w:t>
                  </w:r>
                  <w:r>
                    <w:rPr>
                      <w:rFonts w:hint="eastAsia"/>
                      <w:vertAlign w:val="subscript"/>
                      <w:lang w:val="en-US" w:eastAsia="zh-CN"/>
                    </w:rPr>
                    <w:t>2</w:t>
                  </w:r>
                </w:p>
              </w:tc>
              <w:tc>
                <w:tcPr>
                  <w:tcW w:w="1066" w:type="dxa"/>
                  <w:vAlign w:val="center"/>
                </w:tcPr>
                <w:p w14:paraId="57394A9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0.0029</w:t>
                  </w:r>
                </w:p>
              </w:tc>
              <w:tc>
                <w:tcPr>
                  <w:tcW w:w="1061" w:type="dxa"/>
                  <w:vAlign w:val="center"/>
                </w:tcPr>
                <w:p w14:paraId="28AB45A0">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0.0012</w:t>
                  </w:r>
                </w:p>
              </w:tc>
              <w:tc>
                <w:tcPr>
                  <w:tcW w:w="926" w:type="dxa"/>
                  <w:vAlign w:val="center"/>
                </w:tcPr>
                <w:p w14:paraId="64EB6DD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0.08</w:t>
                  </w:r>
                </w:p>
              </w:tc>
              <w:tc>
                <w:tcPr>
                  <w:tcW w:w="482" w:type="dxa"/>
                  <w:vMerge w:val="restart"/>
                  <w:vAlign w:val="center"/>
                </w:tcPr>
                <w:p w14:paraId="31A95F60">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rPr>
                      <w:rFonts w:hint="eastAsia"/>
                      <w:lang w:eastAsia="zh-CN"/>
                    </w:rPr>
                    <w:t>有组织</w:t>
                  </w:r>
                </w:p>
              </w:tc>
              <w:tc>
                <w:tcPr>
                  <w:tcW w:w="1069" w:type="dxa"/>
                  <w:vAlign w:val="center"/>
                </w:tcPr>
                <w:p w14:paraId="10A0FAA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0.0029</w:t>
                  </w:r>
                </w:p>
              </w:tc>
              <w:tc>
                <w:tcPr>
                  <w:tcW w:w="1062" w:type="dxa"/>
                  <w:vAlign w:val="center"/>
                </w:tcPr>
                <w:p w14:paraId="4EBFF34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0.0012</w:t>
                  </w:r>
                </w:p>
              </w:tc>
              <w:tc>
                <w:tcPr>
                  <w:tcW w:w="966" w:type="dxa"/>
                  <w:vAlign w:val="center"/>
                </w:tcPr>
                <w:p w14:paraId="56A54250">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0.08</w:t>
                  </w:r>
                </w:p>
              </w:tc>
            </w:tr>
            <w:tr w14:paraId="5245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Merge w:val="continue"/>
                  <w:vAlign w:val="center"/>
                </w:tcPr>
                <w:p w14:paraId="78273CC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val="en-US" w:eastAsia="zh-CN"/>
                    </w:rPr>
                  </w:pPr>
                </w:p>
              </w:tc>
              <w:tc>
                <w:tcPr>
                  <w:tcW w:w="905" w:type="dxa"/>
                  <w:vMerge w:val="continue"/>
                  <w:shd w:val="clear" w:color="auto" w:fill="auto"/>
                  <w:vAlign w:val="center"/>
                </w:tcPr>
                <w:p w14:paraId="1962A544">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p>
              </w:tc>
              <w:tc>
                <w:tcPr>
                  <w:tcW w:w="625" w:type="dxa"/>
                  <w:vAlign w:val="center"/>
                </w:tcPr>
                <w:p w14:paraId="546B478B">
                  <w:pPr>
                    <w:pStyle w:val="42"/>
                    <w:bidi w:val="0"/>
                    <w:ind w:firstLine="0" w:firstLineChars="0"/>
                    <w:jc w:val="center"/>
                    <w:rPr>
                      <w:rFonts w:hint="eastAsia"/>
                      <w:lang w:eastAsia="zh-CN"/>
                    </w:rPr>
                  </w:pPr>
                  <w:r>
                    <w:rPr>
                      <w:rFonts w:hint="eastAsia"/>
                      <w:lang w:val="en-US" w:eastAsia="zh-CN"/>
                    </w:rPr>
                    <w:t>NOx</w:t>
                  </w:r>
                </w:p>
              </w:tc>
              <w:tc>
                <w:tcPr>
                  <w:tcW w:w="1066" w:type="dxa"/>
                  <w:vAlign w:val="center"/>
                </w:tcPr>
                <w:p w14:paraId="1477E2BC">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0.508</w:t>
                  </w:r>
                </w:p>
              </w:tc>
              <w:tc>
                <w:tcPr>
                  <w:tcW w:w="1061" w:type="dxa"/>
                  <w:vAlign w:val="center"/>
                </w:tcPr>
                <w:p w14:paraId="0F0722BD">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0.212</w:t>
                  </w:r>
                </w:p>
              </w:tc>
              <w:tc>
                <w:tcPr>
                  <w:tcW w:w="926" w:type="dxa"/>
                  <w:vAlign w:val="center"/>
                </w:tcPr>
                <w:p w14:paraId="3459AF9A">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14.13</w:t>
                  </w:r>
                </w:p>
              </w:tc>
              <w:tc>
                <w:tcPr>
                  <w:tcW w:w="482" w:type="dxa"/>
                  <w:vMerge w:val="continue"/>
                  <w:vAlign w:val="center"/>
                </w:tcPr>
                <w:p w14:paraId="355F9815">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p>
              </w:tc>
              <w:tc>
                <w:tcPr>
                  <w:tcW w:w="1069" w:type="dxa"/>
                  <w:vAlign w:val="center"/>
                </w:tcPr>
                <w:p w14:paraId="34273EDA">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0.508</w:t>
                  </w:r>
                </w:p>
              </w:tc>
              <w:tc>
                <w:tcPr>
                  <w:tcW w:w="1062" w:type="dxa"/>
                  <w:vAlign w:val="center"/>
                </w:tcPr>
                <w:p w14:paraId="0DAC77F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0.212</w:t>
                  </w:r>
                </w:p>
              </w:tc>
              <w:tc>
                <w:tcPr>
                  <w:tcW w:w="966" w:type="dxa"/>
                  <w:vAlign w:val="center"/>
                </w:tcPr>
                <w:p w14:paraId="6A4A1E3C">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14.13</w:t>
                  </w:r>
                </w:p>
              </w:tc>
            </w:tr>
            <w:tr w14:paraId="0DF8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Merge w:val="continue"/>
                  <w:vAlign w:val="center"/>
                </w:tcPr>
                <w:p w14:paraId="41287D24">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p>
              </w:tc>
              <w:tc>
                <w:tcPr>
                  <w:tcW w:w="905" w:type="dxa"/>
                  <w:vMerge w:val="continue"/>
                  <w:shd w:val="clear" w:color="auto" w:fill="auto"/>
                  <w:vAlign w:val="center"/>
                </w:tcPr>
                <w:p w14:paraId="05692F90">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lang w:val="en-US" w:eastAsia="zh-CN"/>
                    </w:rPr>
                  </w:pPr>
                </w:p>
              </w:tc>
              <w:tc>
                <w:tcPr>
                  <w:tcW w:w="625" w:type="dxa"/>
                  <w:vAlign w:val="center"/>
                </w:tcPr>
                <w:p w14:paraId="7F2612F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spacing w:val="-1"/>
                      <w:sz w:val="21"/>
                      <w:szCs w:val="21"/>
                      <w:lang w:eastAsia="zh-CN"/>
                    </w:rPr>
                    <w:t>非甲烷总烃</w:t>
                  </w:r>
                </w:p>
              </w:tc>
              <w:tc>
                <w:tcPr>
                  <w:tcW w:w="1066" w:type="dxa"/>
                  <w:vAlign w:val="center"/>
                </w:tcPr>
                <w:p w14:paraId="3D91443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1.932</w:t>
                  </w:r>
                </w:p>
              </w:tc>
              <w:tc>
                <w:tcPr>
                  <w:tcW w:w="1061" w:type="dxa"/>
                  <w:vAlign w:val="center"/>
                </w:tcPr>
                <w:p w14:paraId="233B58BB">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0.8</w:t>
                  </w:r>
                </w:p>
              </w:tc>
              <w:tc>
                <w:tcPr>
                  <w:tcW w:w="926" w:type="dxa"/>
                  <w:vAlign w:val="center"/>
                </w:tcPr>
                <w:p w14:paraId="717A0A5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53.33</w:t>
                  </w:r>
                </w:p>
              </w:tc>
              <w:tc>
                <w:tcPr>
                  <w:tcW w:w="482" w:type="dxa"/>
                  <w:vMerge w:val="continue"/>
                  <w:vAlign w:val="center"/>
                </w:tcPr>
                <w:p w14:paraId="7FEDC22A">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p>
              </w:tc>
              <w:tc>
                <w:tcPr>
                  <w:tcW w:w="1069" w:type="dxa"/>
                  <w:vAlign w:val="center"/>
                </w:tcPr>
                <w:p w14:paraId="43B9A5CB">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0.174</w:t>
                  </w:r>
                </w:p>
              </w:tc>
              <w:tc>
                <w:tcPr>
                  <w:tcW w:w="1062" w:type="dxa"/>
                  <w:vAlign w:val="center"/>
                </w:tcPr>
                <w:p w14:paraId="7593D2C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0.072</w:t>
                  </w:r>
                </w:p>
              </w:tc>
              <w:tc>
                <w:tcPr>
                  <w:tcW w:w="966" w:type="dxa"/>
                  <w:vAlign w:val="center"/>
                </w:tcPr>
                <w:p w14:paraId="1D6F743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4.8</w:t>
                  </w:r>
                </w:p>
              </w:tc>
            </w:tr>
            <w:tr w14:paraId="5462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Merge w:val="continue"/>
                  <w:vAlign w:val="center"/>
                </w:tcPr>
                <w:p w14:paraId="24B3A087">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val="en-US" w:eastAsia="zh-CN"/>
                    </w:rPr>
                  </w:pPr>
                </w:p>
              </w:tc>
              <w:tc>
                <w:tcPr>
                  <w:tcW w:w="905" w:type="dxa"/>
                  <w:vMerge w:val="continue"/>
                  <w:shd w:val="clear" w:color="auto" w:fill="auto"/>
                  <w:vAlign w:val="center"/>
                </w:tcPr>
                <w:p w14:paraId="01B1F86A">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spacing w:val="-5"/>
                      <w:sz w:val="21"/>
                    </w:rPr>
                  </w:pPr>
                </w:p>
              </w:tc>
              <w:tc>
                <w:tcPr>
                  <w:tcW w:w="625" w:type="dxa"/>
                  <w:vAlign w:val="center"/>
                </w:tcPr>
                <w:p w14:paraId="11A55F30">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spacing w:val="-1"/>
                      <w:sz w:val="21"/>
                      <w:szCs w:val="21"/>
                      <w:lang w:eastAsia="zh-CN"/>
                    </w:rPr>
                    <w:t>氨气</w:t>
                  </w:r>
                </w:p>
              </w:tc>
              <w:tc>
                <w:tcPr>
                  <w:tcW w:w="1066" w:type="dxa"/>
                  <w:vAlign w:val="center"/>
                </w:tcPr>
                <w:p w14:paraId="400819C4">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2.085</w:t>
                  </w:r>
                </w:p>
              </w:tc>
              <w:tc>
                <w:tcPr>
                  <w:tcW w:w="1061" w:type="dxa"/>
                  <w:vAlign w:val="center"/>
                </w:tcPr>
                <w:p w14:paraId="5D270A2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0.87</w:t>
                  </w:r>
                </w:p>
              </w:tc>
              <w:tc>
                <w:tcPr>
                  <w:tcW w:w="926" w:type="dxa"/>
                  <w:vAlign w:val="center"/>
                </w:tcPr>
                <w:p w14:paraId="0335040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58</w:t>
                  </w:r>
                </w:p>
              </w:tc>
              <w:tc>
                <w:tcPr>
                  <w:tcW w:w="482" w:type="dxa"/>
                  <w:vMerge w:val="continue"/>
                  <w:vAlign w:val="center"/>
                </w:tcPr>
                <w:p w14:paraId="7D343380">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p>
              </w:tc>
              <w:tc>
                <w:tcPr>
                  <w:tcW w:w="1069" w:type="dxa"/>
                  <w:vAlign w:val="center"/>
                </w:tcPr>
                <w:p w14:paraId="40E0A27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0.125</w:t>
                  </w:r>
                </w:p>
              </w:tc>
              <w:tc>
                <w:tcPr>
                  <w:tcW w:w="1062" w:type="dxa"/>
                  <w:vAlign w:val="center"/>
                </w:tcPr>
                <w:p w14:paraId="7AF86BFB">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0.052</w:t>
                  </w:r>
                </w:p>
              </w:tc>
              <w:tc>
                <w:tcPr>
                  <w:tcW w:w="966" w:type="dxa"/>
                  <w:vAlign w:val="center"/>
                </w:tcPr>
                <w:p w14:paraId="6A5C5AE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3.48</w:t>
                  </w:r>
                </w:p>
              </w:tc>
            </w:tr>
            <w:tr w14:paraId="5E6D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Merge w:val="continue"/>
                  <w:vAlign w:val="center"/>
                </w:tcPr>
                <w:p w14:paraId="0483E30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val="en-US" w:eastAsia="zh-CN"/>
                    </w:rPr>
                  </w:pPr>
                </w:p>
              </w:tc>
              <w:tc>
                <w:tcPr>
                  <w:tcW w:w="905" w:type="dxa"/>
                  <w:vMerge w:val="continue"/>
                  <w:shd w:val="clear" w:color="auto" w:fill="auto"/>
                  <w:vAlign w:val="center"/>
                </w:tcPr>
                <w:p w14:paraId="5E6DA43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spacing w:val="-5"/>
                      <w:sz w:val="21"/>
                    </w:rPr>
                  </w:pPr>
                </w:p>
              </w:tc>
              <w:tc>
                <w:tcPr>
                  <w:tcW w:w="625" w:type="dxa"/>
                  <w:vAlign w:val="center"/>
                </w:tcPr>
                <w:p w14:paraId="271F2DCA">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spacing w:val="-1"/>
                      <w:sz w:val="21"/>
                      <w:szCs w:val="21"/>
                      <w:lang w:eastAsia="zh-CN"/>
                    </w:rPr>
                    <w:t>硫化氢</w:t>
                  </w:r>
                </w:p>
              </w:tc>
              <w:tc>
                <w:tcPr>
                  <w:tcW w:w="1066" w:type="dxa"/>
                  <w:vAlign w:val="center"/>
                </w:tcPr>
                <w:p w14:paraId="1571C43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0.017</w:t>
                  </w:r>
                </w:p>
              </w:tc>
              <w:tc>
                <w:tcPr>
                  <w:tcW w:w="1061" w:type="dxa"/>
                  <w:vAlign w:val="center"/>
                </w:tcPr>
                <w:p w14:paraId="11A19C27">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0.0069</w:t>
                  </w:r>
                </w:p>
              </w:tc>
              <w:tc>
                <w:tcPr>
                  <w:tcW w:w="926" w:type="dxa"/>
                  <w:vAlign w:val="center"/>
                </w:tcPr>
                <w:p w14:paraId="1882D5F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0.463</w:t>
                  </w:r>
                </w:p>
              </w:tc>
              <w:tc>
                <w:tcPr>
                  <w:tcW w:w="482" w:type="dxa"/>
                  <w:vMerge w:val="continue"/>
                  <w:vAlign w:val="center"/>
                </w:tcPr>
                <w:p w14:paraId="66E65F80">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p>
              </w:tc>
              <w:tc>
                <w:tcPr>
                  <w:tcW w:w="1069" w:type="dxa"/>
                  <w:vAlign w:val="center"/>
                </w:tcPr>
                <w:p w14:paraId="24B44E8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0.001</w:t>
                  </w:r>
                </w:p>
              </w:tc>
              <w:tc>
                <w:tcPr>
                  <w:tcW w:w="1062" w:type="dxa"/>
                  <w:vAlign w:val="center"/>
                </w:tcPr>
                <w:p w14:paraId="170B98E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0.0004</w:t>
                  </w:r>
                </w:p>
              </w:tc>
              <w:tc>
                <w:tcPr>
                  <w:tcW w:w="966" w:type="dxa"/>
                  <w:vAlign w:val="center"/>
                </w:tcPr>
                <w:p w14:paraId="551FEE7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0.028</w:t>
                  </w:r>
                </w:p>
              </w:tc>
            </w:tr>
            <w:tr w14:paraId="2A8C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Merge w:val="restart"/>
                  <w:vAlign w:val="center"/>
                </w:tcPr>
                <w:p w14:paraId="2F545701">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3</w:t>
                  </w:r>
                </w:p>
              </w:tc>
              <w:tc>
                <w:tcPr>
                  <w:tcW w:w="905" w:type="dxa"/>
                  <w:vMerge w:val="restart"/>
                  <w:shd w:val="clear" w:color="auto" w:fill="auto"/>
                  <w:vAlign w:val="center"/>
                </w:tcPr>
                <w:p w14:paraId="1A3AADC1">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spacing w:val="-5"/>
                      <w:sz w:val="21"/>
                      <w:lang w:val="en-US"/>
                    </w:rPr>
                  </w:pPr>
                  <w:r>
                    <w:rPr>
                      <w:rFonts w:hint="eastAsia"/>
                      <w:lang w:eastAsia="zh-CN"/>
                    </w:rPr>
                    <w:t>其他工序(投料、破碎、缓存、油渣分离)废气</w:t>
                  </w:r>
                </w:p>
              </w:tc>
              <w:tc>
                <w:tcPr>
                  <w:tcW w:w="625" w:type="dxa"/>
                  <w:vAlign w:val="center"/>
                </w:tcPr>
                <w:p w14:paraId="04891A4C">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eastAsia="zh-CN"/>
                    </w:rPr>
                  </w:pPr>
                  <w:r>
                    <w:rPr>
                      <w:rFonts w:hint="eastAsia"/>
                      <w:spacing w:val="-1"/>
                      <w:sz w:val="21"/>
                      <w:szCs w:val="21"/>
                      <w:lang w:eastAsia="zh-CN"/>
                    </w:rPr>
                    <w:t>非甲烷总烃</w:t>
                  </w:r>
                </w:p>
              </w:tc>
              <w:tc>
                <w:tcPr>
                  <w:tcW w:w="1066" w:type="dxa"/>
                  <w:vAlign w:val="center"/>
                </w:tcPr>
                <w:p w14:paraId="7DCF23B1">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0.243</w:t>
                  </w:r>
                </w:p>
              </w:tc>
              <w:tc>
                <w:tcPr>
                  <w:tcW w:w="1061" w:type="dxa"/>
                  <w:vAlign w:val="center"/>
                </w:tcPr>
                <w:p w14:paraId="77AB855A">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0.1</w:t>
                  </w:r>
                </w:p>
              </w:tc>
              <w:tc>
                <w:tcPr>
                  <w:tcW w:w="926" w:type="dxa"/>
                  <w:vAlign w:val="center"/>
                </w:tcPr>
                <w:p w14:paraId="270ACF0D">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2.78</w:t>
                  </w:r>
                </w:p>
              </w:tc>
              <w:tc>
                <w:tcPr>
                  <w:tcW w:w="482" w:type="dxa"/>
                  <w:vMerge w:val="restart"/>
                  <w:vAlign w:val="center"/>
                </w:tcPr>
                <w:p w14:paraId="68960581">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rPr>
                      <w:rFonts w:hint="eastAsia"/>
                      <w:lang w:eastAsia="zh-CN"/>
                    </w:rPr>
                    <w:t>有组织</w:t>
                  </w:r>
                </w:p>
              </w:tc>
              <w:tc>
                <w:tcPr>
                  <w:tcW w:w="1069" w:type="dxa"/>
                  <w:vAlign w:val="center"/>
                </w:tcPr>
                <w:p w14:paraId="0291314D">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0.024</w:t>
                  </w:r>
                </w:p>
              </w:tc>
              <w:tc>
                <w:tcPr>
                  <w:tcW w:w="1062" w:type="dxa"/>
                  <w:vAlign w:val="center"/>
                </w:tcPr>
                <w:p w14:paraId="593E3B11">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0.01</w:t>
                  </w:r>
                </w:p>
              </w:tc>
              <w:tc>
                <w:tcPr>
                  <w:tcW w:w="966" w:type="dxa"/>
                  <w:vAlign w:val="center"/>
                </w:tcPr>
                <w:p w14:paraId="71E92AAB">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0.28</w:t>
                  </w:r>
                </w:p>
              </w:tc>
            </w:tr>
            <w:tr w14:paraId="0D0D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Merge w:val="continue"/>
                  <w:vAlign w:val="center"/>
                </w:tcPr>
                <w:p w14:paraId="78C8ACA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val="en-US" w:eastAsia="zh-CN"/>
                    </w:rPr>
                  </w:pPr>
                </w:p>
              </w:tc>
              <w:tc>
                <w:tcPr>
                  <w:tcW w:w="905" w:type="dxa"/>
                  <w:vMerge w:val="continue"/>
                  <w:shd w:val="clear" w:color="auto" w:fill="auto"/>
                  <w:vAlign w:val="center"/>
                </w:tcPr>
                <w:p w14:paraId="5647AA6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spacing w:val="-5"/>
                      <w:sz w:val="21"/>
                    </w:rPr>
                  </w:pPr>
                </w:p>
              </w:tc>
              <w:tc>
                <w:tcPr>
                  <w:tcW w:w="625" w:type="dxa"/>
                  <w:vAlign w:val="center"/>
                </w:tcPr>
                <w:p w14:paraId="24CFFB3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eastAsia="zh-CN"/>
                    </w:rPr>
                  </w:pPr>
                  <w:r>
                    <w:rPr>
                      <w:rFonts w:hint="eastAsia"/>
                      <w:spacing w:val="-1"/>
                      <w:sz w:val="21"/>
                      <w:szCs w:val="21"/>
                      <w:lang w:eastAsia="zh-CN"/>
                    </w:rPr>
                    <w:t>氨气</w:t>
                  </w:r>
                </w:p>
              </w:tc>
              <w:tc>
                <w:tcPr>
                  <w:tcW w:w="1066" w:type="dxa"/>
                  <w:vAlign w:val="center"/>
                </w:tcPr>
                <w:p w14:paraId="131B009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0.293</w:t>
                  </w:r>
                </w:p>
              </w:tc>
              <w:tc>
                <w:tcPr>
                  <w:tcW w:w="1061" w:type="dxa"/>
                  <w:vAlign w:val="center"/>
                </w:tcPr>
                <w:p w14:paraId="76A9ABD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0.122</w:t>
                  </w:r>
                </w:p>
              </w:tc>
              <w:tc>
                <w:tcPr>
                  <w:tcW w:w="926" w:type="dxa"/>
                  <w:vAlign w:val="center"/>
                </w:tcPr>
                <w:p w14:paraId="5486073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3.39</w:t>
                  </w:r>
                </w:p>
              </w:tc>
              <w:tc>
                <w:tcPr>
                  <w:tcW w:w="482" w:type="dxa"/>
                  <w:vMerge w:val="continue"/>
                  <w:vAlign w:val="center"/>
                </w:tcPr>
                <w:p w14:paraId="49554758">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p>
              </w:tc>
              <w:tc>
                <w:tcPr>
                  <w:tcW w:w="1069" w:type="dxa"/>
                  <w:vAlign w:val="center"/>
                </w:tcPr>
                <w:p w14:paraId="1E30D75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0.029</w:t>
                  </w:r>
                </w:p>
              </w:tc>
              <w:tc>
                <w:tcPr>
                  <w:tcW w:w="1062" w:type="dxa"/>
                  <w:vAlign w:val="center"/>
                </w:tcPr>
                <w:p w14:paraId="0D40282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0.012</w:t>
                  </w:r>
                </w:p>
              </w:tc>
              <w:tc>
                <w:tcPr>
                  <w:tcW w:w="966" w:type="dxa"/>
                  <w:vAlign w:val="center"/>
                </w:tcPr>
                <w:p w14:paraId="7B25343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0.34</w:t>
                  </w:r>
                </w:p>
              </w:tc>
            </w:tr>
            <w:tr w14:paraId="7BA3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Merge w:val="continue"/>
                  <w:vAlign w:val="center"/>
                </w:tcPr>
                <w:p w14:paraId="1FDFACB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val="en-US" w:eastAsia="zh-CN"/>
                    </w:rPr>
                  </w:pPr>
                </w:p>
              </w:tc>
              <w:tc>
                <w:tcPr>
                  <w:tcW w:w="905" w:type="dxa"/>
                  <w:vMerge w:val="continue"/>
                  <w:shd w:val="clear" w:color="auto" w:fill="auto"/>
                  <w:vAlign w:val="center"/>
                </w:tcPr>
                <w:p w14:paraId="78560D5A">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spacing w:val="-5"/>
                      <w:sz w:val="21"/>
                    </w:rPr>
                  </w:pPr>
                </w:p>
              </w:tc>
              <w:tc>
                <w:tcPr>
                  <w:tcW w:w="625" w:type="dxa"/>
                  <w:vAlign w:val="center"/>
                </w:tcPr>
                <w:p w14:paraId="7B988ABA">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lang w:eastAsia="zh-CN"/>
                    </w:rPr>
                  </w:pPr>
                  <w:r>
                    <w:rPr>
                      <w:rFonts w:hint="eastAsia"/>
                      <w:spacing w:val="-1"/>
                      <w:sz w:val="21"/>
                      <w:szCs w:val="21"/>
                      <w:lang w:eastAsia="zh-CN"/>
                    </w:rPr>
                    <w:t>硫化氢</w:t>
                  </w:r>
                </w:p>
              </w:tc>
              <w:tc>
                <w:tcPr>
                  <w:tcW w:w="1066" w:type="dxa"/>
                  <w:vAlign w:val="center"/>
                </w:tcPr>
                <w:p w14:paraId="552A784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0.006</w:t>
                  </w:r>
                </w:p>
              </w:tc>
              <w:tc>
                <w:tcPr>
                  <w:tcW w:w="1061" w:type="dxa"/>
                  <w:vAlign w:val="center"/>
                </w:tcPr>
                <w:p w14:paraId="14D90E9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0.0025</w:t>
                  </w:r>
                </w:p>
              </w:tc>
              <w:tc>
                <w:tcPr>
                  <w:tcW w:w="926" w:type="dxa"/>
                  <w:vAlign w:val="center"/>
                </w:tcPr>
                <w:p w14:paraId="50A005F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0.071</w:t>
                  </w:r>
                </w:p>
              </w:tc>
              <w:tc>
                <w:tcPr>
                  <w:tcW w:w="482" w:type="dxa"/>
                  <w:vMerge w:val="continue"/>
                  <w:vAlign w:val="center"/>
                </w:tcPr>
                <w:p w14:paraId="6A9B02F3">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p>
              </w:tc>
              <w:tc>
                <w:tcPr>
                  <w:tcW w:w="1069" w:type="dxa"/>
                  <w:vAlign w:val="center"/>
                </w:tcPr>
                <w:p w14:paraId="47B8312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0.0006</w:t>
                  </w:r>
                </w:p>
              </w:tc>
              <w:tc>
                <w:tcPr>
                  <w:tcW w:w="1062" w:type="dxa"/>
                  <w:vAlign w:val="center"/>
                </w:tcPr>
                <w:p w14:paraId="563F55C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0.00025</w:t>
                  </w:r>
                </w:p>
              </w:tc>
              <w:tc>
                <w:tcPr>
                  <w:tcW w:w="966" w:type="dxa"/>
                  <w:vAlign w:val="center"/>
                </w:tcPr>
                <w:p w14:paraId="1D9D944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val="en-US" w:eastAsia="zh-CN"/>
                    </w:rPr>
                    <w:t>0.0071</w:t>
                  </w:r>
                </w:p>
              </w:tc>
            </w:tr>
            <w:tr w14:paraId="4A7F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Align w:val="center"/>
                </w:tcPr>
                <w:p w14:paraId="7757DDE4">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4</w:t>
                  </w:r>
                </w:p>
              </w:tc>
              <w:tc>
                <w:tcPr>
                  <w:tcW w:w="905" w:type="dxa"/>
                  <w:shd w:val="clear" w:color="auto" w:fill="auto"/>
                  <w:vAlign w:val="center"/>
                </w:tcPr>
                <w:p w14:paraId="2179B8B5">
                  <w:pPr>
                    <w:pStyle w:val="56"/>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rPr>
                      <w:sz w:val="21"/>
                    </w:rPr>
                  </w:pPr>
                  <w:r>
                    <w:rPr>
                      <w:spacing w:val="-5"/>
                      <w:sz w:val="21"/>
                    </w:rPr>
                    <w:t>食堂油</w:t>
                  </w:r>
                </w:p>
                <w:p w14:paraId="2AB0F4F5">
                  <w:pPr>
                    <w:pStyle w:val="42"/>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spacing w:val="-5"/>
                      <w:sz w:val="21"/>
                    </w:rPr>
                  </w:pPr>
                  <w:r>
                    <w:rPr>
                      <w:spacing w:val="-5"/>
                      <w:sz w:val="21"/>
                    </w:rPr>
                    <w:t>烟废气</w:t>
                  </w:r>
                </w:p>
              </w:tc>
              <w:tc>
                <w:tcPr>
                  <w:tcW w:w="625" w:type="dxa"/>
                  <w:vAlign w:val="center"/>
                </w:tcPr>
                <w:p w14:paraId="5D697679">
                  <w:pPr>
                    <w:pStyle w:val="42"/>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eastAsia"/>
                      <w:spacing w:val="-1"/>
                      <w:sz w:val="21"/>
                      <w:szCs w:val="21"/>
                      <w:lang w:eastAsia="zh-CN"/>
                    </w:rPr>
                  </w:pPr>
                  <w:r>
                    <w:rPr>
                      <w:rFonts w:hint="eastAsia"/>
                      <w:lang w:eastAsia="zh-CN"/>
                    </w:rPr>
                    <w:t>油烟</w:t>
                  </w:r>
                </w:p>
              </w:tc>
              <w:tc>
                <w:tcPr>
                  <w:tcW w:w="1066" w:type="dxa"/>
                  <w:vAlign w:val="center"/>
                </w:tcPr>
                <w:p w14:paraId="7C96C980">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0.0051</w:t>
                  </w:r>
                </w:p>
              </w:tc>
              <w:tc>
                <w:tcPr>
                  <w:tcW w:w="1061" w:type="dxa"/>
                  <w:vAlign w:val="center"/>
                </w:tcPr>
                <w:p w14:paraId="58DCF6B1">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0.0034</w:t>
                  </w:r>
                </w:p>
              </w:tc>
              <w:tc>
                <w:tcPr>
                  <w:tcW w:w="926" w:type="dxa"/>
                  <w:vAlign w:val="center"/>
                </w:tcPr>
                <w:p w14:paraId="3F4729B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0.97</w:t>
                  </w:r>
                </w:p>
              </w:tc>
              <w:tc>
                <w:tcPr>
                  <w:tcW w:w="482" w:type="dxa"/>
                  <w:vAlign w:val="center"/>
                </w:tcPr>
                <w:p w14:paraId="43FF8989">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rPr>
                      <w:rFonts w:hint="eastAsia"/>
                      <w:lang w:eastAsia="zh-CN"/>
                    </w:rPr>
                    <w:t>有组织</w:t>
                  </w:r>
                </w:p>
              </w:tc>
              <w:tc>
                <w:tcPr>
                  <w:tcW w:w="1069" w:type="dxa"/>
                  <w:vAlign w:val="center"/>
                </w:tcPr>
                <w:p w14:paraId="44FB19D1">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0.000255</w:t>
                  </w:r>
                </w:p>
              </w:tc>
              <w:tc>
                <w:tcPr>
                  <w:tcW w:w="1062" w:type="dxa"/>
                  <w:vAlign w:val="center"/>
                </w:tcPr>
                <w:p w14:paraId="30613E4B">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0.00017</w:t>
                  </w:r>
                </w:p>
              </w:tc>
              <w:tc>
                <w:tcPr>
                  <w:tcW w:w="966" w:type="dxa"/>
                  <w:vAlign w:val="center"/>
                </w:tcPr>
                <w:p w14:paraId="3EB3F83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0.049</w:t>
                  </w:r>
                </w:p>
              </w:tc>
            </w:tr>
            <w:tr w14:paraId="421D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Merge w:val="restart"/>
                  <w:vAlign w:val="center"/>
                </w:tcPr>
                <w:p w14:paraId="302BC2BA">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rPr>
                      <w:rFonts w:hint="eastAsia" w:eastAsia="宋体"/>
                      <w:lang w:val="en-US" w:eastAsia="zh-CN"/>
                    </w:rPr>
                  </w:pPr>
                  <w:r>
                    <w:rPr>
                      <w:rFonts w:hint="eastAsia"/>
                      <w:lang w:val="en-US" w:eastAsia="zh-CN"/>
                    </w:rPr>
                    <w:t>5</w:t>
                  </w:r>
                </w:p>
              </w:tc>
              <w:tc>
                <w:tcPr>
                  <w:tcW w:w="905" w:type="dxa"/>
                  <w:vMerge w:val="restart"/>
                  <w:shd w:val="clear" w:color="auto" w:fill="auto"/>
                  <w:vAlign w:val="center"/>
                </w:tcPr>
                <w:p w14:paraId="036D1378">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rPr>
                      <w:lang w:val="en-US" w:eastAsia="zh-CN"/>
                    </w:rPr>
                  </w:pPr>
                  <w:r>
                    <w:rPr>
                      <w:spacing w:val="-8"/>
                      <w:sz w:val="21"/>
                    </w:rPr>
                    <w:t>厂区</w:t>
                  </w:r>
                </w:p>
              </w:tc>
              <w:tc>
                <w:tcPr>
                  <w:tcW w:w="625" w:type="dxa"/>
                  <w:vAlign w:val="center"/>
                </w:tcPr>
                <w:p w14:paraId="5B1C053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spacing w:val="-1"/>
                      <w:sz w:val="21"/>
                      <w:szCs w:val="21"/>
                      <w:lang w:eastAsia="zh-CN"/>
                    </w:rPr>
                    <w:t>非甲烷总烃</w:t>
                  </w:r>
                </w:p>
              </w:tc>
              <w:tc>
                <w:tcPr>
                  <w:tcW w:w="1066" w:type="dxa"/>
                  <w:vAlign w:val="center"/>
                </w:tcPr>
                <w:p w14:paraId="3B0E9A34">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rPr>
                      <w:rFonts w:hint="default"/>
                      <w:lang w:val="en-US"/>
                    </w:rPr>
                  </w:pPr>
                  <w:r>
                    <w:rPr>
                      <w:rFonts w:hint="eastAsia"/>
                      <w:lang w:val="en-US" w:eastAsia="zh-CN"/>
                    </w:rPr>
                    <w:t>0.027</w:t>
                  </w:r>
                </w:p>
              </w:tc>
              <w:tc>
                <w:tcPr>
                  <w:tcW w:w="1061" w:type="dxa"/>
                  <w:vAlign w:val="center"/>
                </w:tcPr>
                <w:p w14:paraId="68049989">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rPr>
                      <w:rFonts w:hint="default"/>
                      <w:lang w:val="en-US"/>
                    </w:rPr>
                  </w:pPr>
                  <w:r>
                    <w:rPr>
                      <w:rFonts w:hint="eastAsia"/>
                      <w:lang w:val="en-US" w:eastAsia="zh-CN"/>
                    </w:rPr>
                    <w:t>0.01125</w:t>
                  </w:r>
                </w:p>
              </w:tc>
              <w:tc>
                <w:tcPr>
                  <w:tcW w:w="926" w:type="dxa"/>
                  <w:vAlign w:val="center"/>
                </w:tcPr>
                <w:p w14:paraId="2029E0AC">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rPr>
                      <w:rFonts w:hint="eastAsia" w:eastAsia="宋体"/>
                      <w:lang w:val="en-US" w:eastAsia="zh-CN"/>
                    </w:rPr>
                  </w:pPr>
                  <w:r>
                    <w:rPr>
                      <w:rFonts w:hint="eastAsia"/>
                      <w:lang w:val="en-US" w:eastAsia="zh-CN"/>
                    </w:rPr>
                    <w:t>/</w:t>
                  </w:r>
                </w:p>
              </w:tc>
              <w:tc>
                <w:tcPr>
                  <w:tcW w:w="482" w:type="dxa"/>
                  <w:vMerge w:val="restart"/>
                  <w:vAlign w:val="center"/>
                </w:tcPr>
                <w:p w14:paraId="26119F88">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rPr>
                      <w:rFonts w:hint="eastAsia" w:eastAsia="宋体"/>
                      <w:lang w:eastAsia="zh-CN"/>
                    </w:rPr>
                  </w:pPr>
                  <w:r>
                    <w:rPr>
                      <w:rFonts w:hint="eastAsia"/>
                      <w:lang w:eastAsia="zh-CN"/>
                    </w:rPr>
                    <w:t>无组织</w:t>
                  </w:r>
                </w:p>
              </w:tc>
              <w:tc>
                <w:tcPr>
                  <w:tcW w:w="1069" w:type="dxa"/>
                  <w:vAlign w:val="center"/>
                </w:tcPr>
                <w:p w14:paraId="439EFCB9">
                  <w:pPr>
                    <w:pStyle w:val="42"/>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pPr>
                  <w:r>
                    <w:rPr>
                      <w:rFonts w:hint="eastAsia"/>
                      <w:lang w:val="en-US" w:eastAsia="zh-CN"/>
                    </w:rPr>
                    <w:t>0.027</w:t>
                  </w:r>
                </w:p>
              </w:tc>
              <w:tc>
                <w:tcPr>
                  <w:tcW w:w="1062" w:type="dxa"/>
                  <w:vAlign w:val="center"/>
                </w:tcPr>
                <w:p w14:paraId="510BDED8">
                  <w:pPr>
                    <w:pStyle w:val="42"/>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eastAsia="宋体"/>
                      <w:lang w:val="en-US" w:eastAsia="zh-CN"/>
                    </w:rPr>
                  </w:pPr>
                  <w:r>
                    <w:rPr>
                      <w:rFonts w:hint="eastAsia"/>
                      <w:lang w:val="en-US" w:eastAsia="zh-CN"/>
                    </w:rPr>
                    <w:t>0.01125</w:t>
                  </w:r>
                </w:p>
              </w:tc>
              <w:tc>
                <w:tcPr>
                  <w:tcW w:w="966" w:type="dxa"/>
                  <w:vAlign w:val="center"/>
                </w:tcPr>
                <w:p w14:paraId="7BC611DF">
                  <w:pPr>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rPr>
                      <w:rFonts w:hint="eastAsia"/>
                      <w:lang w:val="en-US" w:eastAsia="zh-CN"/>
                    </w:rPr>
                    <w:t>/</w:t>
                  </w:r>
                </w:p>
              </w:tc>
            </w:tr>
            <w:tr w14:paraId="52A4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Merge w:val="continue"/>
                  <w:vAlign w:val="center"/>
                </w:tcPr>
                <w:p w14:paraId="067214BB">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rPr>
                      <w:rFonts w:hint="eastAsia"/>
                      <w:lang w:val="en-US" w:eastAsia="zh-CN"/>
                    </w:rPr>
                  </w:pPr>
                </w:p>
              </w:tc>
              <w:tc>
                <w:tcPr>
                  <w:tcW w:w="905" w:type="dxa"/>
                  <w:vMerge w:val="continue"/>
                  <w:shd w:val="clear" w:color="auto" w:fill="auto"/>
                  <w:vAlign w:val="center"/>
                </w:tcPr>
                <w:p w14:paraId="6F4233E8">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rPr>
                      <w:spacing w:val="-8"/>
                      <w:sz w:val="21"/>
                    </w:rPr>
                  </w:pPr>
                </w:p>
              </w:tc>
              <w:tc>
                <w:tcPr>
                  <w:tcW w:w="625" w:type="dxa"/>
                  <w:vAlign w:val="center"/>
                </w:tcPr>
                <w:p w14:paraId="1408105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spacing w:val="-1"/>
                      <w:sz w:val="21"/>
                      <w:szCs w:val="21"/>
                      <w:lang w:eastAsia="zh-CN"/>
                    </w:rPr>
                    <w:t>氨气</w:t>
                  </w:r>
                </w:p>
              </w:tc>
              <w:tc>
                <w:tcPr>
                  <w:tcW w:w="1066" w:type="dxa"/>
                  <w:vAlign w:val="center"/>
                </w:tcPr>
                <w:p w14:paraId="4AC253A9">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rPr>
                      <w:rFonts w:hint="default" w:eastAsia="宋体"/>
                      <w:lang w:val="en-US" w:eastAsia="zh-CN"/>
                    </w:rPr>
                  </w:pPr>
                  <w:r>
                    <w:rPr>
                      <w:rFonts w:hint="eastAsia"/>
                      <w:lang w:val="en-US" w:eastAsia="zh-CN"/>
                    </w:rPr>
                    <w:t>0.033</w:t>
                  </w:r>
                </w:p>
              </w:tc>
              <w:tc>
                <w:tcPr>
                  <w:tcW w:w="1061" w:type="dxa"/>
                  <w:vAlign w:val="center"/>
                </w:tcPr>
                <w:p w14:paraId="15704068">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rPr>
                      <w:rFonts w:hint="default" w:eastAsia="宋体"/>
                      <w:lang w:val="en-US" w:eastAsia="zh-CN"/>
                    </w:rPr>
                  </w:pPr>
                  <w:r>
                    <w:rPr>
                      <w:rFonts w:hint="eastAsia"/>
                      <w:lang w:val="en-US" w:eastAsia="zh-CN"/>
                    </w:rPr>
                    <w:t>0.014</w:t>
                  </w:r>
                </w:p>
              </w:tc>
              <w:tc>
                <w:tcPr>
                  <w:tcW w:w="926" w:type="dxa"/>
                  <w:vAlign w:val="center"/>
                </w:tcPr>
                <w:p w14:paraId="5A2B3059">
                  <w:pPr>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rPr>
                      <w:rFonts w:hint="eastAsia"/>
                      <w:lang w:val="en-US" w:eastAsia="zh-CN"/>
                    </w:rPr>
                    <w:t>/</w:t>
                  </w:r>
                </w:p>
              </w:tc>
              <w:tc>
                <w:tcPr>
                  <w:tcW w:w="482" w:type="dxa"/>
                  <w:vMerge w:val="continue"/>
                  <w:vAlign w:val="center"/>
                </w:tcPr>
                <w:p w14:paraId="7D5EF18E">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p>
              </w:tc>
              <w:tc>
                <w:tcPr>
                  <w:tcW w:w="1069" w:type="dxa"/>
                  <w:vAlign w:val="center"/>
                </w:tcPr>
                <w:p w14:paraId="379A1A1F">
                  <w:pPr>
                    <w:pStyle w:val="42"/>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pPr>
                  <w:r>
                    <w:rPr>
                      <w:rFonts w:hint="eastAsia"/>
                      <w:lang w:val="en-US" w:eastAsia="zh-CN"/>
                    </w:rPr>
                    <w:t>0.033</w:t>
                  </w:r>
                </w:p>
              </w:tc>
              <w:tc>
                <w:tcPr>
                  <w:tcW w:w="1062" w:type="dxa"/>
                  <w:vAlign w:val="center"/>
                </w:tcPr>
                <w:p w14:paraId="74219CC9">
                  <w:pPr>
                    <w:pStyle w:val="42"/>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pPr>
                  <w:r>
                    <w:rPr>
                      <w:rFonts w:hint="eastAsia"/>
                      <w:lang w:val="en-US" w:eastAsia="zh-CN"/>
                    </w:rPr>
                    <w:t>0.014</w:t>
                  </w:r>
                </w:p>
              </w:tc>
              <w:tc>
                <w:tcPr>
                  <w:tcW w:w="966" w:type="dxa"/>
                  <w:vAlign w:val="center"/>
                </w:tcPr>
                <w:p w14:paraId="1E07A12D">
                  <w:pPr>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rPr>
                      <w:rFonts w:hint="eastAsia"/>
                      <w:lang w:val="en-US" w:eastAsia="zh-CN"/>
                    </w:rPr>
                    <w:t>/</w:t>
                  </w:r>
                </w:p>
              </w:tc>
            </w:tr>
            <w:tr w14:paraId="63D9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Merge w:val="continue"/>
                  <w:vAlign w:val="center"/>
                </w:tcPr>
                <w:p w14:paraId="21F3AD56">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rPr>
                      <w:rFonts w:hint="eastAsia"/>
                      <w:lang w:val="en-US" w:eastAsia="zh-CN"/>
                    </w:rPr>
                  </w:pPr>
                </w:p>
              </w:tc>
              <w:tc>
                <w:tcPr>
                  <w:tcW w:w="905" w:type="dxa"/>
                  <w:vMerge w:val="continue"/>
                  <w:shd w:val="clear" w:color="auto" w:fill="auto"/>
                  <w:vAlign w:val="center"/>
                </w:tcPr>
                <w:p w14:paraId="72B6737B">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rPr>
                      <w:spacing w:val="-8"/>
                      <w:sz w:val="21"/>
                    </w:rPr>
                  </w:pPr>
                </w:p>
              </w:tc>
              <w:tc>
                <w:tcPr>
                  <w:tcW w:w="625" w:type="dxa"/>
                  <w:vAlign w:val="center"/>
                </w:tcPr>
                <w:p w14:paraId="14BF4EC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spacing w:val="-1"/>
                      <w:sz w:val="21"/>
                      <w:szCs w:val="21"/>
                      <w:lang w:eastAsia="zh-CN"/>
                    </w:rPr>
                    <w:t>硫化氢</w:t>
                  </w:r>
                </w:p>
              </w:tc>
              <w:tc>
                <w:tcPr>
                  <w:tcW w:w="1066" w:type="dxa"/>
                  <w:vAlign w:val="center"/>
                </w:tcPr>
                <w:p w14:paraId="32AF8773">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rPr>
                      <w:rFonts w:hint="default" w:eastAsia="宋体"/>
                      <w:lang w:val="en-US" w:eastAsia="zh-CN"/>
                    </w:rPr>
                  </w:pPr>
                  <w:r>
                    <w:rPr>
                      <w:rFonts w:hint="eastAsia"/>
                      <w:lang w:val="en-US" w:eastAsia="zh-CN"/>
                    </w:rPr>
                    <w:t>0.00067</w:t>
                  </w:r>
                </w:p>
              </w:tc>
              <w:tc>
                <w:tcPr>
                  <w:tcW w:w="1061" w:type="dxa"/>
                  <w:vAlign w:val="center"/>
                </w:tcPr>
                <w:p w14:paraId="2FD046E8">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rPr>
                      <w:rFonts w:hint="default" w:eastAsia="宋体"/>
                      <w:lang w:val="en-US" w:eastAsia="zh-CN"/>
                    </w:rPr>
                  </w:pPr>
                  <w:r>
                    <w:rPr>
                      <w:rFonts w:hint="eastAsia"/>
                      <w:lang w:val="en-US" w:eastAsia="zh-CN"/>
                    </w:rPr>
                    <w:t>0.00028</w:t>
                  </w:r>
                </w:p>
              </w:tc>
              <w:tc>
                <w:tcPr>
                  <w:tcW w:w="926" w:type="dxa"/>
                  <w:vAlign w:val="center"/>
                </w:tcPr>
                <w:p w14:paraId="468A9448">
                  <w:pPr>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rPr>
                      <w:rFonts w:hint="eastAsia"/>
                      <w:lang w:val="en-US" w:eastAsia="zh-CN"/>
                    </w:rPr>
                    <w:t>/</w:t>
                  </w:r>
                </w:p>
              </w:tc>
              <w:tc>
                <w:tcPr>
                  <w:tcW w:w="482" w:type="dxa"/>
                  <w:vMerge w:val="continue"/>
                  <w:vAlign w:val="center"/>
                </w:tcPr>
                <w:p w14:paraId="659F8AF7">
                  <w:pPr>
                    <w:pStyle w:val="42"/>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p>
              </w:tc>
              <w:tc>
                <w:tcPr>
                  <w:tcW w:w="1069" w:type="dxa"/>
                  <w:vAlign w:val="center"/>
                </w:tcPr>
                <w:p w14:paraId="7B71458D">
                  <w:pPr>
                    <w:pStyle w:val="42"/>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pPr>
                  <w:r>
                    <w:rPr>
                      <w:rFonts w:hint="eastAsia"/>
                      <w:lang w:val="en-US" w:eastAsia="zh-CN"/>
                    </w:rPr>
                    <w:t>0.00067</w:t>
                  </w:r>
                </w:p>
              </w:tc>
              <w:tc>
                <w:tcPr>
                  <w:tcW w:w="1062" w:type="dxa"/>
                  <w:vAlign w:val="center"/>
                </w:tcPr>
                <w:p w14:paraId="0DF076F4">
                  <w:pPr>
                    <w:pStyle w:val="42"/>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pPr>
                  <w:r>
                    <w:rPr>
                      <w:rFonts w:hint="eastAsia"/>
                      <w:lang w:val="en-US" w:eastAsia="zh-CN"/>
                    </w:rPr>
                    <w:t>0.00028</w:t>
                  </w:r>
                </w:p>
              </w:tc>
              <w:tc>
                <w:tcPr>
                  <w:tcW w:w="966" w:type="dxa"/>
                  <w:vAlign w:val="center"/>
                </w:tcPr>
                <w:p w14:paraId="19DDFA89">
                  <w:pPr>
                    <w:keepNext w:val="0"/>
                    <w:keepLines w:val="0"/>
                    <w:pageBreakBefore w:val="0"/>
                    <w:widowControl w:val="0"/>
                    <w:kinsoku/>
                    <w:wordWrap/>
                    <w:overflowPunct w:val="0"/>
                    <w:topLinePunct w:val="0"/>
                    <w:autoSpaceDE/>
                    <w:autoSpaceDN/>
                    <w:bidi w:val="0"/>
                    <w:adjustRightInd/>
                    <w:snapToGrid/>
                    <w:spacing w:line="240" w:lineRule="auto"/>
                    <w:ind w:left="0" w:firstLine="0" w:firstLineChars="0"/>
                    <w:jc w:val="center"/>
                    <w:textAlignment w:val="auto"/>
                  </w:pPr>
                  <w:r>
                    <w:rPr>
                      <w:rFonts w:hint="eastAsia"/>
                      <w:lang w:val="en-US" w:eastAsia="zh-CN"/>
                    </w:rPr>
                    <w:t>/</w:t>
                  </w:r>
                </w:p>
              </w:tc>
            </w:tr>
          </w:tbl>
          <w:p w14:paraId="375B5DB3">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4.5.2、</w:t>
            </w:r>
            <w:r>
              <w:rPr>
                <w:rFonts w:hint="eastAsia"/>
              </w:rPr>
              <w:t>废气污染防治措施可行性分析</w:t>
            </w:r>
          </w:p>
          <w:p w14:paraId="69EE8BAC">
            <w:pPr>
              <w:bidi w:val="0"/>
              <w:rPr>
                <w:rFonts w:hint="eastAsia"/>
              </w:rPr>
            </w:pPr>
            <w:r>
              <w:rPr>
                <w:rFonts w:hint="eastAsia"/>
              </w:rPr>
              <w:t>1、达标可行性</w:t>
            </w:r>
          </w:p>
          <w:p w14:paraId="68BF024C">
            <w:pPr>
              <w:bidi w:val="0"/>
              <w:rPr>
                <w:rFonts w:hint="eastAsia"/>
              </w:rPr>
            </w:pPr>
            <w:r>
              <w:rPr>
                <w:rFonts w:hint="eastAsia"/>
              </w:rPr>
              <w:t>本项目废气主要污染源为颗粒物、SO</w:t>
            </w:r>
            <w:r>
              <w:rPr>
                <w:rFonts w:hint="eastAsia"/>
                <w:vertAlign w:val="subscript"/>
              </w:rPr>
              <w:t>2</w:t>
            </w:r>
            <w:r>
              <w:rPr>
                <w:rFonts w:hint="eastAsia"/>
              </w:rPr>
              <w:t>、NOx、NH</w:t>
            </w:r>
            <w:r>
              <w:rPr>
                <w:rFonts w:hint="eastAsia"/>
                <w:vertAlign w:val="subscript"/>
              </w:rPr>
              <w:t>3</w:t>
            </w:r>
            <w:r>
              <w:rPr>
                <w:rFonts w:hint="eastAsia"/>
              </w:rPr>
              <w:t>、H</w:t>
            </w:r>
            <w:r>
              <w:rPr>
                <w:rFonts w:hint="eastAsia"/>
                <w:vertAlign w:val="subscript"/>
              </w:rPr>
              <w:t>2</w:t>
            </w:r>
            <w:r>
              <w:rPr>
                <w:rFonts w:hint="eastAsia"/>
              </w:rPr>
              <w:t>S、非甲烷总烃。经工程分析可知，</w:t>
            </w:r>
            <w:r>
              <w:rPr>
                <w:rFonts w:hint="eastAsia"/>
                <w:lang w:eastAsia="zh-CN"/>
              </w:rPr>
              <w:t>生物质颗粒</w:t>
            </w:r>
            <w:r>
              <w:rPr>
                <w:rFonts w:hint="eastAsia"/>
              </w:rPr>
              <w:t>燃烧废气排放满足《锅炉大气污染物排放标准》(GB13271-2014)</w:t>
            </w:r>
            <w:r>
              <w:rPr>
                <w:rFonts w:hint="eastAsia"/>
                <w:lang w:eastAsia="zh-CN"/>
              </w:rPr>
              <w:t>生物质</w:t>
            </w:r>
            <w:r>
              <w:rPr>
                <w:rFonts w:hint="eastAsia"/>
              </w:rPr>
              <w:t>锅炉大气污染物排放限值。恶臭气体排放满足《恶臭污染物排放标准》(GB14554-93)中相关标准。非甲烷总烃排放参照《大气污染物综合排放标准》(GB16297-1996)中标准限值要求。</w:t>
            </w:r>
          </w:p>
          <w:p w14:paraId="1DEDF652">
            <w:pPr>
              <w:bidi w:val="0"/>
              <w:rPr>
                <w:rFonts w:hint="default"/>
              </w:rPr>
            </w:pPr>
            <w:r>
              <w:rPr>
                <w:rFonts w:hint="default"/>
              </w:rPr>
              <w:t>2、技术可行性</w:t>
            </w:r>
          </w:p>
          <w:p w14:paraId="4B52A295">
            <w:pPr>
              <w:bidi w:val="0"/>
              <w:rPr>
                <w:rFonts w:hint="default"/>
              </w:rPr>
            </w:pPr>
            <w:r>
              <w:rPr>
                <w:rFonts w:hint="default"/>
                <w:lang w:val="en-US" w:eastAsia="zh-CN"/>
              </w:rPr>
              <w:fldChar w:fldCharType="begin"/>
            </w:r>
            <w:r>
              <w:rPr>
                <w:rFonts w:hint="default"/>
                <w:lang w:val="en-US" w:eastAsia="zh-CN"/>
              </w:rPr>
              <w:instrText xml:space="preserve"> = 1 \* GB3 \* MERGEFORMAT </w:instrText>
            </w:r>
            <w:r>
              <w:rPr>
                <w:rFonts w:hint="default"/>
                <w:lang w:val="en-US" w:eastAsia="zh-CN"/>
              </w:rPr>
              <w:fldChar w:fldCharType="separate"/>
            </w:r>
            <w:r>
              <w:rPr>
                <w:rFonts w:hint="default"/>
              </w:rPr>
              <w:t>①</w:t>
            </w:r>
            <w:r>
              <w:rPr>
                <w:rFonts w:hint="default"/>
                <w:lang w:val="en-US" w:eastAsia="zh-CN"/>
              </w:rPr>
              <w:fldChar w:fldCharType="end"/>
            </w:r>
            <w:r>
              <w:rPr>
                <w:rFonts w:hint="default"/>
                <w:lang w:val="en-US" w:eastAsia="zh-CN"/>
              </w:rPr>
              <w:t>项目有组织废气处理措施可行性分析</w:t>
            </w:r>
          </w:p>
          <w:p w14:paraId="29133231">
            <w:pPr>
              <w:bidi w:val="0"/>
              <w:rPr>
                <w:rFonts w:hint="default"/>
                <w:lang w:val="en-US" w:eastAsia="zh-CN"/>
              </w:rPr>
            </w:pPr>
            <w:r>
              <w:rPr>
                <w:rFonts w:hint="default"/>
                <w:lang w:val="en-US" w:eastAsia="zh-CN"/>
              </w:rPr>
              <w:t>项目化制废气</w:t>
            </w:r>
            <w:r>
              <w:rPr>
                <w:rFonts w:hint="eastAsia"/>
                <w:lang w:val="en-US" w:eastAsia="zh-CN"/>
              </w:rPr>
              <w:t>经“</w:t>
            </w:r>
            <w:r>
              <w:rPr>
                <w:rFonts w:hint="default"/>
                <w:lang w:val="en-US" w:eastAsia="zh-CN"/>
              </w:rPr>
              <w:t>冷凝</w:t>
            </w:r>
            <w:r>
              <w:rPr>
                <w:rFonts w:hint="eastAsia"/>
                <w:lang w:val="en-US" w:eastAsia="zh-CN"/>
              </w:rPr>
              <w:t>+除臭+焚烧”处理后</w:t>
            </w:r>
            <w:r>
              <w:rPr>
                <w:rFonts w:hint="default"/>
                <w:lang w:val="en-US" w:eastAsia="zh-CN"/>
              </w:rPr>
              <w:t>通过1根15m高的排气筒（DA001</w:t>
            </w:r>
            <w:r>
              <w:rPr>
                <w:rFonts w:hint="eastAsia"/>
                <w:lang w:val="en-US" w:eastAsia="zh-CN"/>
              </w:rPr>
              <w:t>）</w:t>
            </w:r>
            <w:r>
              <w:rPr>
                <w:rFonts w:hint="default"/>
                <w:lang w:val="en-US" w:eastAsia="zh-CN"/>
              </w:rPr>
              <w:t>排放。</w:t>
            </w:r>
          </w:p>
          <w:p w14:paraId="3534293F">
            <w:pPr>
              <w:bidi w:val="0"/>
              <w:rPr>
                <w:rFonts w:hint="default"/>
                <w:lang w:val="en-US" w:eastAsia="zh-CN"/>
              </w:rPr>
            </w:pPr>
            <w:r>
              <w:rPr>
                <w:rFonts w:hint="default"/>
                <w:lang w:val="en-US" w:eastAsia="zh-CN"/>
              </w:rPr>
              <w:t>根据《排污许可证申请与核发技术规范 农副食品加工工业—屠宰及肉类加工工业》（HJ860.3-2018</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化制设备或车间废气（干化工艺</w:t>
            </w:r>
            <w:r>
              <w:rPr>
                <w:rFonts w:hint="eastAsia"/>
                <w:lang w:val="en-US" w:eastAsia="zh-CN"/>
              </w:rPr>
              <w:t>）</w:t>
            </w:r>
            <w:r>
              <w:rPr>
                <w:rFonts w:hint="default"/>
                <w:lang w:val="en-US" w:eastAsia="zh-CN"/>
              </w:rPr>
              <w:t>：集中收集恶臭气体到除臭装置处理后（除臭</w:t>
            </w:r>
            <w:r>
              <w:rPr>
                <w:rFonts w:hint="eastAsia"/>
                <w:lang w:val="en-US" w:eastAsia="zh-CN"/>
              </w:rPr>
              <w:t>箱</w:t>
            </w:r>
            <w:r>
              <w:rPr>
                <w:rFonts w:hint="default"/>
                <w:lang w:val="en-US" w:eastAsia="zh-CN"/>
              </w:rPr>
              <w:t>等</w:t>
            </w:r>
            <w:r>
              <w:rPr>
                <w:rFonts w:hint="eastAsia"/>
                <w:lang w:val="en-US" w:eastAsia="zh-CN"/>
              </w:rPr>
              <w:t>）</w:t>
            </w:r>
            <w:r>
              <w:rPr>
                <w:rFonts w:hint="default"/>
                <w:lang w:val="en-US" w:eastAsia="zh-CN"/>
              </w:rPr>
              <w:t>经排气筒排放</w:t>
            </w:r>
            <w:r>
              <w:rPr>
                <w:rFonts w:hint="eastAsia"/>
                <w:lang w:val="en-US" w:eastAsia="zh-CN"/>
              </w:rPr>
              <w:t>”</w:t>
            </w:r>
            <w:r>
              <w:rPr>
                <w:rFonts w:hint="default"/>
                <w:lang w:val="en-US" w:eastAsia="zh-CN"/>
              </w:rPr>
              <w:t>，所以本项目采用</w:t>
            </w:r>
            <w:r>
              <w:rPr>
                <w:rFonts w:hint="eastAsia"/>
                <w:lang w:val="en-US" w:eastAsia="zh-CN"/>
              </w:rPr>
              <w:t>“冷凝+除臭+焚烧”</w:t>
            </w:r>
            <w:r>
              <w:rPr>
                <w:rFonts w:hint="default"/>
                <w:lang w:val="en-US" w:eastAsia="zh-CN"/>
              </w:rPr>
              <w:t>的处理工艺可行。</w:t>
            </w:r>
          </w:p>
          <w:p w14:paraId="000499CB">
            <w:pPr>
              <w:bidi w:val="0"/>
              <w:rPr>
                <w:rFonts w:hint="eastAsia"/>
                <w:lang w:eastAsia="zh-CN"/>
              </w:rPr>
            </w:pPr>
            <w:r>
              <w:rPr>
                <w:rFonts w:hint="default"/>
                <w:lang w:val="en-US" w:eastAsia="zh-CN"/>
              </w:rPr>
              <w:t>项目</w:t>
            </w:r>
            <w:r>
              <w:rPr>
                <w:rFonts w:hint="eastAsia"/>
              </w:rPr>
              <w:t>其他工序(投料、破碎、缓存、油渣分离)</w:t>
            </w:r>
            <w:r>
              <w:rPr>
                <w:rFonts w:hint="eastAsia"/>
                <w:lang w:eastAsia="zh-CN"/>
              </w:rPr>
              <w:t>车间</w:t>
            </w:r>
            <w:r>
              <w:rPr>
                <w:rFonts w:hint="eastAsia"/>
              </w:rPr>
              <w:t>废气采用除臭塔+</w:t>
            </w:r>
            <w:r>
              <w:rPr>
                <w:rFonts w:hint="eastAsia"/>
                <w:lang w:eastAsia="zh-CN"/>
              </w:rPr>
              <w:t>碱喷淋</w:t>
            </w:r>
            <w:r>
              <w:rPr>
                <w:rFonts w:hint="eastAsia"/>
              </w:rPr>
              <w:t>塔+</w:t>
            </w:r>
            <w:r>
              <w:rPr>
                <w:rFonts w:hint="eastAsia"/>
                <w:lang w:eastAsia="zh-CN"/>
              </w:rPr>
              <w:t>二级活性炭吸附</w:t>
            </w:r>
            <w:r>
              <w:rPr>
                <w:rFonts w:hint="eastAsia"/>
              </w:rPr>
              <w:t>处理后通过20m排气筒DA002排放</w:t>
            </w:r>
            <w:r>
              <w:rPr>
                <w:rFonts w:hint="eastAsia"/>
                <w:lang w:eastAsia="zh-CN"/>
              </w:rPr>
              <w:t>。</w:t>
            </w:r>
          </w:p>
          <w:p w14:paraId="14ECE428">
            <w:pPr>
              <w:bidi w:val="0"/>
              <w:rPr>
                <w:rFonts w:hint="default"/>
                <w:lang w:val="en-US" w:eastAsia="zh-CN"/>
              </w:rPr>
            </w:pPr>
            <w:r>
              <w:rPr>
                <w:rFonts w:hint="default"/>
                <w:lang w:val="en-US" w:eastAsia="zh-CN"/>
              </w:rPr>
              <w:t>根据《排污许可证申请与核发技术规范农副食品加工工业—屠宰及肉类加工工业》（HJ860.3-2018</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化制设备或车间废气（干化工艺</w:t>
            </w:r>
            <w:r>
              <w:rPr>
                <w:rFonts w:hint="eastAsia"/>
                <w:lang w:val="en-US" w:eastAsia="zh-CN"/>
              </w:rPr>
              <w:t>）</w:t>
            </w:r>
            <w:r>
              <w:rPr>
                <w:rFonts w:hint="default"/>
                <w:lang w:val="en-US" w:eastAsia="zh-CN"/>
              </w:rPr>
              <w:t>：集中收集恶臭气体到除臭装置处理后（除臭</w:t>
            </w:r>
            <w:r>
              <w:rPr>
                <w:rFonts w:hint="eastAsia"/>
                <w:lang w:val="en-US" w:eastAsia="zh-CN"/>
              </w:rPr>
              <w:t>箱</w:t>
            </w:r>
            <w:r>
              <w:rPr>
                <w:rFonts w:hint="default"/>
                <w:lang w:val="en-US" w:eastAsia="zh-CN"/>
              </w:rPr>
              <w:t>等</w:t>
            </w:r>
            <w:r>
              <w:rPr>
                <w:rFonts w:hint="eastAsia"/>
                <w:lang w:val="en-US" w:eastAsia="zh-CN"/>
              </w:rPr>
              <w:t>）</w:t>
            </w:r>
            <w:r>
              <w:rPr>
                <w:rFonts w:hint="default"/>
                <w:lang w:val="en-US" w:eastAsia="zh-CN"/>
              </w:rPr>
              <w:t>经排气筒排放</w:t>
            </w:r>
            <w:r>
              <w:rPr>
                <w:rFonts w:hint="eastAsia"/>
                <w:lang w:val="en-US" w:eastAsia="zh-CN"/>
              </w:rPr>
              <w:t>”，</w:t>
            </w:r>
            <w:r>
              <w:rPr>
                <w:rFonts w:hint="default"/>
                <w:lang w:val="en-US" w:eastAsia="zh-CN"/>
              </w:rPr>
              <w:t>所以本项目采用</w:t>
            </w:r>
            <w:r>
              <w:rPr>
                <w:rFonts w:hint="eastAsia"/>
                <w:lang w:val="en-US" w:eastAsia="zh-CN"/>
              </w:rPr>
              <w:t>“</w:t>
            </w:r>
            <w:r>
              <w:rPr>
                <w:rFonts w:hint="eastAsia"/>
              </w:rPr>
              <w:t>除臭塔+</w:t>
            </w:r>
            <w:r>
              <w:rPr>
                <w:rFonts w:hint="eastAsia"/>
                <w:lang w:eastAsia="zh-CN"/>
              </w:rPr>
              <w:t>碱喷淋</w:t>
            </w:r>
            <w:r>
              <w:rPr>
                <w:rFonts w:hint="eastAsia"/>
              </w:rPr>
              <w:t>塔+</w:t>
            </w:r>
            <w:r>
              <w:rPr>
                <w:rFonts w:hint="eastAsia"/>
                <w:lang w:eastAsia="zh-CN"/>
              </w:rPr>
              <w:t>二级活性炭吸附</w:t>
            </w:r>
            <w:r>
              <w:rPr>
                <w:rFonts w:hint="eastAsia"/>
                <w:lang w:val="en-US" w:eastAsia="zh-CN"/>
              </w:rPr>
              <w:t>”</w:t>
            </w:r>
            <w:r>
              <w:rPr>
                <w:rFonts w:hint="default"/>
                <w:lang w:val="en-US" w:eastAsia="zh-CN"/>
              </w:rPr>
              <w:t>的处理工艺可行。</w:t>
            </w:r>
          </w:p>
          <w:p w14:paraId="24FC3677">
            <w:pPr>
              <w:bidi w:val="0"/>
              <w:rPr>
                <w:rFonts w:hint="default"/>
                <w:lang w:val="en-US" w:eastAsia="zh-CN"/>
              </w:rPr>
            </w:pPr>
            <w:r>
              <w:rPr>
                <w:rFonts w:hint="default"/>
                <w:lang w:val="en-US" w:eastAsia="zh-CN"/>
              </w:rPr>
              <w:fldChar w:fldCharType="begin"/>
            </w:r>
            <w:r>
              <w:rPr>
                <w:rFonts w:hint="default"/>
                <w:lang w:val="en-US" w:eastAsia="zh-CN"/>
              </w:rPr>
              <w:instrText xml:space="preserve"> = 2 \* GB3 \* MERGEFORMAT </w:instrText>
            </w:r>
            <w:r>
              <w:rPr>
                <w:rFonts w:hint="default"/>
                <w:lang w:val="en-US" w:eastAsia="zh-CN"/>
              </w:rPr>
              <w:fldChar w:fldCharType="separate"/>
            </w:r>
            <w:r>
              <w:rPr>
                <w:rFonts w:hint="default"/>
              </w:rPr>
              <w:t>②</w:t>
            </w:r>
            <w:r>
              <w:rPr>
                <w:rFonts w:hint="default"/>
                <w:lang w:val="en-US" w:eastAsia="zh-CN"/>
              </w:rPr>
              <w:fldChar w:fldCharType="end"/>
            </w:r>
            <w:r>
              <w:rPr>
                <w:rFonts w:hint="default"/>
                <w:lang w:val="en-US" w:eastAsia="zh-CN"/>
              </w:rPr>
              <w:t>项目无组织废气处理措施可行性分析</w:t>
            </w:r>
          </w:p>
          <w:p w14:paraId="1412C56A">
            <w:pPr>
              <w:bidi w:val="0"/>
              <w:rPr>
                <w:rFonts w:hint="eastAsia"/>
                <w:lang w:val="en-US" w:eastAsia="zh-CN"/>
              </w:rPr>
            </w:pPr>
            <w:r>
              <w:rPr>
                <w:rFonts w:hint="default"/>
                <w:lang w:val="en-US" w:eastAsia="zh-CN"/>
              </w:rPr>
              <w:t>项目区周边均设置绿化，车间逸散的无组织废气可通过绿化吸收、阻隔得到一定程度的缓解，但本环评不计处理效率。</w:t>
            </w:r>
          </w:p>
          <w:p w14:paraId="2C0440C2">
            <w:pPr>
              <w:bidi w:val="0"/>
              <w:rPr>
                <w:rFonts w:hint="default"/>
                <w:lang w:eastAsia="zh-CN"/>
              </w:rPr>
            </w:pPr>
            <w:r>
              <w:rPr>
                <w:rFonts w:hint="default"/>
                <w:lang w:eastAsia="zh-CN"/>
              </w:rPr>
              <w:t>综上所述，本项目废气处理设施充分考虑到经济性和环保性，在满足了技术、经济可行性，污染物排放可达性方面的需求下设置废气处理设施，由此可以得出，本项目的废气处理方案是合理的。</w:t>
            </w:r>
          </w:p>
          <w:p w14:paraId="62AF1801">
            <w:pPr>
              <w:bidi w:val="0"/>
              <w:rPr>
                <w:rFonts w:hint="eastAsia"/>
                <w:lang w:val="en-US" w:eastAsia="zh-CN"/>
              </w:rPr>
            </w:pPr>
            <w:r>
              <w:rPr>
                <w:rFonts w:hint="eastAsia"/>
                <w:lang w:val="en-US" w:eastAsia="zh-CN"/>
              </w:rPr>
              <w:t>3、排气筒设置合理性分析</w:t>
            </w:r>
          </w:p>
          <w:p w14:paraId="41762964">
            <w:pPr>
              <w:bidi w:val="0"/>
              <w:rPr>
                <w:rFonts w:hint="default"/>
                <w:lang w:val="en-US" w:eastAsia="zh-CN"/>
              </w:rPr>
            </w:pPr>
            <w:r>
              <w:rPr>
                <w:rFonts w:hint="default"/>
                <w:lang w:val="en-US" w:eastAsia="zh-CN"/>
              </w:rPr>
              <w:t>本项目共设置有组织排气筒</w:t>
            </w:r>
            <w:r>
              <w:rPr>
                <w:rFonts w:hint="eastAsia"/>
                <w:lang w:val="en-US" w:eastAsia="zh-CN"/>
              </w:rPr>
              <w:t>2</w:t>
            </w:r>
            <w:r>
              <w:rPr>
                <w:rFonts w:hint="default"/>
                <w:lang w:val="en-US" w:eastAsia="zh-CN"/>
              </w:rPr>
              <w:t>个，高度为15m</w:t>
            </w:r>
            <w:r>
              <w:rPr>
                <w:rFonts w:hint="eastAsia"/>
                <w:lang w:val="en-US" w:eastAsia="zh-CN"/>
              </w:rPr>
              <w:t>（DA001）、20m（DA002）</w:t>
            </w:r>
            <w:r>
              <w:rPr>
                <w:rFonts w:hint="default"/>
                <w:lang w:val="en-US" w:eastAsia="zh-CN"/>
              </w:rPr>
              <w:t>，根据工程分析，项目排气筒污染物排放速率符合相关排放标准要求。</w:t>
            </w:r>
          </w:p>
          <w:p w14:paraId="4A9E6FCD">
            <w:pPr>
              <w:bidi w:val="0"/>
              <w:rPr>
                <w:rFonts w:hint="default"/>
                <w:lang w:val="en-US" w:eastAsia="zh-CN"/>
              </w:rPr>
            </w:pPr>
            <w:r>
              <w:rPr>
                <w:rFonts w:hint="default"/>
                <w:lang w:val="en-US" w:eastAsia="zh-CN"/>
              </w:rPr>
              <w:t>本项目大气污染物排放执行《恶臭污染物排放标准》（GB14554-93</w:t>
            </w:r>
            <w:r>
              <w:rPr>
                <w:rFonts w:hint="eastAsia"/>
                <w:lang w:val="en-US" w:eastAsia="zh-CN"/>
              </w:rPr>
              <w:t>）</w:t>
            </w:r>
            <w:r>
              <w:rPr>
                <w:rFonts w:hint="default"/>
                <w:lang w:val="en-US" w:eastAsia="zh-CN"/>
              </w:rPr>
              <w:t>，根据《恶臭污染物排放标准》（GB14554-93</w:t>
            </w:r>
            <w:r>
              <w:rPr>
                <w:rFonts w:hint="eastAsia"/>
                <w:lang w:val="en-US" w:eastAsia="zh-CN"/>
              </w:rPr>
              <w:t>）</w:t>
            </w:r>
            <w:r>
              <w:rPr>
                <w:rFonts w:hint="default"/>
                <w:lang w:val="en-US" w:eastAsia="zh-CN"/>
              </w:rPr>
              <w:t>要求：</w:t>
            </w:r>
            <w:r>
              <w:rPr>
                <w:rFonts w:hint="eastAsia"/>
                <w:lang w:val="en-US" w:eastAsia="zh-CN"/>
              </w:rPr>
              <w:t>“</w:t>
            </w:r>
            <w:r>
              <w:rPr>
                <w:rFonts w:hint="default"/>
                <w:lang w:val="en-US" w:eastAsia="zh-CN"/>
              </w:rPr>
              <w:t>排气筒最低高度不得低于15m</w:t>
            </w:r>
            <w:r>
              <w:rPr>
                <w:rFonts w:hint="eastAsia"/>
                <w:lang w:val="en-US" w:eastAsia="zh-CN"/>
              </w:rPr>
              <w:t>”</w:t>
            </w:r>
            <w:r>
              <w:rPr>
                <w:rFonts w:hint="default"/>
                <w:lang w:val="en-US" w:eastAsia="zh-CN"/>
              </w:rPr>
              <w:t>。</w:t>
            </w:r>
          </w:p>
          <w:p w14:paraId="21D17EE6">
            <w:pPr>
              <w:bidi w:val="0"/>
              <w:rPr>
                <w:rFonts w:hint="default"/>
                <w:lang w:val="en-US" w:eastAsia="zh-CN"/>
              </w:rPr>
            </w:pPr>
            <w:r>
              <w:rPr>
                <w:rFonts w:hint="default"/>
                <w:lang w:val="en-US" w:eastAsia="zh-CN"/>
              </w:rPr>
              <w:t>根据设计，本项目大气排气筒设置的高度为15m</w:t>
            </w:r>
            <w:r>
              <w:rPr>
                <w:rFonts w:hint="eastAsia"/>
                <w:lang w:val="en-US" w:eastAsia="zh-CN"/>
              </w:rPr>
              <w:t>（DA001）、20m（DA002）</w:t>
            </w:r>
            <w:r>
              <w:rPr>
                <w:rFonts w:hint="default"/>
                <w:lang w:val="en-US" w:eastAsia="zh-CN"/>
              </w:rPr>
              <w:t>；满足《恶臭污染物排放标准》（GB14554-93</w:t>
            </w:r>
            <w:r>
              <w:rPr>
                <w:rFonts w:hint="eastAsia"/>
                <w:lang w:val="en-US" w:eastAsia="zh-CN"/>
              </w:rPr>
              <w:t>）</w:t>
            </w:r>
            <w:r>
              <w:rPr>
                <w:rFonts w:hint="default"/>
                <w:lang w:val="en-US" w:eastAsia="zh-CN"/>
              </w:rPr>
              <w:t>排气筒最低高度不得低于15m的要求。</w:t>
            </w:r>
          </w:p>
          <w:p w14:paraId="6A6C9F35">
            <w:pPr>
              <w:bidi w:val="0"/>
              <w:rPr>
                <w:rFonts w:hint="default" w:cs="Times New Roman"/>
                <w:lang w:val="en-US" w:eastAsia="zh-CN"/>
              </w:rPr>
            </w:pPr>
            <w:r>
              <w:rPr>
                <w:rFonts w:hint="default"/>
                <w:lang w:val="en-US" w:eastAsia="zh-CN"/>
              </w:rPr>
              <w:t>综上所述，项目拟设置的排气筒高度合理。</w:t>
            </w:r>
          </w:p>
          <w:p w14:paraId="333A5149">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4.5.3、</w:t>
            </w:r>
            <w:r>
              <w:rPr>
                <w:rFonts w:hint="eastAsia"/>
              </w:rPr>
              <w:t>影响分析</w:t>
            </w:r>
          </w:p>
          <w:p w14:paraId="5F4D3962">
            <w:pPr>
              <w:ind w:firstLine="480"/>
            </w:pPr>
            <w:r>
              <w:rPr>
                <w:rFonts w:hint="eastAsia"/>
              </w:rPr>
              <w:t>本项目采用《环境环境影响评价技术导则 大气环境》（HJ2.2-2018）推荐的估算模式ARESCREEN对大气污染物排放进行分析预测。</w:t>
            </w:r>
          </w:p>
          <w:p w14:paraId="309F499B">
            <w:pPr>
              <w:pStyle w:val="6"/>
              <w:numPr>
                <w:ilvl w:val="3"/>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4.5.3.1、</w:t>
            </w:r>
            <w:r>
              <w:rPr>
                <w:rFonts w:hint="eastAsia"/>
              </w:rPr>
              <w:t>评价因子与评价标准筛选</w:t>
            </w:r>
          </w:p>
          <w:p w14:paraId="69D79373">
            <w:pPr>
              <w:ind w:firstLine="480"/>
            </w:pPr>
            <w:r>
              <w:rPr>
                <w:rFonts w:hint="eastAsia"/>
              </w:rPr>
              <w:t>根据本次工程特点，确定本项目的预测因子为</w:t>
            </w:r>
            <w:r>
              <w:rPr>
                <w:spacing w:val="-2"/>
                <w:sz w:val="24"/>
              </w:rPr>
              <w:t>颗粒物</w:t>
            </w:r>
            <w:r>
              <w:rPr>
                <w:rFonts w:hint="eastAsia"/>
                <w:spacing w:val="-2"/>
                <w:sz w:val="24"/>
                <w:lang w:eastAsia="zh-CN"/>
              </w:rPr>
              <w:t>、氨气、硫化氢、非甲烷总烃</w:t>
            </w:r>
            <w:r>
              <w:rPr>
                <w:rFonts w:hint="eastAsia"/>
              </w:rPr>
              <w:t>。</w:t>
            </w:r>
          </w:p>
          <w:p w14:paraId="08F31D98">
            <w:pPr>
              <w:pStyle w:val="6"/>
              <w:numPr>
                <w:ilvl w:val="3"/>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4.5.3.2、</w:t>
            </w:r>
            <w:r>
              <w:rPr>
                <w:rFonts w:hint="eastAsia"/>
              </w:rPr>
              <w:t>评价等级确定</w:t>
            </w:r>
          </w:p>
          <w:p w14:paraId="71C2F874">
            <w:pPr>
              <w:ind w:firstLine="480"/>
            </w:pPr>
            <w:r>
              <w:t>根据《环境影响评价技术导则 大气环境》(HJ2.2-2018)关于大气环境影响评价等级的判定原则，运用导则附录A推荐模型中估算模式进行预测，来确定大气环境影响评价等级。分别计算每种污染物的最大地面空气质量浓度占标率P</w:t>
            </w:r>
            <w:r>
              <w:rPr>
                <w:vertAlign w:val="subscript"/>
              </w:rPr>
              <w:t>i</w:t>
            </w:r>
            <w:r>
              <w:rPr>
                <w:rFonts w:hint="eastAsia"/>
              </w:rPr>
              <w:t>（</w:t>
            </w:r>
            <w:r>
              <w:t>第i个污染物</w:t>
            </w:r>
            <w:r>
              <w:rPr>
                <w:rFonts w:hint="eastAsia"/>
              </w:rPr>
              <w:t>）</w:t>
            </w:r>
            <w:r>
              <w:t>，及第i个污染物的地面空气质量浓度达标准值10%时所对应的最远距离D10%。其中P</w:t>
            </w:r>
            <w:r>
              <w:rPr>
                <w:vertAlign w:val="subscript"/>
              </w:rPr>
              <w:t>i</w:t>
            </w:r>
            <w:r>
              <w:t>定义为：</w:t>
            </w:r>
          </w:p>
          <w:p w14:paraId="5FC268BC">
            <w:pPr>
              <w:ind w:firstLine="0" w:firstLineChars="0"/>
              <w:jc w:val="center"/>
            </w:pPr>
            <w:r>
              <w:t>P</w:t>
            </w:r>
            <w:r>
              <w:rPr>
                <w:vertAlign w:val="subscript"/>
              </w:rPr>
              <w:t>i</w:t>
            </w:r>
            <w:r>
              <w:t>=C</w:t>
            </w:r>
            <w:r>
              <w:rPr>
                <w:vertAlign w:val="subscript"/>
              </w:rPr>
              <w:t>i</w:t>
            </w:r>
            <w:r>
              <w:t>/C</w:t>
            </w:r>
            <w:r>
              <w:rPr>
                <w:vertAlign w:val="subscript"/>
              </w:rPr>
              <w:t>oi</w:t>
            </w:r>
            <w:r>
              <w:t>×100%</w:t>
            </w:r>
          </w:p>
          <w:p w14:paraId="4038D208">
            <w:pPr>
              <w:ind w:firstLine="480"/>
            </w:pPr>
            <w:r>
              <w:t>式中：</w:t>
            </w:r>
          </w:p>
          <w:p w14:paraId="5EDE5FA9">
            <w:pPr>
              <w:ind w:firstLine="480"/>
            </w:pPr>
            <w:r>
              <w:t>P</w:t>
            </w:r>
            <w:r>
              <w:rPr>
                <w:vertAlign w:val="subscript"/>
              </w:rPr>
              <w:t>i</w:t>
            </w:r>
            <w:r>
              <w:t>——第i个污染物的最大地面空气质量浓度占标率，%；</w:t>
            </w:r>
          </w:p>
          <w:p w14:paraId="1408BFAC">
            <w:pPr>
              <w:ind w:firstLine="480"/>
            </w:pPr>
            <w:r>
              <w:t>C</w:t>
            </w:r>
            <w:r>
              <w:rPr>
                <w:vertAlign w:val="subscript"/>
              </w:rPr>
              <w:t>i</w:t>
            </w:r>
            <w:r>
              <w:t>——采用估算模型计算出的第i个污染物的最大1h地面空气质量浓度，μg/m</w:t>
            </w:r>
            <w:r>
              <w:rPr>
                <w:vertAlign w:val="superscript"/>
              </w:rPr>
              <w:t>3</w:t>
            </w:r>
            <w:r>
              <w:t>；</w:t>
            </w:r>
          </w:p>
          <w:p w14:paraId="2EADE4D4">
            <w:pPr>
              <w:ind w:firstLine="480"/>
            </w:pPr>
            <w:r>
              <w:t>C</w:t>
            </w:r>
            <w:r>
              <w:rPr>
                <w:vertAlign w:val="subscript"/>
              </w:rPr>
              <w:t>oi</w:t>
            </w:r>
            <w:r>
              <w:t>——第i类污染物的环境空气质量浓度标准，μg/m</w:t>
            </w:r>
            <w:r>
              <w:rPr>
                <w:vertAlign w:val="superscript"/>
              </w:rPr>
              <w:t>3</w:t>
            </w:r>
            <w:r>
              <w:t>。</w:t>
            </w:r>
          </w:p>
          <w:p w14:paraId="60306D75">
            <w:pPr>
              <w:ind w:firstLine="480"/>
            </w:pPr>
            <w:r>
              <w:t>评价工作等级评价依据见</w:t>
            </w:r>
            <w:r>
              <w:rPr>
                <w:rFonts w:hint="eastAsia"/>
              </w:rPr>
              <w:t>下表</w:t>
            </w:r>
            <w:r>
              <w:t>。如污染物数i大于1，取P值中最大者P</w:t>
            </w:r>
            <w:r>
              <w:rPr>
                <w:vertAlign w:val="subscript"/>
              </w:rPr>
              <w:t>max</w:t>
            </w:r>
            <w:r>
              <w:t>。</w:t>
            </w:r>
          </w:p>
          <w:p w14:paraId="3CE4168B">
            <w:pPr>
              <w:pStyle w:val="8"/>
              <w:numPr>
                <w:ilvl w:val="5"/>
                <w:numId w:val="0"/>
              </w:numPr>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表4-7</w:t>
            </w:r>
            <w:r>
              <w:rPr>
                <w:rFonts w:hint="eastAsia"/>
              </w:rPr>
              <w:t>大气评价工作等级判定依据</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3"/>
              <w:gridCol w:w="4023"/>
            </w:tblGrid>
            <w:tr w14:paraId="19BB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023" w:type="dxa"/>
                  <w:vAlign w:val="center"/>
                </w:tcPr>
                <w:p w14:paraId="1541A1B3">
                  <w:pPr>
                    <w:pStyle w:val="42"/>
                  </w:pPr>
                  <w:r>
                    <w:t>评价工作等级</w:t>
                  </w:r>
                </w:p>
              </w:tc>
              <w:tc>
                <w:tcPr>
                  <w:tcW w:w="4023" w:type="dxa"/>
                  <w:vAlign w:val="center"/>
                </w:tcPr>
                <w:p w14:paraId="11E50348">
                  <w:pPr>
                    <w:pStyle w:val="42"/>
                  </w:pPr>
                  <w:r>
                    <w:t>评价工作分级判据</w:t>
                  </w:r>
                </w:p>
              </w:tc>
            </w:tr>
            <w:tr w14:paraId="1572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023" w:type="dxa"/>
                  <w:vAlign w:val="center"/>
                </w:tcPr>
                <w:p w14:paraId="4DA64C7D">
                  <w:pPr>
                    <w:pStyle w:val="42"/>
                  </w:pPr>
                  <w:r>
                    <w:t>一级评价</w:t>
                  </w:r>
                </w:p>
              </w:tc>
              <w:tc>
                <w:tcPr>
                  <w:tcW w:w="4023" w:type="dxa"/>
                  <w:vAlign w:val="center"/>
                </w:tcPr>
                <w:p w14:paraId="7FD12482">
                  <w:pPr>
                    <w:pStyle w:val="42"/>
                  </w:pPr>
                  <w:r>
                    <w:t>P</w:t>
                  </w:r>
                  <w:r>
                    <w:rPr>
                      <w:vertAlign w:val="subscript"/>
                    </w:rPr>
                    <w:t>max</w:t>
                  </w:r>
                  <w:r>
                    <w:t>≥10%</w:t>
                  </w:r>
                </w:p>
              </w:tc>
            </w:tr>
            <w:tr w14:paraId="061F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023" w:type="dxa"/>
                  <w:vAlign w:val="center"/>
                </w:tcPr>
                <w:p w14:paraId="666E26B6">
                  <w:pPr>
                    <w:pStyle w:val="42"/>
                  </w:pPr>
                  <w:r>
                    <w:t>二级评价</w:t>
                  </w:r>
                </w:p>
              </w:tc>
              <w:tc>
                <w:tcPr>
                  <w:tcW w:w="4023" w:type="dxa"/>
                  <w:vAlign w:val="center"/>
                </w:tcPr>
                <w:p w14:paraId="2ACFEF62">
                  <w:pPr>
                    <w:pStyle w:val="42"/>
                  </w:pPr>
                  <w:r>
                    <w:t>1%≤P</w:t>
                  </w:r>
                  <w:r>
                    <w:rPr>
                      <w:vertAlign w:val="subscript"/>
                    </w:rPr>
                    <w:t>max</w:t>
                  </w:r>
                  <w:r>
                    <w:t>＜10%</w:t>
                  </w:r>
                </w:p>
              </w:tc>
            </w:tr>
            <w:tr w14:paraId="6BE3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023" w:type="dxa"/>
                  <w:vAlign w:val="center"/>
                </w:tcPr>
                <w:p w14:paraId="77C91F28">
                  <w:pPr>
                    <w:pStyle w:val="42"/>
                  </w:pPr>
                  <w:r>
                    <w:t>三级评价</w:t>
                  </w:r>
                </w:p>
              </w:tc>
              <w:tc>
                <w:tcPr>
                  <w:tcW w:w="4023" w:type="dxa"/>
                  <w:vAlign w:val="center"/>
                </w:tcPr>
                <w:p w14:paraId="79BD3D3C">
                  <w:pPr>
                    <w:pStyle w:val="42"/>
                  </w:pPr>
                  <w:r>
                    <w:t>P</w:t>
                  </w:r>
                  <w:r>
                    <w:rPr>
                      <w:vertAlign w:val="subscript"/>
                    </w:rPr>
                    <w:t>max</w:t>
                  </w:r>
                  <w:r>
                    <w:t>＜1%</w:t>
                  </w:r>
                </w:p>
              </w:tc>
            </w:tr>
          </w:tbl>
          <w:p w14:paraId="03BB03FE">
            <w:pPr>
              <w:pStyle w:val="6"/>
              <w:numPr>
                <w:ilvl w:val="3"/>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4.5.3.3、</w:t>
            </w:r>
            <w:r>
              <w:rPr>
                <w:rFonts w:hint="eastAsia"/>
              </w:rPr>
              <w:t>预测模式</w:t>
            </w:r>
          </w:p>
          <w:p w14:paraId="3894E1F1">
            <w:pPr>
              <w:ind w:firstLine="480"/>
            </w:pPr>
            <w:r>
              <w:rPr>
                <w:rFonts w:hint="eastAsia"/>
              </w:rPr>
              <w:t>根据导则要求，环评采用ARESCREEN估算模型进行筛选计算评价等级。</w:t>
            </w:r>
          </w:p>
          <w:p w14:paraId="42ACBD02">
            <w:pPr>
              <w:pStyle w:val="8"/>
              <w:numPr>
                <w:ilvl w:val="5"/>
                <w:numId w:val="0"/>
              </w:numPr>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表4-8</w:t>
            </w:r>
            <w:r>
              <w:rPr>
                <w:rFonts w:hint="eastAsia"/>
              </w:rPr>
              <w:t>估算模型参数表</w:t>
            </w:r>
          </w:p>
          <w:tbl>
            <w:tblPr>
              <w:tblStyle w:val="26"/>
              <w:tblW w:w="8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8"/>
              <w:gridCol w:w="2699"/>
              <w:gridCol w:w="2699"/>
            </w:tblGrid>
            <w:tr w14:paraId="6A2E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97" w:type="dxa"/>
                  <w:gridSpan w:val="2"/>
                  <w:vAlign w:val="center"/>
                </w:tcPr>
                <w:p w14:paraId="77DBC320">
                  <w:pPr>
                    <w:pStyle w:val="42"/>
                  </w:pPr>
                  <w:r>
                    <w:t>参数</w:t>
                  </w:r>
                </w:p>
              </w:tc>
              <w:tc>
                <w:tcPr>
                  <w:tcW w:w="2699" w:type="dxa"/>
                  <w:vAlign w:val="center"/>
                </w:tcPr>
                <w:p w14:paraId="44D994D1">
                  <w:pPr>
                    <w:pStyle w:val="42"/>
                  </w:pPr>
                  <w:r>
                    <w:t>取值</w:t>
                  </w:r>
                </w:p>
              </w:tc>
            </w:tr>
            <w:tr w14:paraId="0BD0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2698" w:type="dxa"/>
                  <w:vMerge w:val="restart"/>
                  <w:vAlign w:val="center"/>
                </w:tcPr>
                <w:p w14:paraId="24A88FC6">
                  <w:pPr>
                    <w:pStyle w:val="42"/>
                  </w:pPr>
                  <w:r>
                    <w:t>城市/农村</w:t>
                  </w:r>
                </w:p>
              </w:tc>
              <w:tc>
                <w:tcPr>
                  <w:tcW w:w="2699" w:type="dxa"/>
                  <w:vAlign w:val="center"/>
                </w:tcPr>
                <w:p w14:paraId="71A073D2">
                  <w:pPr>
                    <w:pStyle w:val="42"/>
                  </w:pPr>
                  <w:r>
                    <w:t>城市/农村</w:t>
                  </w:r>
                </w:p>
              </w:tc>
              <w:tc>
                <w:tcPr>
                  <w:tcW w:w="2699" w:type="dxa"/>
                  <w:vAlign w:val="center"/>
                </w:tcPr>
                <w:p w14:paraId="338837C6">
                  <w:pPr>
                    <w:pStyle w:val="42"/>
                    <w:rPr>
                      <w:rFonts w:hint="eastAsia" w:eastAsia="宋体"/>
                      <w:lang w:eastAsia="zh-CN"/>
                    </w:rPr>
                  </w:pPr>
                  <w:r>
                    <w:rPr>
                      <w:rFonts w:hint="eastAsia"/>
                      <w:lang w:eastAsia="zh-CN"/>
                    </w:rPr>
                    <w:t>农村</w:t>
                  </w:r>
                </w:p>
              </w:tc>
            </w:tr>
            <w:tr w14:paraId="259E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98" w:type="dxa"/>
                  <w:vMerge w:val="continue"/>
                  <w:vAlign w:val="center"/>
                </w:tcPr>
                <w:p w14:paraId="595BD210">
                  <w:pPr>
                    <w:pStyle w:val="42"/>
                  </w:pPr>
                </w:p>
              </w:tc>
              <w:tc>
                <w:tcPr>
                  <w:tcW w:w="2699" w:type="dxa"/>
                  <w:vAlign w:val="center"/>
                </w:tcPr>
                <w:p w14:paraId="3296A42D">
                  <w:pPr>
                    <w:pStyle w:val="42"/>
                  </w:pPr>
                  <w:r>
                    <w:t>人口数（城市选项时）</w:t>
                  </w:r>
                </w:p>
              </w:tc>
              <w:tc>
                <w:tcPr>
                  <w:tcW w:w="2699" w:type="dxa"/>
                  <w:vAlign w:val="center"/>
                </w:tcPr>
                <w:p w14:paraId="58252F8F">
                  <w:pPr>
                    <w:pStyle w:val="42"/>
                    <w:rPr>
                      <w:rFonts w:hint="default" w:eastAsia="宋体"/>
                      <w:lang w:val="en-US" w:eastAsia="zh-CN"/>
                    </w:rPr>
                  </w:pPr>
                  <w:r>
                    <w:rPr>
                      <w:rFonts w:hint="eastAsia"/>
                      <w:lang w:val="en-US" w:eastAsia="zh-CN"/>
                    </w:rPr>
                    <w:t>1万</w:t>
                  </w:r>
                </w:p>
              </w:tc>
            </w:tr>
            <w:tr w14:paraId="53BA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397" w:type="dxa"/>
                  <w:gridSpan w:val="2"/>
                  <w:vAlign w:val="center"/>
                </w:tcPr>
                <w:p w14:paraId="46D44BA4">
                  <w:pPr>
                    <w:pStyle w:val="42"/>
                  </w:pPr>
                  <w:r>
                    <w:t>最高环境温度/℃</w:t>
                  </w:r>
                </w:p>
              </w:tc>
              <w:tc>
                <w:tcPr>
                  <w:tcW w:w="2699" w:type="dxa"/>
                  <w:vAlign w:val="center"/>
                </w:tcPr>
                <w:p w14:paraId="5966B1A9">
                  <w:pPr>
                    <w:pStyle w:val="42"/>
                  </w:pPr>
                  <w:r>
                    <w:t>38</w:t>
                  </w:r>
                </w:p>
              </w:tc>
            </w:tr>
            <w:tr w14:paraId="0761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397" w:type="dxa"/>
                  <w:gridSpan w:val="2"/>
                  <w:vAlign w:val="center"/>
                </w:tcPr>
                <w:p w14:paraId="36D2E03C">
                  <w:pPr>
                    <w:pStyle w:val="42"/>
                  </w:pPr>
                  <w:r>
                    <w:t>最低环境温度/℃</w:t>
                  </w:r>
                </w:p>
              </w:tc>
              <w:tc>
                <w:tcPr>
                  <w:tcW w:w="2699" w:type="dxa"/>
                  <w:vAlign w:val="center"/>
                </w:tcPr>
                <w:p w14:paraId="52F11FE2">
                  <w:pPr>
                    <w:pStyle w:val="42"/>
                    <w:rPr>
                      <w:rFonts w:hint="eastAsia" w:eastAsia="宋体"/>
                      <w:lang w:eastAsia="zh-CN"/>
                    </w:rPr>
                  </w:pPr>
                  <w:r>
                    <w:rPr>
                      <w:rFonts w:hint="eastAsia"/>
                      <w:lang w:val="en-US" w:eastAsia="zh-CN"/>
                    </w:rPr>
                    <w:t>1</w:t>
                  </w:r>
                </w:p>
              </w:tc>
            </w:tr>
            <w:tr w14:paraId="3D5A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397" w:type="dxa"/>
                  <w:gridSpan w:val="2"/>
                  <w:vAlign w:val="center"/>
                </w:tcPr>
                <w:p w14:paraId="2FB87384">
                  <w:pPr>
                    <w:pStyle w:val="42"/>
                  </w:pPr>
                  <w:r>
                    <w:t>土地利用类型</w:t>
                  </w:r>
                </w:p>
              </w:tc>
              <w:tc>
                <w:tcPr>
                  <w:tcW w:w="2699" w:type="dxa"/>
                  <w:vAlign w:val="center"/>
                </w:tcPr>
                <w:p w14:paraId="52345982">
                  <w:pPr>
                    <w:pStyle w:val="42"/>
                    <w:rPr>
                      <w:rFonts w:hint="eastAsia" w:eastAsia="宋体"/>
                      <w:lang w:eastAsia="zh-CN"/>
                    </w:rPr>
                  </w:pPr>
                  <w:r>
                    <w:rPr>
                      <w:rFonts w:hint="eastAsia"/>
                      <w:lang w:eastAsia="zh-CN"/>
                    </w:rPr>
                    <w:t>公共设施</w:t>
                  </w:r>
                </w:p>
              </w:tc>
            </w:tr>
            <w:tr w14:paraId="11FB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397" w:type="dxa"/>
                  <w:gridSpan w:val="2"/>
                  <w:vAlign w:val="center"/>
                </w:tcPr>
                <w:p w14:paraId="58B15190">
                  <w:pPr>
                    <w:pStyle w:val="42"/>
                  </w:pPr>
                  <w:r>
                    <w:t>区域湿度条件</w:t>
                  </w:r>
                </w:p>
              </w:tc>
              <w:tc>
                <w:tcPr>
                  <w:tcW w:w="2699" w:type="dxa"/>
                  <w:vAlign w:val="center"/>
                </w:tcPr>
                <w:p w14:paraId="2592F634">
                  <w:pPr>
                    <w:pStyle w:val="42"/>
                  </w:pPr>
                  <w:r>
                    <w:rPr>
                      <w:rFonts w:hint="eastAsia"/>
                    </w:rPr>
                    <w:t>潮湿气候</w:t>
                  </w:r>
                </w:p>
              </w:tc>
            </w:tr>
            <w:tr w14:paraId="72F7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2698" w:type="dxa"/>
                  <w:vMerge w:val="restart"/>
                  <w:vAlign w:val="center"/>
                </w:tcPr>
                <w:p w14:paraId="0852BC07">
                  <w:pPr>
                    <w:pStyle w:val="42"/>
                  </w:pPr>
                  <w:r>
                    <w:rPr>
                      <w:rFonts w:hint="eastAsia"/>
                    </w:rPr>
                    <w:t>是否考虑地形</w:t>
                  </w:r>
                </w:p>
              </w:tc>
              <w:tc>
                <w:tcPr>
                  <w:tcW w:w="2699" w:type="dxa"/>
                  <w:vAlign w:val="center"/>
                </w:tcPr>
                <w:p w14:paraId="6904148F">
                  <w:pPr>
                    <w:pStyle w:val="42"/>
                  </w:pPr>
                  <w:r>
                    <w:rPr>
                      <w:rFonts w:hint="eastAsia"/>
                    </w:rPr>
                    <w:t>考虑地形</w:t>
                  </w:r>
                </w:p>
              </w:tc>
              <w:tc>
                <w:tcPr>
                  <w:tcW w:w="2699" w:type="dxa"/>
                  <w:vAlign w:val="center"/>
                </w:tcPr>
                <w:p w14:paraId="5C959EBE">
                  <w:pPr>
                    <w:pStyle w:val="42"/>
                  </w:pPr>
                  <w:r>
                    <w:rPr>
                      <w:rFonts w:hint="eastAsia"/>
                    </w:rPr>
                    <w:t>否</w:t>
                  </w:r>
                </w:p>
              </w:tc>
            </w:tr>
            <w:tr w14:paraId="1D5F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98" w:type="dxa"/>
                  <w:vMerge w:val="continue"/>
                  <w:vAlign w:val="center"/>
                </w:tcPr>
                <w:p w14:paraId="28C016D1">
                  <w:pPr>
                    <w:pStyle w:val="42"/>
                  </w:pPr>
                </w:p>
              </w:tc>
              <w:tc>
                <w:tcPr>
                  <w:tcW w:w="2699" w:type="dxa"/>
                  <w:vAlign w:val="center"/>
                </w:tcPr>
                <w:p w14:paraId="6C3809FE">
                  <w:pPr>
                    <w:pStyle w:val="42"/>
                  </w:pPr>
                  <w:r>
                    <w:t>地形数据分辨率(m)</w:t>
                  </w:r>
                </w:p>
              </w:tc>
              <w:tc>
                <w:tcPr>
                  <w:tcW w:w="2699" w:type="dxa"/>
                  <w:vAlign w:val="center"/>
                </w:tcPr>
                <w:p w14:paraId="3CE44CB6">
                  <w:pPr>
                    <w:pStyle w:val="42"/>
                  </w:pPr>
                  <w:r>
                    <w:rPr>
                      <w:rFonts w:hint="eastAsia"/>
                    </w:rPr>
                    <w:t>/</w:t>
                  </w:r>
                </w:p>
              </w:tc>
            </w:tr>
            <w:tr w14:paraId="74F8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2698" w:type="dxa"/>
                  <w:vMerge w:val="restart"/>
                  <w:vAlign w:val="center"/>
                </w:tcPr>
                <w:p w14:paraId="7A141632">
                  <w:pPr>
                    <w:pStyle w:val="42"/>
                  </w:pPr>
                  <w:r>
                    <w:t>是否考虑海岸线熏烟</w:t>
                  </w:r>
                </w:p>
              </w:tc>
              <w:tc>
                <w:tcPr>
                  <w:tcW w:w="2699" w:type="dxa"/>
                  <w:vAlign w:val="center"/>
                </w:tcPr>
                <w:p w14:paraId="6FA4630A">
                  <w:pPr>
                    <w:pStyle w:val="42"/>
                  </w:pPr>
                  <w:r>
                    <w:t>是/否</w:t>
                  </w:r>
                </w:p>
              </w:tc>
              <w:tc>
                <w:tcPr>
                  <w:tcW w:w="2699" w:type="dxa"/>
                  <w:vAlign w:val="center"/>
                </w:tcPr>
                <w:p w14:paraId="10785F9C">
                  <w:pPr>
                    <w:pStyle w:val="42"/>
                  </w:pPr>
                  <w:r>
                    <w:t>否</w:t>
                  </w:r>
                </w:p>
              </w:tc>
            </w:tr>
            <w:tr w14:paraId="0A67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98" w:type="dxa"/>
                  <w:vMerge w:val="continue"/>
                  <w:vAlign w:val="center"/>
                </w:tcPr>
                <w:p w14:paraId="028E7EAB">
                  <w:pPr>
                    <w:pStyle w:val="42"/>
                  </w:pPr>
                </w:p>
              </w:tc>
              <w:tc>
                <w:tcPr>
                  <w:tcW w:w="2699" w:type="dxa"/>
                  <w:vAlign w:val="center"/>
                </w:tcPr>
                <w:p w14:paraId="2F9E08D0">
                  <w:pPr>
                    <w:pStyle w:val="42"/>
                  </w:pPr>
                  <w:r>
                    <w:t>海岸线距离/m</w:t>
                  </w:r>
                </w:p>
              </w:tc>
              <w:tc>
                <w:tcPr>
                  <w:tcW w:w="2699" w:type="dxa"/>
                  <w:vAlign w:val="center"/>
                </w:tcPr>
                <w:p w14:paraId="5CC4F139">
                  <w:pPr>
                    <w:pStyle w:val="42"/>
                  </w:pPr>
                  <w:r>
                    <w:t>/</w:t>
                  </w:r>
                </w:p>
              </w:tc>
            </w:tr>
            <w:tr w14:paraId="4046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698" w:type="dxa"/>
                  <w:vMerge w:val="continue"/>
                  <w:vAlign w:val="center"/>
                </w:tcPr>
                <w:p w14:paraId="2E0A8E78">
                  <w:pPr>
                    <w:pStyle w:val="42"/>
                  </w:pPr>
                </w:p>
              </w:tc>
              <w:tc>
                <w:tcPr>
                  <w:tcW w:w="2699" w:type="dxa"/>
                  <w:vAlign w:val="center"/>
                </w:tcPr>
                <w:p w14:paraId="66084D62">
                  <w:pPr>
                    <w:pStyle w:val="42"/>
                  </w:pPr>
                  <w:r>
                    <w:t>海岸线方向/°</w:t>
                  </w:r>
                </w:p>
              </w:tc>
              <w:tc>
                <w:tcPr>
                  <w:tcW w:w="2699" w:type="dxa"/>
                  <w:vAlign w:val="center"/>
                </w:tcPr>
                <w:p w14:paraId="678DA6DB">
                  <w:pPr>
                    <w:pStyle w:val="42"/>
                  </w:pPr>
                  <w:r>
                    <w:t>/</w:t>
                  </w:r>
                </w:p>
              </w:tc>
            </w:tr>
          </w:tbl>
          <w:p w14:paraId="7E396B75">
            <w:pPr>
              <w:pStyle w:val="8"/>
              <w:numPr>
                <w:ilvl w:val="5"/>
                <w:numId w:val="0"/>
              </w:numPr>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表4-9</w:t>
            </w:r>
            <w:r>
              <w:rPr>
                <w:rFonts w:hint="eastAsia"/>
              </w:rPr>
              <w:t>点源参数</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394"/>
              <w:gridCol w:w="1318"/>
              <w:gridCol w:w="1242"/>
              <w:gridCol w:w="394"/>
              <w:gridCol w:w="439"/>
              <w:gridCol w:w="394"/>
              <w:gridCol w:w="573"/>
              <w:gridCol w:w="394"/>
              <w:gridCol w:w="707"/>
              <w:gridCol w:w="618"/>
              <w:gridCol w:w="618"/>
              <w:gridCol w:w="797"/>
            </w:tblGrid>
            <w:tr w14:paraId="10ED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35" w:type="dxa"/>
                  <w:vMerge w:val="restart"/>
                  <w:vAlign w:val="center"/>
                </w:tcPr>
                <w:p w14:paraId="7BDC5259">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r>
                    <w:rPr>
                      <w:rFonts w:hint="eastAsia"/>
                      <w:highlight w:val="none"/>
                    </w:rPr>
                    <w:t>编号</w:t>
                  </w:r>
                </w:p>
              </w:tc>
              <w:tc>
                <w:tcPr>
                  <w:tcW w:w="426" w:type="dxa"/>
                  <w:vMerge w:val="restart"/>
                  <w:vAlign w:val="center"/>
                </w:tcPr>
                <w:p w14:paraId="4E50216F">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r>
                    <w:rPr>
                      <w:rFonts w:hint="eastAsia"/>
                      <w:highlight w:val="none"/>
                    </w:rPr>
                    <w:t>名称</w:t>
                  </w:r>
                </w:p>
              </w:tc>
              <w:tc>
                <w:tcPr>
                  <w:tcW w:w="1474" w:type="dxa"/>
                  <w:gridSpan w:val="2"/>
                  <w:vAlign w:val="center"/>
                </w:tcPr>
                <w:p w14:paraId="30C99910">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highlight w:val="none"/>
                    </w:rPr>
                  </w:pPr>
                  <w:r>
                    <w:rPr>
                      <w:rFonts w:hint="eastAsia"/>
                      <w:highlight w:val="none"/>
                    </w:rPr>
                    <w:t>坐标</w:t>
                  </w:r>
                </w:p>
              </w:tc>
              <w:tc>
                <w:tcPr>
                  <w:tcW w:w="1851" w:type="dxa"/>
                  <w:gridSpan w:val="3"/>
                  <w:vAlign w:val="center"/>
                </w:tcPr>
                <w:p w14:paraId="133A6ACB">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eastAsia="宋体"/>
                      <w:highlight w:val="none"/>
                      <w:lang w:eastAsia="zh-CN"/>
                    </w:rPr>
                  </w:pPr>
                  <w:r>
                    <w:rPr>
                      <w:rFonts w:hint="eastAsia"/>
                      <w:highlight w:val="none"/>
                      <w:lang w:eastAsia="zh-CN"/>
                    </w:rPr>
                    <w:t>排气筒参数</w:t>
                  </w:r>
                </w:p>
              </w:tc>
              <w:tc>
                <w:tcPr>
                  <w:tcW w:w="636" w:type="dxa"/>
                  <w:vMerge w:val="restart"/>
                  <w:vAlign w:val="center"/>
                </w:tcPr>
                <w:p w14:paraId="431FA99D">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r>
                    <w:rPr>
                      <w:rFonts w:hint="eastAsia"/>
                      <w:highlight w:val="none"/>
                    </w:rPr>
                    <w:t>年排放小时数h</w:t>
                  </w:r>
                </w:p>
              </w:tc>
              <w:tc>
                <w:tcPr>
                  <w:tcW w:w="426" w:type="dxa"/>
                  <w:vMerge w:val="restart"/>
                  <w:vAlign w:val="center"/>
                </w:tcPr>
                <w:p w14:paraId="30BACAE5">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r>
                    <w:rPr>
                      <w:rFonts w:hint="eastAsia"/>
                      <w:highlight w:val="none"/>
                    </w:rPr>
                    <w:t>排放工况</w:t>
                  </w:r>
                </w:p>
              </w:tc>
              <w:tc>
                <w:tcPr>
                  <w:tcW w:w="2958" w:type="dxa"/>
                  <w:gridSpan w:val="4"/>
                  <w:vAlign w:val="center"/>
                </w:tcPr>
                <w:p w14:paraId="2093986C">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highlight w:val="none"/>
                    </w:rPr>
                  </w:pPr>
                  <w:r>
                    <w:rPr>
                      <w:rFonts w:hint="eastAsia"/>
                      <w:highlight w:val="none"/>
                    </w:rPr>
                    <w:t>污染因子排放速率kg</w:t>
                  </w:r>
                  <w:r>
                    <w:rPr>
                      <w:highlight w:val="none"/>
                    </w:rPr>
                    <w:t>/h</w:t>
                  </w:r>
                </w:p>
              </w:tc>
            </w:tr>
            <w:tr w14:paraId="3536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35" w:type="dxa"/>
                  <w:vMerge w:val="continue"/>
                  <w:vAlign w:val="center"/>
                </w:tcPr>
                <w:p w14:paraId="29031690">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p>
              </w:tc>
              <w:tc>
                <w:tcPr>
                  <w:tcW w:w="426" w:type="dxa"/>
                  <w:vMerge w:val="continue"/>
                  <w:vAlign w:val="center"/>
                </w:tcPr>
                <w:p w14:paraId="7685584B">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p>
              </w:tc>
              <w:tc>
                <w:tcPr>
                  <w:tcW w:w="752" w:type="dxa"/>
                  <w:vAlign w:val="center"/>
                </w:tcPr>
                <w:p w14:paraId="7499281C">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eastAsia="宋体"/>
                      <w:highlight w:val="none"/>
                      <w:lang w:eastAsia="zh-CN"/>
                    </w:rPr>
                  </w:pPr>
                  <w:r>
                    <w:rPr>
                      <w:rFonts w:hint="eastAsia"/>
                      <w:highlight w:val="none"/>
                      <w:lang w:eastAsia="zh-CN"/>
                    </w:rPr>
                    <w:t>经度</w:t>
                  </w:r>
                </w:p>
              </w:tc>
              <w:tc>
                <w:tcPr>
                  <w:tcW w:w="722" w:type="dxa"/>
                  <w:vAlign w:val="center"/>
                </w:tcPr>
                <w:p w14:paraId="573D591A">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eastAsia="宋体"/>
                      <w:highlight w:val="none"/>
                      <w:lang w:eastAsia="zh-CN"/>
                    </w:rPr>
                  </w:pPr>
                  <w:r>
                    <w:rPr>
                      <w:rFonts w:hint="eastAsia"/>
                      <w:highlight w:val="none"/>
                      <w:lang w:eastAsia="zh-CN"/>
                    </w:rPr>
                    <w:t>纬度</w:t>
                  </w:r>
                </w:p>
              </w:tc>
              <w:tc>
                <w:tcPr>
                  <w:tcW w:w="426" w:type="dxa"/>
                  <w:vAlign w:val="center"/>
                </w:tcPr>
                <w:p w14:paraId="32A4A58C">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r>
                    <w:rPr>
                      <w:rFonts w:hint="eastAsia"/>
                      <w:highlight w:val="none"/>
                    </w:rPr>
                    <w:t>高度m</w:t>
                  </w:r>
                </w:p>
              </w:tc>
              <w:tc>
                <w:tcPr>
                  <w:tcW w:w="479" w:type="dxa"/>
                  <w:vAlign w:val="center"/>
                </w:tcPr>
                <w:p w14:paraId="716FAA92">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r>
                    <w:rPr>
                      <w:rFonts w:hint="eastAsia"/>
                      <w:highlight w:val="none"/>
                    </w:rPr>
                    <w:t>内径m</w:t>
                  </w:r>
                </w:p>
              </w:tc>
              <w:tc>
                <w:tcPr>
                  <w:tcW w:w="946" w:type="dxa"/>
                  <w:vAlign w:val="center"/>
                </w:tcPr>
                <w:p w14:paraId="3E814355">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r>
                    <w:rPr>
                      <w:rFonts w:hint="eastAsia"/>
                      <w:highlight w:val="none"/>
                    </w:rPr>
                    <w:t>温度</w:t>
                  </w:r>
                </w:p>
                <w:p w14:paraId="1B16779D">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r>
                    <w:rPr>
                      <w:highlight w:val="none"/>
                    </w:rPr>
                    <w:t>℃</w:t>
                  </w:r>
                </w:p>
              </w:tc>
              <w:tc>
                <w:tcPr>
                  <w:tcW w:w="636" w:type="dxa"/>
                  <w:vMerge w:val="continue"/>
                  <w:vAlign w:val="center"/>
                </w:tcPr>
                <w:p w14:paraId="0C6F86B3">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p>
              </w:tc>
              <w:tc>
                <w:tcPr>
                  <w:tcW w:w="426" w:type="dxa"/>
                  <w:vMerge w:val="continue"/>
                  <w:vAlign w:val="center"/>
                </w:tcPr>
                <w:p w14:paraId="2D8F2F69">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p>
              </w:tc>
              <w:tc>
                <w:tcPr>
                  <w:tcW w:w="786" w:type="dxa"/>
                  <w:vAlign w:val="center"/>
                </w:tcPr>
                <w:p w14:paraId="691A9354">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eastAsia="宋体"/>
                      <w:highlight w:val="none"/>
                      <w:lang w:eastAsia="zh-CN"/>
                    </w:rPr>
                  </w:pPr>
                  <w:r>
                    <w:rPr>
                      <w:rFonts w:hint="eastAsia"/>
                      <w:highlight w:val="none"/>
                      <w:lang w:eastAsia="zh-CN"/>
                    </w:rPr>
                    <w:t>颗粒物</w:t>
                  </w:r>
                </w:p>
              </w:tc>
              <w:tc>
                <w:tcPr>
                  <w:tcW w:w="689" w:type="dxa"/>
                  <w:vAlign w:val="center"/>
                </w:tcPr>
                <w:p w14:paraId="3B92E298">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eastAsia="宋体"/>
                      <w:highlight w:val="none"/>
                      <w:lang w:eastAsia="zh-CN"/>
                    </w:rPr>
                  </w:pPr>
                  <w:r>
                    <w:rPr>
                      <w:rFonts w:hint="eastAsia"/>
                      <w:highlight w:val="none"/>
                      <w:lang w:eastAsia="zh-CN"/>
                    </w:rPr>
                    <w:t>非甲烷总烃</w:t>
                  </w:r>
                </w:p>
              </w:tc>
              <w:tc>
                <w:tcPr>
                  <w:tcW w:w="689" w:type="dxa"/>
                  <w:vAlign w:val="center"/>
                </w:tcPr>
                <w:p w14:paraId="1A6E7148">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highlight w:val="none"/>
                      <w:lang w:eastAsia="zh-CN"/>
                    </w:rPr>
                  </w:pPr>
                  <w:r>
                    <w:rPr>
                      <w:rFonts w:hint="eastAsia"/>
                      <w:highlight w:val="none"/>
                      <w:lang w:eastAsia="zh-CN"/>
                    </w:rPr>
                    <w:t>氨气</w:t>
                  </w:r>
                </w:p>
              </w:tc>
              <w:tc>
                <w:tcPr>
                  <w:tcW w:w="794" w:type="dxa"/>
                  <w:vAlign w:val="center"/>
                </w:tcPr>
                <w:p w14:paraId="42BF798F">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highlight w:val="none"/>
                      <w:lang w:eastAsia="zh-CN"/>
                    </w:rPr>
                  </w:pPr>
                  <w:r>
                    <w:rPr>
                      <w:rFonts w:hint="eastAsia"/>
                      <w:highlight w:val="none"/>
                      <w:lang w:eastAsia="zh-CN"/>
                    </w:rPr>
                    <w:t>硫化氢</w:t>
                  </w:r>
                </w:p>
              </w:tc>
            </w:tr>
            <w:tr w14:paraId="4CB1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1644DDED">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highlight w:val="none"/>
                      <w:lang w:val="en-US" w:eastAsia="zh-CN"/>
                    </w:rPr>
                  </w:pPr>
                  <w:r>
                    <w:rPr>
                      <w:rFonts w:hint="eastAsia"/>
                      <w:highlight w:val="none"/>
                      <w:lang w:val="en-US" w:eastAsia="zh-CN"/>
                    </w:rPr>
                    <w:t>DA001</w:t>
                  </w:r>
                </w:p>
              </w:tc>
              <w:tc>
                <w:tcPr>
                  <w:tcW w:w="426" w:type="dxa"/>
                  <w:vAlign w:val="center"/>
                </w:tcPr>
                <w:p w14:paraId="6B0286CA">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r>
                    <w:rPr>
                      <w:highlight w:val="none"/>
                    </w:rPr>
                    <w:t>1#排气筒</w:t>
                  </w:r>
                </w:p>
              </w:tc>
              <w:tc>
                <w:tcPr>
                  <w:tcW w:w="752" w:type="dxa"/>
                  <w:vAlign w:val="center"/>
                </w:tcPr>
                <w:p w14:paraId="3766A93A">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r>
                    <w:rPr>
                      <w:rFonts w:hint="eastAsia"/>
                      <w:highlight w:val="none"/>
                    </w:rPr>
                    <w:t>111.016380663</w:t>
                  </w:r>
                </w:p>
              </w:tc>
              <w:tc>
                <w:tcPr>
                  <w:tcW w:w="722" w:type="dxa"/>
                  <w:vAlign w:val="center"/>
                </w:tcPr>
                <w:p w14:paraId="719CAF9D">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r>
                    <w:rPr>
                      <w:rFonts w:hint="eastAsia"/>
                      <w:highlight w:val="none"/>
                    </w:rPr>
                    <w:t>25.924358030</w:t>
                  </w:r>
                </w:p>
              </w:tc>
              <w:tc>
                <w:tcPr>
                  <w:tcW w:w="426" w:type="dxa"/>
                  <w:vAlign w:val="center"/>
                </w:tcPr>
                <w:p w14:paraId="7876F287">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highlight w:val="none"/>
                      <w:lang w:val="en-US" w:eastAsia="zh-CN"/>
                    </w:rPr>
                  </w:pPr>
                  <w:r>
                    <w:rPr>
                      <w:rFonts w:hint="eastAsia"/>
                      <w:highlight w:val="none"/>
                      <w:lang w:val="en-US" w:eastAsia="zh-CN"/>
                    </w:rPr>
                    <w:t>15</w:t>
                  </w:r>
                </w:p>
              </w:tc>
              <w:tc>
                <w:tcPr>
                  <w:tcW w:w="479" w:type="dxa"/>
                  <w:vAlign w:val="center"/>
                </w:tcPr>
                <w:p w14:paraId="06432ACB">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eastAsia="宋体"/>
                      <w:highlight w:val="none"/>
                      <w:lang w:eastAsia="zh-CN"/>
                    </w:rPr>
                  </w:pPr>
                  <w:r>
                    <w:rPr>
                      <w:rFonts w:hint="eastAsia"/>
                      <w:highlight w:val="none"/>
                    </w:rPr>
                    <w:t>0</w:t>
                  </w:r>
                  <w:r>
                    <w:rPr>
                      <w:highlight w:val="none"/>
                    </w:rPr>
                    <w:t>.</w:t>
                  </w:r>
                  <w:r>
                    <w:rPr>
                      <w:rFonts w:hint="eastAsia"/>
                      <w:highlight w:val="none"/>
                      <w:lang w:val="en-US" w:eastAsia="zh-CN"/>
                    </w:rPr>
                    <w:t>4</w:t>
                  </w:r>
                </w:p>
              </w:tc>
              <w:tc>
                <w:tcPr>
                  <w:tcW w:w="946" w:type="dxa"/>
                  <w:vAlign w:val="center"/>
                </w:tcPr>
                <w:p w14:paraId="386ACA1F">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highlight w:val="none"/>
                      <w:lang w:val="en-US" w:eastAsia="zh-CN"/>
                    </w:rPr>
                  </w:pPr>
                  <w:r>
                    <w:rPr>
                      <w:rFonts w:hint="eastAsia"/>
                      <w:highlight w:val="none"/>
                      <w:lang w:val="en-US" w:eastAsia="zh-CN"/>
                    </w:rPr>
                    <w:t>25</w:t>
                  </w:r>
                </w:p>
              </w:tc>
              <w:tc>
                <w:tcPr>
                  <w:tcW w:w="636" w:type="dxa"/>
                  <w:vAlign w:val="center"/>
                </w:tcPr>
                <w:p w14:paraId="73D8C6B9">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highlight w:val="none"/>
                      <w:lang w:val="en-US" w:eastAsia="zh-CN"/>
                    </w:rPr>
                  </w:pPr>
                  <w:r>
                    <w:rPr>
                      <w:rFonts w:hint="eastAsia"/>
                      <w:highlight w:val="none"/>
                      <w:lang w:val="en-US" w:eastAsia="zh-CN"/>
                    </w:rPr>
                    <w:t>2400</w:t>
                  </w:r>
                </w:p>
              </w:tc>
              <w:tc>
                <w:tcPr>
                  <w:tcW w:w="426" w:type="dxa"/>
                  <w:vAlign w:val="center"/>
                </w:tcPr>
                <w:p w14:paraId="5E4CA1A3">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r>
                    <w:rPr>
                      <w:rFonts w:hint="eastAsia"/>
                      <w:highlight w:val="none"/>
                    </w:rPr>
                    <w:t>正常排放</w:t>
                  </w:r>
                </w:p>
              </w:tc>
              <w:tc>
                <w:tcPr>
                  <w:tcW w:w="786" w:type="dxa"/>
                  <w:vAlign w:val="center"/>
                </w:tcPr>
                <w:p w14:paraId="3CE1E2ED">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highlight w:val="none"/>
                      <w:lang w:val="en-US" w:eastAsia="zh-CN"/>
                    </w:rPr>
                  </w:pPr>
                  <w:r>
                    <w:rPr>
                      <w:rFonts w:hint="eastAsia"/>
                      <w:lang w:val="en-US" w:eastAsia="zh-CN"/>
                    </w:rPr>
                    <w:t>0.0075</w:t>
                  </w:r>
                </w:p>
              </w:tc>
              <w:tc>
                <w:tcPr>
                  <w:tcW w:w="689" w:type="dxa"/>
                  <w:vAlign w:val="center"/>
                </w:tcPr>
                <w:p w14:paraId="40CB697A">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highlight w:val="none"/>
                      <w:lang w:val="en-US" w:eastAsia="zh-CN"/>
                    </w:rPr>
                  </w:pPr>
                  <w:r>
                    <w:rPr>
                      <w:rFonts w:hint="eastAsia"/>
                      <w:highlight w:val="none"/>
                      <w:lang w:val="en-US" w:eastAsia="zh-CN"/>
                    </w:rPr>
                    <w:t>0.072</w:t>
                  </w:r>
                </w:p>
              </w:tc>
              <w:tc>
                <w:tcPr>
                  <w:tcW w:w="689" w:type="dxa"/>
                  <w:vAlign w:val="center"/>
                </w:tcPr>
                <w:p w14:paraId="507C4B3B">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highlight w:val="none"/>
                      <w:lang w:val="en-US" w:eastAsia="zh-CN"/>
                    </w:rPr>
                  </w:pPr>
                  <w:r>
                    <w:rPr>
                      <w:rFonts w:hint="eastAsia"/>
                      <w:highlight w:val="none"/>
                      <w:lang w:val="en-US" w:eastAsia="zh-CN"/>
                    </w:rPr>
                    <w:t>0.052</w:t>
                  </w:r>
                </w:p>
              </w:tc>
              <w:tc>
                <w:tcPr>
                  <w:tcW w:w="794" w:type="dxa"/>
                  <w:vAlign w:val="center"/>
                </w:tcPr>
                <w:p w14:paraId="624C5F85">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highlight w:val="none"/>
                      <w:lang w:val="en-US" w:eastAsia="zh-CN"/>
                    </w:rPr>
                  </w:pPr>
                  <w:r>
                    <w:rPr>
                      <w:rFonts w:hint="eastAsia"/>
                      <w:highlight w:val="none"/>
                      <w:lang w:val="en-US" w:eastAsia="zh-CN"/>
                    </w:rPr>
                    <w:t>0.0004</w:t>
                  </w:r>
                </w:p>
              </w:tc>
            </w:tr>
            <w:tr w14:paraId="1970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4DD05F70">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highlight w:val="none"/>
                      <w:lang w:val="en-US" w:eastAsia="zh-CN"/>
                    </w:rPr>
                  </w:pPr>
                  <w:r>
                    <w:rPr>
                      <w:rFonts w:hint="eastAsia"/>
                      <w:highlight w:val="none"/>
                      <w:lang w:val="en-US" w:eastAsia="zh-CN"/>
                    </w:rPr>
                    <w:t>DA002</w:t>
                  </w:r>
                </w:p>
              </w:tc>
              <w:tc>
                <w:tcPr>
                  <w:tcW w:w="426" w:type="dxa"/>
                  <w:vAlign w:val="center"/>
                </w:tcPr>
                <w:p w14:paraId="598DADD7">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r>
                    <w:rPr>
                      <w:rFonts w:hint="eastAsia"/>
                      <w:highlight w:val="none"/>
                      <w:lang w:val="en-US" w:eastAsia="zh-CN"/>
                    </w:rPr>
                    <w:t>2</w:t>
                  </w:r>
                  <w:r>
                    <w:rPr>
                      <w:highlight w:val="none"/>
                    </w:rPr>
                    <w:t>#排气筒</w:t>
                  </w:r>
                </w:p>
              </w:tc>
              <w:tc>
                <w:tcPr>
                  <w:tcW w:w="752" w:type="dxa"/>
                  <w:vAlign w:val="center"/>
                </w:tcPr>
                <w:p w14:paraId="1E476CDC">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r>
                    <w:rPr>
                      <w:rFonts w:hint="eastAsia"/>
                      <w:highlight w:val="none"/>
                    </w:rPr>
                    <w:t>111.016600605</w:t>
                  </w:r>
                </w:p>
              </w:tc>
              <w:tc>
                <w:tcPr>
                  <w:tcW w:w="722" w:type="dxa"/>
                  <w:vAlign w:val="center"/>
                </w:tcPr>
                <w:p w14:paraId="4E1E3D30">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r>
                    <w:rPr>
                      <w:rFonts w:hint="eastAsia"/>
                      <w:highlight w:val="none"/>
                    </w:rPr>
                    <w:t>25.924647708</w:t>
                  </w:r>
                </w:p>
              </w:tc>
              <w:tc>
                <w:tcPr>
                  <w:tcW w:w="426" w:type="dxa"/>
                  <w:vAlign w:val="center"/>
                </w:tcPr>
                <w:p w14:paraId="31E7BF23">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highlight w:val="none"/>
                      <w:lang w:val="en-US"/>
                    </w:rPr>
                  </w:pPr>
                  <w:r>
                    <w:rPr>
                      <w:rFonts w:hint="eastAsia"/>
                      <w:highlight w:val="none"/>
                      <w:lang w:val="en-US" w:eastAsia="zh-CN"/>
                    </w:rPr>
                    <w:t>20</w:t>
                  </w:r>
                </w:p>
              </w:tc>
              <w:tc>
                <w:tcPr>
                  <w:tcW w:w="479" w:type="dxa"/>
                  <w:vAlign w:val="center"/>
                </w:tcPr>
                <w:p w14:paraId="5BF9611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highlight w:val="none"/>
                    </w:rPr>
                  </w:pPr>
                  <w:r>
                    <w:rPr>
                      <w:rFonts w:hint="eastAsia"/>
                      <w:highlight w:val="none"/>
                    </w:rPr>
                    <w:t>0</w:t>
                  </w:r>
                  <w:r>
                    <w:rPr>
                      <w:highlight w:val="none"/>
                    </w:rPr>
                    <w:t>.</w:t>
                  </w:r>
                  <w:r>
                    <w:rPr>
                      <w:rFonts w:hint="eastAsia"/>
                      <w:highlight w:val="none"/>
                      <w:lang w:val="en-US" w:eastAsia="zh-CN"/>
                    </w:rPr>
                    <w:t>5</w:t>
                  </w:r>
                </w:p>
              </w:tc>
              <w:tc>
                <w:tcPr>
                  <w:tcW w:w="946" w:type="dxa"/>
                  <w:vAlign w:val="center"/>
                </w:tcPr>
                <w:p w14:paraId="7E3630B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highlight w:val="none"/>
                      <w:lang w:val="en-US" w:eastAsia="zh-CN"/>
                    </w:rPr>
                  </w:pPr>
                  <w:r>
                    <w:rPr>
                      <w:rFonts w:hint="eastAsia"/>
                      <w:highlight w:val="none"/>
                      <w:lang w:val="en-US" w:eastAsia="zh-CN"/>
                    </w:rPr>
                    <w:t>20</w:t>
                  </w:r>
                </w:p>
              </w:tc>
              <w:tc>
                <w:tcPr>
                  <w:tcW w:w="636" w:type="dxa"/>
                  <w:vAlign w:val="center"/>
                </w:tcPr>
                <w:p w14:paraId="08EF9784">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highlight w:val="none"/>
                    </w:rPr>
                  </w:pPr>
                  <w:r>
                    <w:rPr>
                      <w:rFonts w:hint="eastAsia"/>
                      <w:highlight w:val="none"/>
                      <w:lang w:val="en-US" w:eastAsia="zh-CN"/>
                    </w:rPr>
                    <w:t>2400</w:t>
                  </w:r>
                </w:p>
              </w:tc>
              <w:tc>
                <w:tcPr>
                  <w:tcW w:w="426" w:type="dxa"/>
                  <w:vAlign w:val="center"/>
                </w:tcPr>
                <w:p w14:paraId="7CA6F10B">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highlight w:val="none"/>
                    </w:rPr>
                  </w:pPr>
                  <w:r>
                    <w:rPr>
                      <w:rFonts w:hint="eastAsia"/>
                      <w:highlight w:val="none"/>
                    </w:rPr>
                    <w:t>正常排放</w:t>
                  </w:r>
                </w:p>
              </w:tc>
              <w:tc>
                <w:tcPr>
                  <w:tcW w:w="786" w:type="dxa"/>
                  <w:vAlign w:val="center"/>
                </w:tcPr>
                <w:p w14:paraId="290268B3">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eastAsia="宋体"/>
                      <w:highlight w:val="none"/>
                      <w:lang w:val="en-US" w:eastAsia="zh-CN"/>
                    </w:rPr>
                  </w:pPr>
                  <w:r>
                    <w:rPr>
                      <w:rFonts w:hint="eastAsia"/>
                      <w:highlight w:val="none"/>
                      <w:lang w:val="en-US" w:eastAsia="zh-CN"/>
                    </w:rPr>
                    <w:t>/</w:t>
                  </w:r>
                </w:p>
              </w:tc>
              <w:tc>
                <w:tcPr>
                  <w:tcW w:w="689" w:type="dxa"/>
                  <w:vAlign w:val="center"/>
                </w:tcPr>
                <w:p w14:paraId="541A8CD1">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highlight w:val="none"/>
                      <w:lang w:val="en-US" w:eastAsia="zh-CN"/>
                    </w:rPr>
                  </w:pPr>
                  <w:r>
                    <w:rPr>
                      <w:rFonts w:hint="eastAsia"/>
                      <w:highlight w:val="none"/>
                      <w:lang w:val="en-US" w:eastAsia="zh-CN"/>
                    </w:rPr>
                    <w:t>0.01</w:t>
                  </w:r>
                </w:p>
              </w:tc>
              <w:tc>
                <w:tcPr>
                  <w:tcW w:w="689" w:type="dxa"/>
                  <w:vAlign w:val="center"/>
                </w:tcPr>
                <w:p w14:paraId="49A14785">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highlight w:val="none"/>
                      <w:lang w:val="en-US" w:eastAsia="zh-CN"/>
                    </w:rPr>
                  </w:pPr>
                  <w:r>
                    <w:rPr>
                      <w:rFonts w:hint="eastAsia"/>
                      <w:highlight w:val="none"/>
                      <w:lang w:val="en-US" w:eastAsia="zh-CN"/>
                    </w:rPr>
                    <w:t>0.012</w:t>
                  </w:r>
                </w:p>
              </w:tc>
              <w:tc>
                <w:tcPr>
                  <w:tcW w:w="794" w:type="dxa"/>
                  <w:vAlign w:val="center"/>
                </w:tcPr>
                <w:p w14:paraId="2347C611">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highlight w:val="none"/>
                      <w:lang w:val="en-US" w:eastAsia="zh-CN"/>
                    </w:rPr>
                  </w:pPr>
                  <w:r>
                    <w:rPr>
                      <w:rFonts w:hint="eastAsia"/>
                      <w:highlight w:val="none"/>
                      <w:lang w:val="en-US" w:eastAsia="zh-CN"/>
                    </w:rPr>
                    <w:t>0.00025</w:t>
                  </w:r>
                </w:p>
              </w:tc>
            </w:tr>
          </w:tbl>
          <w:p w14:paraId="577F86AB">
            <w:pPr>
              <w:pStyle w:val="8"/>
              <w:numPr>
                <w:ilvl w:val="5"/>
                <w:numId w:val="0"/>
              </w:numPr>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表4-10</w:t>
            </w:r>
            <w:r>
              <w:rPr>
                <w:rFonts w:hint="eastAsia"/>
              </w:rPr>
              <w:t>面源参数表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2556"/>
              <w:gridCol w:w="523"/>
              <w:gridCol w:w="523"/>
              <w:gridCol w:w="609"/>
              <w:gridCol w:w="840"/>
              <w:gridCol w:w="554"/>
              <w:gridCol w:w="967"/>
              <w:gridCol w:w="689"/>
              <w:gridCol w:w="900"/>
            </w:tblGrid>
            <w:tr w14:paraId="4248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restart"/>
                  <w:vAlign w:val="center"/>
                </w:tcPr>
                <w:p w14:paraId="2E219C28">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rPr>
                      <w:rFonts w:hint="eastAsia"/>
                    </w:rPr>
                    <w:t>名称</w:t>
                  </w:r>
                </w:p>
              </w:tc>
              <w:tc>
                <w:tcPr>
                  <w:tcW w:w="0" w:type="auto"/>
                  <w:vMerge w:val="restart"/>
                  <w:vAlign w:val="center"/>
                </w:tcPr>
                <w:p w14:paraId="5A706B7E">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rPr>
                      <w:rFonts w:hint="eastAsia"/>
                    </w:rPr>
                    <w:t>面源起点坐标</w:t>
                  </w:r>
                </w:p>
              </w:tc>
              <w:tc>
                <w:tcPr>
                  <w:tcW w:w="0" w:type="auto"/>
                  <w:gridSpan w:val="3"/>
                  <w:vAlign w:val="center"/>
                </w:tcPr>
                <w:p w14:paraId="463B4AC0">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面源</w:t>
                  </w:r>
                </w:p>
              </w:tc>
              <w:tc>
                <w:tcPr>
                  <w:tcW w:w="0" w:type="auto"/>
                  <w:vMerge w:val="restart"/>
                  <w:vAlign w:val="center"/>
                </w:tcPr>
                <w:p w14:paraId="6BAF8003">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rPr>
                      <w:rFonts w:hint="eastAsia"/>
                    </w:rPr>
                    <w:t>年排放小时数/h</w:t>
                  </w:r>
                </w:p>
              </w:tc>
              <w:tc>
                <w:tcPr>
                  <w:tcW w:w="0" w:type="auto"/>
                  <w:vMerge w:val="restart"/>
                  <w:vAlign w:val="center"/>
                </w:tcPr>
                <w:p w14:paraId="46CEF23E">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rPr>
                      <w:rFonts w:hint="eastAsia"/>
                    </w:rPr>
                    <w:t>排放工况</w:t>
                  </w:r>
                </w:p>
              </w:tc>
              <w:tc>
                <w:tcPr>
                  <w:tcW w:w="0" w:type="auto"/>
                  <w:gridSpan w:val="3"/>
                  <w:vAlign w:val="center"/>
                </w:tcPr>
                <w:p w14:paraId="527F8F20">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rPr>
                  </w:pPr>
                  <w:r>
                    <w:rPr>
                      <w:rFonts w:hint="eastAsia"/>
                    </w:rPr>
                    <w:t>污染因子排放速率kg</w:t>
                  </w:r>
                  <w:r>
                    <w:t>/h</w:t>
                  </w:r>
                </w:p>
              </w:tc>
            </w:tr>
            <w:tr w14:paraId="5910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31359B1E">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0" w:type="auto"/>
                  <w:vMerge w:val="continue"/>
                  <w:vAlign w:val="center"/>
                </w:tcPr>
                <w:p w14:paraId="708CA4F6">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0" w:type="auto"/>
                  <w:vAlign w:val="center"/>
                </w:tcPr>
                <w:p w14:paraId="5EA1741E">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长度/m</w:t>
                  </w:r>
                </w:p>
              </w:tc>
              <w:tc>
                <w:tcPr>
                  <w:tcW w:w="0" w:type="auto"/>
                  <w:vAlign w:val="center"/>
                </w:tcPr>
                <w:p w14:paraId="72F07B63">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宽度/m</w:t>
                  </w:r>
                </w:p>
              </w:tc>
              <w:tc>
                <w:tcPr>
                  <w:tcW w:w="0" w:type="auto"/>
                  <w:vAlign w:val="center"/>
                </w:tcPr>
                <w:p w14:paraId="21CD943D">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t>有效高度</w:t>
                  </w:r>
                  <w:r>
                    <w:rPr>
                      <w:rFonts w:hint="eastAsia"/>
                    </w:rPr>
                    <w:t>/</w:t>
                  </w:r>
                  <w:r>
                    <w:t>m</w:t>
                  </w:r>
                </w:p>
              </w:tc>
              <w:tc>
                <w:tcPr>
                  <w:tcW w:w="0" w:type="auto"/>
                  <w:vMerge w:val="continue"/>
                  <w:vAlign w:val="center"/>
                </w:tcPr>
                <w:p w14:paraId="66BCAFA4">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0" w:type="auto"/>
                  <w:vMerge w:val="continue"/>
                  <w:vAlign w:val="center"/>
                </w:tcPr>
                <w:p w14:paraId="6FAB0B5B">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p>
              </w:tc>
              <w:tc>
                <w:tcPr>
                  <w:tcW w:w="0" w:type="auto"/>
                  <w:vAlign w:val="center"/>
                </w:tcPr>
                <w:p w14:paraId="0D6443ED">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pPr>
                  <w:r>
                    <w:rPr>
                      <w:rFonts w:hint="eastAsia"/>
                      <w:lang w:eastAsia="zh-CN"/>
                    </w:rPr>
                    <w:t>非甲烷总烃</w:t>
                  </w:r>
                </w:p>
              </w:tc>
              <w:tc>
                <w:tcPr>
                  <w:tcW w:w="0" w:type="auto"/>
                  <w:vAlign w:val="center"/>
                </w:tcPr>
                <w:p w14:paraId="216CD0A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rPr>
                  </w:pPr>
                  <w:r>
                    <w:rPr>
                      <w:rFonts w:hint="eastAsia"/>
                      <w:lang w:eastAsia="zh-CN"/>
                    </w:rPr>
                    <w:t>氨气</w:t>
                  </w:r>
                </w:p>
              </w:tc>
              <w:tc>
                <w:tcPr>
                  <w:tcW w:w="0" w:type="auto"/>
                  <w:vAlign w:val="center"/>
                </w:tcPr>
                <w:p w14:paraId="09038CF0">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rPr>
                  </w:pPr>
                  <w:r>
                    <w:rPr>
                      <w:rFonts w:hint="eastAsia"/>
                      <w:lang w:eastAsia="zh-CN"/>
                    </w:rPr>
                    <w:t>硫化氢</w:t>
                  </w:r>
                </w:p>
              </w:tc>
            </w:tr>
            <w:tr w14:paraId="3FE5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2AB586EE">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rPr>
                      <w:rFonts w:hint="eastAsia"/>
                    </w:rPr>
                    <w:t>厂区</w:t>
                  </w:r>
                </w:p>
              </w:tc>
              <w:tc>
                <w:tcPr>
                  <w:tcW w:w="0" w:type="auto"/>
                  <w:vAlign w:val="center"/>
                </w:tcPr>
                <w:p w14:paraId="3149993F">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highlight w:val="none"/>
                    </w:rPr>
                  </w:pPr>
                  <w:r>
                    <w:rPr>
                      <w:rFonts w:hint="eastAsia"/>
                      <w:highlight w:val="none"/>
                    </w:rPr>
                    <w:t>111.02102727,25.92118703</w:t>
                  </w:r>
                </w:p>
              </w:tc>
              <w:tc>
                <w:tcPr>
                  <w:tcW w:w="0" w:type="auto"/>
                  <w:vAlign w:val="center"/>
                </w:tcPr>
                <w:p w14:paraId="6F88D9F4">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54</w:t>
                  </w:r>
                </w:p>
              </w:tc>
              <w:tc>
                <w:tcPr>
                  <w:tcW w:w="0" w:type="auto"/>
                  <w:vAlign w:val="center"/>
                </w:tcPr>
                <w:p w14:paraId="701E5E33">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16</w:t>
                  </w:r>
                </w:p>
              </w:tc>
              <w:tc>
                <w:tcPr>
                  <w:tcW w:w="0" w:type="auto"/>
                  <w:vAlign w:val="center"/>
                </w:tcPr>
                <w:p w14:paraId="12FFAA92">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eastAsia="宋体"/>
                      <w:lang w:eastAsia="zh-CN"/>
                    </w:rPr>
                  </w:pPr>
                  <w:r>
                    <w:rPr>
                      <w:rFonts w:hint="eastAsia"/>
                      <w:lang w:val="en-US" w:eastAsia="zh-CN"/>
                    </w:rPr>
                    <w:t>7</w:t>
                  </w:r>
                </w:p>
              </w:tc>
              <w:tc>
                <w:tcPr>
                  <w:tcW w:w="0" w:type="auto"/>
                  <w:vAlign w:val="center"/>
                </w:tcPr>
                <w:p w14:paraId="753F4DE5">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2400</w:t>
                  </w:r>
                </w:p>
              </w:tc>
              <w:tc>
                <w:tcPr>
                  <w:tcW w:w="0" w:type="auto"/>
                  <w:vAlign w:val="center"/>
                </w:tcPr>
                <w:p w14:paraId="189C4680">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pPr>
                  <w:r>
                    <w:rPr>
                      <w:rFonts w:hint="eastAsia"/>
                    </w:rPr>
                    <w:t>正常排放</w:t>
                  </w:r>
                </w:p>
              </w:tc>
              <w:tc>
                <w:tcPr>
                  <w:tcW w:w="0" w:type="auto"/>
                  <w:vAlign w:val="center"/>
                </w:tcPr>
                <w:p w14:paraId="1F87E4BC">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0.01125</w:t>
                  </w:r>
                </w:p>
              </w:tc>
              <w:tc>
                <w:tcPr>
                  <w:tcW w:w="0" w:type="auto"/>
                  <w:vAlign w:val="center"/>
                </w:tcPr>
                <w:p w14:paraId="42F0ED14">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0.014</w:t>
                  </w:r>
                </w:p>
              </w:tc>
              <w:tc>
                <w:tcPr>
                  <w:tcW w:w="0" w:type="auto"/>
                  <w:vAlign w:val="center"/>
                </w:tcPr>
                <w:p w14:paraId="4102ECCF">
                  <w:pPr>
                    <w:pStyle w:val="42"/>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eastAsia="宋体"/>
                      <w:lang w:val="en-US" w:eastAsia="zh-CN"/>
                    </w:rPr>
                  </w:pPr>
                  <w:r>
                    <w:rPr>
                      <w:rFonts w:hint="eastAsia"/>
                      <w:lang w:val="en-US" w:eastAsia="zh-CN"/>
                    </w:rPr>
                    <w:t>0.00028</w:t>
                  </w:r>
                </w:p>
              </w:tc>
            </w:tr>
          </w:tbl>
          <w:p w14:paraId="3B9C3F2C">
            <w:pPr>
              <w:pStyle w:val="6"/>
              <w:numPr>
                <w:ilvl w:val="3"/>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4.5.3.4、</w:t>
            </w:r>
            <w:r>
              <w:rPr>
                <w:rFonts w:hint="eastAsia"/>
              </w:rPr>
              <w:t>估算结果</w:t>
            </w:r>
          </w:p>
          <w:p w14:paraId="743040BD">
            <w:pPr>
              <w:ind w:firstLine="480"/>
              <w:rPr>
                <w:rFonts w:hint="eastAsia"/>
              </w:rPr>
            </w:pPr>
            <w:r>
              <w:rPr>
                <w:rFonts w:hint="eastAsia"/>
              </w:rPr>
              <w:t>采用导则中估算模型，估算距源中心下风向预测浓度及浓度占标率见</w:t>
            </w:r>
            <w:r>
              <w:fldChar w:fldCharType="begin"/>
            </w:r>
            <w:r>
              <w:instrText xml:space="preserve"> </w:instrText>
            </w:r>
            <w:r>
              <w:rPr>
                <w:rFonts w:hint="eastAsia"/>
              </w:rPr>
              <w:instrText xml:space="preserve">REF _Ref159595520 \r \h</w:instrText>
            </w:r>
            <w:r>
              <w:instrText xml:space="preserve"> </w:instrText>
            </w:r>
            <w:r>
              <w:fldChar w:fldCharType="separate"/>
            </w:r>
            <w:r>
              <w:rPr>
                <w:rFonts w:hint="eastAsia"/>
              </w:rPr>
              <w:t>表4-1</w:t>
            </w:r>
            <w:r>
              <w:rPr>
                <w:rFonts w:hint="eastAsia"/>
                <w:lang w:val="en-US" w:eastAsia="zh-CN"/>
              </w:rPr>
              <w:t>3</w:t>
            </w:r>
            <w:r>
              <w:fldChar w:fldCharType="end"/>
            </w:r>
            <w:r>
              <w:rPr>
                <w:rFonts w:hint="eastAsia"/>
              </w:rPr>
              <w:t>、</w:t>
            </w:r>
            <w:r>
              <w:fldChar w:fldCharType="begin"/>
            </w:r>
            <w:r>
              <w:instrText xml:space="preserve"> </w:instrText>
            </w:r>
            <w:r>
              <w:rPr>
                <w:rFonts w:hint="eastAsia"/>
              </w:rPr>
              <w:instrText xml:space="preserve">REF _Ref161165950 \r \h</w:instrText>
            </w:r>
            <w:r>
              <w:instrText xml:space="preserve"> </w:instrText>
            </w:r>
            <w:r>
              <w:fldChar w:fldCharType="separate"/>
            </w:r>
            <w:r>
              <w:rPr>
                <w:rFonts w:hint="eastAsia"/>
              </w:rPr>
              <w:t>表4-1</w:t>
            </w:r>
            <w:r>
              <w:rPr>
                <w:rFonts w:hint="eastAsia"/>
                <w:lang w:val="en-US" w:eastAsia="zh-CN"/>
              </w:rPr>
              <w:t>4</w:t>
            </w:r>
            <w:r>
              <w:fldChar w:fldCharType="end"/>
            </w:r>
            <w:r>
              <w:rPr>
                <w:rFonts w:hint="eastAsia"/>
              </w:rPr>
              <w:t>。</w:t>
            </w:r>
          </w:p>
          <w:p w14:paraId="7A3096FB">
            <w:pPr>
              <w:pStyle w:val="8"/>
              <w:numPr>
                <w:ilvl w:val="5"/>
                <w:numId w:val="0"/>
              </w:numPr>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表4-11</w:t>
            </w:r>
            <w:r>
              <w:rPr>
                <w:rFonts w:hint="eastAsia" w:eastAsia="宋体"/>
                <w:b/>
                <w:spacing w:val="-2"/>
                <w:sz w:val="24"/>
                <w:szCs w:val="24"/>
                <w:lang w:val="en-US" w:eastAsia="zh-CN"/>
              </w:rPr>
              <w:t>DA001</w:t>
            </w:r>
            <w:r>
              <w:rPr>
                <w:b/>
                <w:spacing w:val="-2"/>
                <w:sz w:val="24"/>
                <w:szCs w:val="24"/>
              </w:rPr>
              <w:t>排气筒污染物预测估算结</w:t>
            </w:r>
            <w:r>
              <w:rPr>
                <w:b/>
                <w:spacing w:val="-10"/>
                <w:sz w:val="24"/>
                <w:szCs w:val="24"/>
              </w:rPr>
              <w:t>果</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087"/>
              <w:gridCol w:w="730"/>
              <w:gridCol w:w="1087"/>
              <w:gridCol w:w="728"/>
              <w:gridCol w:w="1171"/>
              <w:gridCol w:w="728"/>
              <w:gridCol w:w="1324"/>
              <w:gridCol w:w="729"/>
            </w:tblGrid>
            <w:tr w14:paraId="4F1B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49" w:type="dxa"/>
                  <w:vMerge w:val="restart"/>
                  <w:vAlign w:val="center"/>
                </w:tcPr>
                <w:p w14:paraId="351D12FF">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下风向距离D（m）</w:t>
                  </w:r>
                </w:p>
              </w:tc>
              <w:tc>
                <w:tcPr>
                  <w:tcW w:w="1622" w:type="dxa"/>
                  <w:gridSpan w:val="2"/>
                  <w:vAlign w:val="center"/>
                </w:tcPr>
                <w:p w14:paraId="376E853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lang w:eastAsia="zh-CN"/>
                    </w:rPr>
                  </w:pPr>
                  <w:r>
                    <w:rPr>
                      <w:rFonts w:hint="eastAsia"/>
                      <w:b w:val="0"/>
                      <w:bCs w:val="0"/>
                      <w:sz w:val="18"/>
                      <w:szCs w:val="18"/>
                      <w:lang w:eastAsia="zh-CN"/>
                    </w:rPr>
                    <w:t>颗粒物</w:t>
                  </w:r>
                </w:p>
              </w:tc>
              <w:tc>
                <w:tcPr>
                  <w:tcW w:w="1809" w:type="dxa"/>
                  <w:gridSpan w:val="2"/>
                  <w:vAlign w:val="center"/>
                </w:tcPr>
                <w:p w14:paraId="404517ED">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lang w:eastAsia="zh-CN"/>
                    </w:rPr>
                    <w:t>非甲烷总烃</w:t>
                  </w:r>
                </w:p>
              </w:tc>
              <w:tc>
                <w:tcPr>
                  <w:tcW w:w="1926" w:type="dxa"/>
                  <w:gridSpan w:val="2"/>
                  <w:vAlign w:val="center"/>
                </w:tcPr>
                <w:p w14:paraId="2B8DC72F">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lang w:eastAsia="zh-CN"/>
                    </w:rPr>
                    <w:t>氨气</w:t>
                  </w:r>
                </w:p>
              </w:tc>
              <w:tc>
                <w:tcPr>
                  <w:tcW w:w="2128" w:type="dxa"/>
                  <w:gridSpan w:val="2"/>
                  <w:vAlign w:val="center"/>
                </w:tcPr>
                <w:p w14:paraId="49695A28">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lang w:eastAsia="zh-CN"/>
                    </w:rPr>
                    <w:t>硫化氢</w:t>
                  </w:r>
                </w:p>
              </w:tc>
            </w:tr>
            <w:tr w14:paraId="0B5B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49" w:type="dxa"/>
                  <w:vMerge w:val="continue"/>
                  <w:vAlign w:val="center"/>
                </w:tcPr>
                <w:p w14:paraId="50A06FB7">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p>
              </w:tc>
              <w:tc>
                <w:tcPr>
                  <w:tcW w:w="891" w:type="dxa"/>
                  <w:vAlign w:val="center"/>
                </w:tcPr>
                <w:p w14:paraId="0B6ADCE5">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浓度Ci</w:t>
                  </w:r>
                  <w:r>
                    <w:rPr>
                      <w:rFonts w:hint="eastAsia"/>
                      <w:b w:val="0"/>
                      <w:bCs w:val="0"/>
                      <w:sz w:val="18"/>
                      <w:szCs w:val="18"/>
                      <w:lang w:eastAsia="zh-CN"/>
                    </w:rPr>
                    <w:t>（</w:t>
                  </w:r>
                  <w:r>
                    <w:rPr>
                      <w:rFonts w:hint="eastAsia"/>
                      <w:b w:val="0"/>
                      <w:bCs w:val="0"/>
                      <w:sz w:val="18"/>
                      <w:szCs w:val="18"/>
                      <w:lang w:val="en-US" w:eastAsia="zh-CN"/>
                    </w:rPr>
                    <w:t>m</w:t>
                  </w:r>
                  <w:r>
                    <w:rPr>
                      <w:rFonts w:hint="eastAsia"/>
                      <w:b w:val="0"/>
                      <w:bCs w:val="0"/>
                      <w:sz w:val="18"/>
                      <w:szCs w:val="18"/>
                    </w:rPr>
                    <w:t>g/m3</w:t>
                  </w:r>
                  <w:r>
                    <w:rPr>
                      <w:rFonts w:hint="eastAsia"/>
                      <w:b w:val="0"/>
                      <w:bCs w:val="0"/>
                      <w:sz w:val="18"/>
                      <w:szCs w:val="18"/>
                      <w:lang w:eastAsia="zh-CN"/>
                    </w:rPr>
                    <w:t>）</w:t>
                  </w:r>
                </w:p>
              </w:tc>
              <w:tc>
                <w:tcPr>
                  <w:tcW w:w="731" w:type="dxa"/>
                  <w:vAlign w:val="center"/>
                </w:tcPr>
                <w:p w14:paraId="0398958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占标率Pi</w:t>
                  </w:r>
                </w:p>
                <w:p w14:paraId="07B519E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lang w:eastAsia="zh-CN"/>
                    </w:rPr>
                  </w:pPr>
                  <w:r>
                    <w:rPr>
                      <w:rFonts w:hint="eastAsia"/>
                      <w:b w:val="0"/>
                      <w:bCs w:val="0"/>
                      <w:sz w:val="18"/>
                      <w:szCs w:val="18"/>
                      <w:lang w:eastAsia="zh-CN"/>
                    </w:rPr>
                    <w:t>（</w:t>
                  </w:r>
                  <w:r>
                    <w:rPr>
                      <w:rFonts w:hint="eastAsia"/>
                      <w:b w:val="0"/>
                      <w:bCs w:val="0"/>
                      <w:sz w:val="18"/>
                      <w:szCs w:val="18"/>
                    </w:rPr>
                    <w:t>%</w:t>
                  </w:r>
                  <w:r>
                    <w:rPr>
                      <w:rFonts w:hint="eastAsia"/>
                      <w:b w:val="0"/>
                      <w:bCs w:val="0"/>
                      <w:sz w:val="18"/>
                      <w:szCs w:val="18"/>
                      <w:lang w:eastAsia="zh-CN"/>
                    </w:rPr>
                    <w:t>）</w:t>
                  </w:r>
                </w:p>
              </w:tc>
              <w:tc>
                <w:tcPr>
                  <w:tcW w:w="1080" w:type="dxa"/>
                  <w:vAlign w:val="center"/>
                </w:tcPr>
                <w:p w14:paraId="19E3E55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浓度Ci</w:t>
                  </w:r>
                  <w:r>
                    <w:rPr>
                      <w:rFonts w:hint="eastAsia"/>
                      <w:b w:val="0"/>
                      <w:bCs w:val="0"/>
                      <w:sz w:val="18"/>
                      <w:szCs w:val="18"/>
                      <w:lang w:eastAsia="zh-CN"/>
                    </w:rPr>
                    <w:t>（</w:t>
                  </w:r>
                  <w:r>
                    <w:rPr>
                      <w:rFonts w:hint="eastAsia"/>
                      <w:b w:val="0"/>
                      <w:bCs w:val="0"/>
                      <w:sz w:val="18"/>
                      <w:szCs w:val="18"/>
                      <w:lang w:val="en-US" w:eastAsia="zh-CN"/>
                    </w:rPr>
                    <w:t>m</w:t>
                  </w:r>
                  <w:r>
                    <w:rPr>
                      <w:rFonts w:hint="eastAsia"/>
                      <w:b w:val="0"/>
                      <w:bCs w:val="0"/>
                      <w:sz w:val="18"/>
                      <w:szCs w:val="18"/>
                    </w:rPr>
                    <w:t>g/m3</w:t>
                  </w:r>
                  <w:r>
                    <w:rPr>
                      <w:rFonts w:hint="eastAsia"/>
                      <w:b w:val="0"/>
                      <w:bCs w:val="0"/>
                      <w:sz w:val="18"/>
                      <w:szCs w:val="18"/>
                      <w:lang w:eastAsia="zh-CN"/>
                    </w:rPr>
                    <w:t>）</w:t>
                  </w:r>
                </w:p>
              </w:tc>
              <w:tc>
                <w:tcPr>
                  <w:tcW w:w="729" w:type="dxa"/>
                  <w:vAlign w:val="center"/>
                </w:tcPr>
                <w:p w14:paraId="6EAC0156">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占标率Pi</w:t>
                  </w:r>
                  <w:r>
                    <w:rPr>
                      <w:rFonts w:hint="eastAsia"/>
                      <w:b w:val="0"/>
                      <w:bCs w:val="0"/>
                      <w:sz w:val="18"/>
                      <w:szCs w:val="18"/>
                      <w:lang w:eastAsia="zh-CN"/>
                    </w:rPr>
                    <w:t>（</w:t>
                  </w:r>
                  <w:r>
                    <w:rPr>
                      <w:rFonts w:hint="eastAsia"/>
                      <w:b w:val="0"/>
                      <w:bCs w:val="0"/>
                      <w:sz w:val="18"/>
                      <w:szCs w:val="18"/>
                    </w:rPr>
                    <w:t>%</w:t>
                  </w:r>
                  <w:r>
                    <w:rPr>
                      <w:rFonts w:hint="eastAsia"/>
                      <w:b w:val="0"/>
                      <w:bCs w:val="0"/>
                      <w:sz w:val="18"/>
                      <w:szCs w:val="18"/>
                      <w:lang w:eastAsia="zh-CN"/>
                    </w:rPr>
                    <w:t>）</w:t>
                  </w:r>
                </w:p>
              </w:tc>
              <w:tc>
                <w:tcPr>
                  <w:tcW w:w="1197" w:type="dxa"/>
                  <w:vAlign w:val="center"/>
                </w:tcPr>
                <w:p w14:paraId="32ECDE6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浓度Ci</w:t>
                  </w:r>
                  <w:r>
                    <w:rPr>
                      <w:rFonts w:hint="eastAsia"/>
                      <w:b w:val="0"/>
                      <w:bCs w:val="0"/>
                      <w:sz w:val="18"/>
                      <w:szCs w:val="18"/>
                      <w:lang w:eastAsia="zh-CN"/>
                    </w:rPr>
                    <w:t>（</w:t>
                  </w:r>
                  <w:r>
                    <w:rPr>
                      <w:rFonts w:hint="eastAsia"/>
                      <w:b w:val="0"/>
                      <w:bCs w:val="0"/>
                      <w:sz w:val="18"/>
                      <w:szCs w:val="18"/>
                      <w:lang w:val="en-US" w:eastAsia="zh-CN"/>
                    </w:rPr>
                    <w:t>m</w:t>
                  </w:r>
                  <w:r>
                    <w:rPr>
                      <w:rFonts w:hint="eastAsia"/>
                      <w:b w:val="0"/>
                      <w:bCs w:val="0"/>
                      <w:sz w:val="18"/>
                      <w:szCs w:val="18"/>
                    </w:rPr>
                    <w:t>g/m3</w:t>
                  </w:r>
                  <w:r>
                    <w:rPr>
                      <w:rFonts w:hint="eastAsia"/>
                      <w:b w:val="0"/>
                      <w:bCs w:val="0"/>
                      <w:sz w:val="18"/>
                      <w:szCs w:val="18"/>
                      <w:lang w:eastAsia="zh-CN"/>
                    </w:rPr>
                    <w:t>）</w:t>
                  </w:r>
                </w:p>
              </w:tc>
              <w:tc>
                <w:tcPr>
                  <w:tcW w:w="729" w:type="dxa"/>
                  <w:vAlign w:val="center"/>
                </w:tcPr>
                <w:p w14:paraId="1EA91385">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占标率Pi</w:t>
                  </w:r>
                  <w:r>
                    <w:rPr>
                      <w:rFonts w:hint="eastAsia"/>
                      <w:b w:val="0"/>
                      <w:bCs w:val="0"/>
                      <w:sz w:val="18"/>
                      <w:szCs w:val="18"/>
                      <w:lang w:eastAsia="zh-CN"/>
                    </w:rPr>
                    <w:t>（</w:t>
                  </w:r>
                  <w:r>
                    <w:rPr>
                      <w:rFonts w:hint="eastAsia"/>
                      <w:b w:val="0"/>
                      <w:bCs w:val="0"/>
                      <w:sz w:val="18"/>
                      <w:szCs w:val="18"/>
                    </w:rPr>
                    <w:t>%</w:t>
                  </w:r>
                  <w:r>
                    <w:rPr>
                      <w:rFonts w:hint="eastAsia"/>
                      <w:b w:val="0"/>
                      <w:bCs w:val="0"/>
                      <w:sz w:val="18"/>
                      <w:szCs w:val="18"/>
                      <w:lang w:eastAsia="zh-CN"/>
                    </w:rPr>
                    <w:t>）</w:t>
                  </w:r>
                </w:p>
              </w:tc>
              <w:tc>
                <w:tcPr>
                  <w:tcW w:w="1398" w:type="dxa"/>
                  <w:vAlign w:val="center"/>
                </w:tcPr>
                <w:p w14:paraId="44C89773">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浓度Ci</w:t>
                  </w:r>
                  <w:r>
                    <w:rPr>
                      <w:rFonts w:hint="eastAsia"/>
                      <w:b w:val="0"/>
                      <w:bCs w:val="0"/>
                      <w:sz w:val="18"/>
                      <w:szCs w:val="18"/>
                      <w:lang w:eastAsia="zh-CN"/>
                    </w:rPr>
                    <w:t>（</w:t>
                  </w:r>
                  <w:r>
                    <w:rPr>
                      <w:rFonts w:hint="eastAsia"/>
                      <w:b w:val="0"/>
                      <w:bCs w:val="0"/>
                      <w:sz w:val="18"/>
                      <w:szCs w:val="18"/>
                      <w:lang w:val="en-US" w:eastAsia="zh-CN"/>
                    </w:rPr>
                    <w:t>m</w:t>
                  </w:r>
                  <w:r>
                    <w:rPr>
                      <w:rFonts w:hint="eastAsia"/>
                      <w:b w:val="0"/>
                      <w:bCs w:val="0"/>
                      <w:sz w:val="18"/>
                      <w:szCs w:val="18"/>
                    </w:rPr>
                    <w:t>g/m3</w:t>
                  </w:r>
                  <w:r>
                    <w:rPr>
                      <w:rFonts w:hint="eastAsia"/>
                      <w:b w:val="0"/>
                      <w:bCs w:val="0"/>
                      <w:sz w:val="18"/>
                      <w:szCs w:val="18"/>
                      <w:lang w:eastAsia="zh-CN"/>
                    </w:rPr>
                    <w:t>）</w:t>
                  </w:r>
                </w:p>
              </w:tc>
              <w:tc>
                <w:tcPr>
                  <w:tcW w:w="730" w:type="dxa"/>
                  <w:vAlign w:val="center"/>
                </w:tcPr>
                <w:p w14:paraId="7D8CC928">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占标率Pi</w:t>
                  </w:r>
                  <w:r>
                    <w:rPr>
                      <w:rFonts w:hint="eastAsia"/>
                      <w:b w:val="0"/>
                      <w:bCs w:val="0"/>
                      <w:sz w:val="18"/>
                      <w:szCs w:val="18"/>
                      <w:lang w:eastAsia="zh-CN"/>
                    </w:rPr>
                    <w:t>（</w:t>
                  </w:r>
                  <w:r>
                    <w:rPr>
                      <w:rFonts w:hint="eastAsia"/>
                      <w:b w:val="0"/>
                      <w:bCs w:val="0"/>
                      <w:sz w:val="18"/>
                      <w:szCs w:val="18"/>
                    </w:rPr>
                    <w:t>%</w:t>
                  </w:r>
                  <w:r>
                    <w:rPr>
                      <w:rFonts w:hint="eastAsia"/>
                      <w:b w:val="0"/>
                      <w:bCs w:val="0"/>
                      <w:sz w:val="18"/>
                      <w:szCs w:val="18"/>
                      <w:lang w:eastAsia="zh-CN"/>
                    </w:rPr>
                    <w:t>）</w:t>
                  </w:r>
                </w:p>
              </w:tc>
            </w:tr>
            <w:tr w14:paraId="35DD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49" w:type="dxa"/>
                  <w:vAlign w:val="center"/>
                </w:tcPr>
                <w:p w14:paraId="071BB723">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10</w:t>
                  </w:r>
                </w:p>
              </w:tc>
              <w:tc>
                <w:tcPr>
                  <w:tcW w:w="891" w:type="dxa"/>
                  <w:vAlign w:val="center"/>
                </w:tcPr>
                <w:p w14:paraId="4D4D5EE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eastAsia="宋体"/>
                      <w:b w:val="0"/>
                      <w:bCs w:val="0"/>
                      <w:sz w:val="18"/>
                      <w:szCs w:val="18"/>
                      <w:lang w:val="en-US" w:eastAsia="zh-CN"/>
                    </w:rPr>
                  </w:pPr>
                  <w:r>
                    <w:rPr>
                      <w:rFonts w:hint="eastAsia"/>
                      <w:b w:val="0"/>
                      <w:bCs w:val="0"/>
                      <w:sz w:val="18"/>
                      <w:szCs w:val="18"/>
                    </w:rPr>
                    <w:t>1.5</w:t>
                  </w:r>
                  <w:r>
                    <w:rPr>
                      <w:rFonts w:hint="eastAsia"/>
                      <w:b w:val="0"/>
                      <w:bCs w:val="0"/>
                      <w:sz w:val="18"/>
                      <w:szCs w:val="18"/>
                      <w:lang w:val="en-US" w:eastAsia="zh-CN"/>
                    </w:rPr>
                    <w:t>9</w:t>
                  </w:r>
                  <w:r>
                    <w:rPr>
                      <w:rFonts w:hint="eastAsia"/>
                      <w:b w:val="0"/>
                      <w:bCs w:val="0"/>
                      <w:sz w:val="18"/>
                      <w:szCs w:val="18"/>
                    </w:rPr>
                    <w:t>E-0</w:t>
                  </w:r>
                  <w:r>
                    <w:rPr>
                      <w:rFonts w:hint="eastAsia"/>
                      <w:b w:val="0"/>
                      <w:bCs w:val="0"/>
                      <w:sz w:val="18"/>
                      <w:szCs w:val="18"/>
                      <w:lang w:val="en-US" w:eastAsia="zh-CN"/>
                    </w:rPr>
                    <w:t>5</w:t>
                  </w:r>
                </w:p>
              </w:tc>
              <w:tc>
                <w:tcPr>
                  <w:tcW w:w="731" w:type="dxa"/>
                  <w:vAlign w:val="center"/>
                </w:tcPr>
                <w:p w14:paraId="2C3DBB2D">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0.00</w:t>
                  </w:r>
                </w:p>
              </w:tc>
              <w:tc>
                <w:tcPr>
                  <w:tcW w:w="1080" w:type="dxa"/>
                  <w:vAlign w:val="center"/>
                </w:tcPr>
                <w:p w14:paraId="1F298C9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1.49E-04</w:t>
                  </w:r>
                </w:p>
              </w:tc>
              <w:tc>
                <w:tcPr>
                  <w:tcW w:w="729" w:type="dxa"/>
                  <w:vAlign w:val="center"/>
                </w:tcPr>
                <w:p w14:paraId="58921A69">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0.00</w:t>
                  </w:r>
                </w:p>
              </w:tc>
              <w:tc>
                <w:tcPr>
                  <w:tcW w:w="1197" w:type="dxa"/>
                  <w:vAlign w:val="center"/>
                </w:tcPr>
                <w:p w14:paraId="25AA3C3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1.04E-04</w:t>
                  </w:r>
                </w:p>
              </w:tc>
              <w:tc>
                <w:tcPr>
                  <w:tcW w:w="729" w:type="dxa"/>
                  <w:vAlign w:val="center"/>
                </w:tcPr>
                <w:p w14:paraId="5B34AF19">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0.01</w:t>
                  </w:r>
                </w:p>
              </w:tc>
              <w:tc>
                <w:tcPr>
                  <w:tcW w:w="1398" w:type="dxa"/>
                  <w:vAlign w:val="center"/>
                </w:tcPr>
                <w:p w14:paraId="71F3A767">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8.29E-07</w:t>
                  </w:r>
                </w:p>
              </w:tc>
              <w:tc>
                <w:tcPr>
                  <w:tcW w:w="730" w:type="dxa"/>
                  <w:vAlign w:val="center"/>
                </w:tcPr>
                <w:p w14:paraId="1BA9398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0.00</w:t>
                  </w:r>
                </w:p>
              </w:tc>
            </w:tr>
            <w:tr w14:paraId="6B03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49" w:type="dxa"/>
                  <w:vAlign w:val="center"/>
                </w:tcPr>
                <w:p w14:paraId="2B71CED5">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25</w:t>
                  </w:r>
                </w:p>
              </w:tc>
              <w:tc>
                <w:tcPr>
                  <w:tcW w:w="891" w:type="dxa"/>
                  <w:vAlign w:val="center"/>
                </w:tcPr>
                <w:p w14:paraId="48187B39">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eastAsia="宋体"/>
                      <w:b w:val="0"/>
                      <w:bCs w:val="0"/>
                      <w:sz w:val="18"/>
                      <w:szCs w:val="18"/>
                      <w:lang w:val="en-US" w:eastAsia="zh-CN"/>
                    </w:rPr>
                  </w:pPr>
                  <w:r>
                    <w:rPr>
                      <w:rFonts w:hint="eastAsia"/>
                      <w:b w:val="0"/>
                      <w:bCs w:val="0"/>
                      <w:sz w:val="18"/>
                      <w:szCs w:val="18"/>
                    </w:rPr>
                    <w:t>1.52E-0</w:t>
                  </w:r>
                  <w:r>
                    <w:rPr>
                      <w:rFonts w:hint="eastAsia"/>
                      <w:b w:val="0"/>
                      <w:bCs w:val="0"/>
                      <w:sz w:val="18"/>
                      <w:szCs w:val="18"/>
                      <w:lang w:val="en-US" w:eastAsia="zh-CN"/>
                    </w:rPr>
                    <w:t>4</w:t>
                  </w:r>
                </w:p>
              </w:tc>
              <w:tc>
                <w:tcPr>
                  <w:tcW w:w="731" w:type="dxa"/>
                  <w:vAlign w:val="center"/>
                </w:tcPr>
                <w:p w14:paraId="6E3C1C3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lang w:eastAsia="zh-CN"/>
                    </w:rPr>
                  </w:pPr>
                  <w:r>
                    <w:rPr>
                      <w:rFonts w:hint="eastAsia" w:ascii="Times New Roman" w:hAnsi="Times New Roman" w:eastAsia="宋体" w:cs="Times New Roman"/>
                      <w:b w:val="0"/>
                      <w:bCs w:val="0"/>
                      <w:sz w:val="18"/>
                      <w:szCs w:val="18"/>
                    </w:rPr>
                    <w:t>0.02</w:t>
                  </w:r>
                </w:p>
              </w:tc>
              <w:tc>
                <w:tcPr>
                  <w:tcW w:w="1080" w:type="dxa"/>
                  <w:vAlign w:val="center"/>
                </w:tcPr>
                <w:p w14:paraId="7D35375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1.46E-03</w:t>
                  </w:r>
                </w:p>
              </w:tc>
              <w:tc>
                <w:tcPr>
                  <w:tcW w:w="729" w:type="dxa"/>
                  <w:vAlign w:val="center"/>
                </w:tcPr>
                <w:p w14:paraId="59632F49">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0.04</w:t>
                  </w:r>
                </w:p>
              </w:tc>
              <w:tc>
                <w:tcPr>
                  <w:tcW w:w="1197" w:type="dxa"/>
                  <w:vAlign w:val="center"/>
                </w:tcPr>
                <w:p w14:paraId="39BE162F">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1.02E-03</w:t>
                  </w:r>
                </w:p>
              </w:tc>
              <w:tc>
                <w:tcPr>
                  <w:tcW w:w="729" w:type="dxa"/>
                  <w:vAlign w:val="center"/>
                </w:tcPr>
                <w:p w14:paraId="74E5213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0.07</w:t>
                  </w:r>
                </w:p>
              </w:tc>
              <w:tc>
                <w:tcPr>
                  <w:tcW w:w="1398" w:type="dxa"/>
                  <w:vAlign w:val="center"/>
                </w:tcPr>
                <w:p w14:paraId="5A9822BD">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8.13E-06</w:t>
                  </w:r>
                </w:p>
              </w:tc>
              <w:tc>
                <w:tcPr>
                  <w:tcW w:w="730" w:type="dxa"/>
                  <w:vAlign w:val="center"/>
                </w:tcPr>
                <w:p w14:paraId="26A6DBD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0.01</w:t>
                  </w:r>
                </w:p>
              </w:tc>
            </w:tr>
            <w:tr w14:paraId="7074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49" w:type="dxa"/>
                  <w:vAlign w:val="center"/>
                </w:tcPr>
                <w:p w14:paraId="06CA3D4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50</w:t>
                  </w:r>
                </w:p>
              </w:tc>
              <w:tc>
                <w:tcPr>
                  <w:tcW w:w="891" w:type="dxa"/>
                  <w:vAlign w:val="center"/>
                </w:tcPr>
                <w:p w14:paraId="179D1499">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eastAsia="宋体"/>
                      <w:b w:val="0"/>
                      <w:bCs w:val="0"/>
                      <w:sz w:val="18"/>
                      <w:szCs w:val="18"/>
                      <w:lang w:val="en-US" w:eastAsia="zh-CN"/>
                    </w:rPr>
                  </w:pPr>
                  <w:r>
                    <w:rPr>
                      <w:rFonts w:hint="eastAsia"/>
                      <w:b w:val="0"/>
                      <w:bCs w:val="0"/>
                      <w:sz w:val="18"/>
                      <w:szCs w:val="18"/>
                    </w:rPr>
                    <w:t>1.25E-0</w:t>
                  </w:r>
                  <w:r>
                    <w:rPr>
                      <w:rFonts w:hint="eastAsia"/>
                      <w:b w:val="0"/>
                      <w:bCs w:val="0"/>
                      <w:sz w:val="18"/>
                      <w:szCs w:val="18"/>
                      <w:lang w:val="en-US" w:eastAsia="zh-CN"/>
                    </w:rPr>
                    <w:t>4</w:t>
                  </w:r>
                </w:p>
              </w:tc>
              <w:tc>
                <w:tcPr>
                  <w:tcW w:w="731" w:type="dxa"/>
                  <w:vAlign w:val="center"/>
                </w:tcPr>
                <w:p w14:paraId="002C0295">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lang w:eastAsia="zh-CN"/>
                    </w:rPr>
                  </w:pPr>
                  <w:r>
                    <w:rPr>
                      <w:rFonts w:hint="eastAsia" w:ascii="Times New Roman" w:hAnsi="Times New Roman" w:eastAsia="宋体" w:cs="Times New Roman"/>
                      <w:b w:val="0"/>
                      <w:bCs w:val="0"/>
                      <w:sz w:val="18"/>
                      <w:szCs w:val="18"/>
                    </w:rPr>
                    <w:t>0.01</w:t>
                  </w:r>
                </w:p>
              </w:tc>
              <w:tc>
                <w:tcPr>
                  <w:tcW w:w="1080" w:type="dxa"/>
                  <w:vAlign w:val="center"/>
                </w:tcPr>
                <w:p w14:paraId="666D096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1.20E-03</w:t>
                  </w:r>
                </w:p>
              </w:tc>
              <w:tc>
                <w:tcPr>
                  <w:tcW w:w="729" w:type="dxa"/>
                  <w:vAlign w:val="center"/>
                </w:tcPr>
                <w:p w14:paraId="3945542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0.03</w:t>
                  </w:r>
                </w:p>
              </w:tc>
              <w:tc>
                <w:tcPr>
                  <w:tcW w:w="1197" w:type="dxa"/>
                  <w:vAlign w:val="center"/>
                </w:tcPr>
                <w:p w14:paraId="3C2A3AF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8.39E-04</w:t>
                  </w:r>
                </w:p>
              </w:tc>
              <w:tc>
                <w:tcPr>
                  <w:tcW w:w="729" w:type="dxa"/>
                  <w:vAlign w:val="center"/>
                </w:tcPr>
                <w:p w14:paraId="18F4F5B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0.06</w:t>
                  </w:r>
                </w:p>
              </w:tc>
              <w:tc>
                <w:tcPr>
                  <w:tcW w:w="1398" w:type="dxa"/>
                  <w:vAlign w:val="center"/>
                </w:tcPr>
                <w:p w14:paraId="389CF93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6.66E-06</w:t>
                  </w:r>
                </w:p>
              </w:tc>
              <w:tc>
                <w:tcPr>
                  <w:tcW w:w="730" w:type="dxa"/>
                  <w:vAlign w:val="center"/>
                </w:tcPr>
                <w:p w14:paraId="2FFDC8A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0.01</w:t>
                  </w:r>
                </w:p>
              </w:tc>
            </w:tr>
            <w:tr w14:paraId="11F2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49" w:type="dxa"/>
                  <w:vAlign w:val="center"/>
                </w:tcPr>
                <w:p w14:paraId="49F77193">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75</w:t>
                  </w:r>
                </w:p>
              </w:tc>
              <w:tc>
                <w:tcPr>
                  <w:tcW w:w="891" w:type="dxa"/>
                  <w:vAlign w:val="center"/>
                </w:tcPr>
                <w:p w14:paraId="34CCEB2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eastAsia="宋体"/>
                      <w:b w:val="0"/>
                      <w:bCs w:val="0"/>
                      <w:sz w:val="18"/>
                      <w:szCs w:val="18"/>
                      <w:lang w:val="en-US" w:eastAsia="zh-CN"/>
                    </w:rPr>
                  </w:pPr>
                  <w:r>
                    <w:rPr>
                      <w:rFonts w:hint="eastAsia"/>
                      <w:b w:val="0"/>
                      <w:bCs w:val="0"/>
                      <w:sz w:val="18"/>
                      <w:szCs w:val="18"/>
                    </w:rPr>
                    <w:t>4.16E-0</w:t>
                  </w:r>
                  <w:r>
                    <w:rPr>
                      <w:rFonts w:hint="eastAsia"/>
                      <w:b w:val="0"/>
                      <w:bCs w:val="0"/>
                      <w:sz w:val="18"/>
                      <w:szCs w:val="18"/>
                      <w:lang w:val="en-US" w:eastAsia="zh-CN"/>
                    </w:rPr>
                    <w:t>4</w:t>
                  </w:r>
                </w:p>
              </w:tc>
              <w:tc>
                <w:tcPr>
                  <w:tcW w:w="731" w:type="dxa"/>
                  <w:vAlign w:val="center"/>
                </w:tcPr>
                <w:p w14:paraId="3466B78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0.05</w:t>
                  </w:r>
                </w:p>
              </w:tc>
              <w:tc>
                <w:tcPr>
                  <w:tcW w:w="1080" w:type="dxa"/>
                  <w:vAlign w:val="center"/>
                </w:tcPr>
                <w:p w14:paraId="6C99BC5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3.99E-03</w:t>
                  </w:r>
                </w:p>
              </w:tc>
              <w:tc>
                <w:tcPr>
                  <w:tcW w:w="729" w:type="dxa"/>
                  <w:vAlign w:val="center"/>
                </w:tcPr>
                <w:p w14:paraId="6148E7E7">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0.10</w:t>
                  </w:r>
                </w:p>
              </w:tc>
              <w:tc>
                <w:tcPr>
                  <w:tcW w:w="1197" w:type="dxa"/>
                  <w:vAlign w:val="center"/>
                </w:tcPr>
                <w:p w14:paraId="39B613D5">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2.80E-03</w:t>
                  </w:r>
                </w:p>
              </w:tc>
              <w:tc>
                <w:tcPr>
                  <w:tcW w:w="729" w:type="dxa"/>
                  <w:vAlign w:val="center"/>
                </w:tcPr>
                <w:p w14:paraId="44D3C719">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0.19</w:t>
                  </w:r>
                </w:p>
              </w:tc>
              <w:tc>
                <w:tcPr>
                  <w:tcW w:w="1398" w:type="dxa"/>
                  <w:vAlign w:val="center"/>
                </w:tcPr>
                <w:p w14:paraId="4BE9A496">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2.22E-05</w:t>
                  </w:r>
                </w:p>
              </w:tc>
              <w:tc>
                <w:tcPr>
                  <w:tcW w:w="730" w:type="dxa"/>
                  <w:vAlign w:val="center"/>
                </w:tcPr>
                <w:p w14:paraId="6ED7EB3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0.04</w:t>
                  </w:r>
                </w:p>
              </w:tc>
            </w:tr>
            <w:tr w14:paraId="77A0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49" w:type="dxa"/>
                  <w:vAlign w:val="center"/>
                </w:tcPr>
                <w:p w14:paraId="362F7A8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100</w:t>
                  </w:r>
                </w:p>
              </w:tc>
              <w:tc>
                <w:tcPr>
                  <w:tcW w:w="891" w:type="dxa"/>
                  <w:vAlign w:val="center"/>
                </w:tcPr>
                <w:p w14:paraId="567B432F">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eastAsia="宋体"/>
                      <w:b w:val="0"/>
                      <w:bCs w:val="0"/>
                      <w:sz w:val="18"/>
                      <w:szCs w:val="18"/>
                      <w:lang w:val="en-US" w:eastAsia="zh-CN"/>
                    </w:rPr>
                  </w:pPr>
                  <w:r>
                    <w:rPr>
                      <w:rFonts w:hint="eastAsia"/>
                      <w:b w:val="0"/>
                      <w:bCs w:val="0"/>
                      <w:sz w:val="18"/>
                      <w:szCs w:val="18"/>
                    </w:rPr>
                    <w:t>7.50E-0</w:t>
                  </w:r>
                  <w:r>
                    <w:rPr>
                      <w:rFonts w:hint="eastAsia"/>
                      <w:b w:val="0"/>
                      <w:bCs w:val="0"/>
                      <w:sz w:val="18"/>
                      <w:szCs w:val="18"/>
                      <w:lang w:val="en-US" w:eastAsia="zh-CN"/>
                    </w:rPr>
                    <w:t>4</w:t>
                  </w:r>
                </w:p>
              </w:tc>
              <w:tc>
                <w:tcPr>
                  <w:tcW w:w="731" w:type="dxa"/>
                  <w:vAlign w:val="center"/>
                </w:tcPr>
                <w:p w14:paraId="51CD553D">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rPr>
                    <w:t>0.08</w:t>
                  </w:r>
                </w:p>
              </w:tc>
              <w:tc>
                <w:tcPr>
                  <w:tcW w:w="1080" w:type="dxa"/>
                  <w:vAlign w:val="center"/>
                </w:tcPr>
                <w:p w14:paraId="3588BC5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7.20E-03</w:t>
                  </w:r>
                </w:p>
              </w:tc>
              <w:tc>
                <w:tcPr>
                  <w:tcW w:w="729" w:type="dxa"/>
                  <w:vAlign w:val="center"/>
                </w:tcPr>
                <w:p w14:paraId="5991AD67">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0.18</w:t>
                  </w:r>
                </w:p>
              </w:tc>
              <w:tc>
                <w:tcPr>
                  <w:tcW w:w="1197" w:type="dxa"/>
                  <w:vAlign w:val="center"/>
                </w:tcPr>
                <w:p w14:paraId="139607C8">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5.04E-03</w:t>
                  </w:r>
                </w:p>
              </w:tc>
              <w:tc>
                <w:tcPr>
                  <w:tcW w:w="729" w:type="dxa"/>
                  <w:vAlign w:val="center"/>
                </w:tcPr>
                <w:p w14:paraId="4ABC814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0.34</w:t>
                  </w:r>
                </w:p>
              </w:tc>
              <w:tc>
                <w:tcPr>
                  <w:tcW w:w="1398" w:type="dxa"/>
                  <w:vAlign w:val="center"/>
                </w:tcPr>
                <w:p w14:paraId="7D88B05E">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4.00E-05</w:t>
                  </w:r>
                </w:p>
              </w:tc>
              <w:tc>
                <w:tcPr>
                  <w:tcW w:w="730" w:type="dxa"/>
                  <w:vAlign w:val="center"/>
                </w:tcPr>
                <w:p w14:paraId="37443FF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0.07</w:t>
                  </w:r>
                </w:p>
              </w:tc>
            </w:tr>
            <w:tr w14:paraId="6F41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49" w:type="dxa"/>
                  <w:vAlign w:val="center"/>
                </w:tcPr>
                <w:p w14:paraId="73C228A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val="0"/>
                      <w:bCs w:val="0"/>
                      <w:sz w:val="18"/>
                      <w:szCs w:val="18"/>
                      <w:lang w:val="en-US" w:eastAsia="zh-CN"/>
                    </w:rPr>
                  </w:pPr>
                  <w:r>
                    <w:rPr>
                      <w:rFonts w:hint="eastAsia"/>
                      <w:b w:val="0"/>
                      <w:bCs w:val="0"/>
                      <w:sz w:val="18"/>
                      <w:szCs w:val="18"/>
                      <w:lang w:val="en-US" w:eastAsia="zh-CN"/>
                    </w:rPr>
                    <w:t>125</w:t>
                  </w:r>
                </w:p>
              </w:tc>
              <w:tc>
                <w:tcPr>
                  <w:tcW w:w="891" w:type="dxa"/>
                  <w:vAlign w:val="center"/>
                </w:tcPr>
                <w:p w14:paraId="7A9E1BB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eastAsia="宋体"/>
                      <w:b w:val="0"/>
                      <w:bCs w:val="0"/>
                      <w:sz w:val="18"/>
                      <w:szCs w:val="18"/>
                      <w:lang w:val="en-US" w:eastAsia="zh-CN"/>
                    </w:rPr>
                  </w:pPr>
                  <w:r>
                    <w:rPr>
                      <w:rFonts w:hint="eastAsia"/>
                      <w:b w:val="0"/>
                      <w:bCs w:val="0"/>
                      <w:sz w:val="18"/>
                      <w:szCs w:val="18"/>
                    </w:rPr>
                    <w:t>9.24E-0</w:t>
                  </w:r>
                  <w:r>
                    <w:rPr>
                      <w:rFonts w:hint="eastAsia"/>
                      <w:b w:val="0"/>
                      <w:bCs w:val="0"/>
                      <w:sz w:val="18"/>
                      <w:szCs w:val="18"/>
                      <w:lang w:val="en-US" w:eastAsia="zh-CN"/>
                    </w:rPr>
                    <w:t>4</w:t>
                  </w:r>
                </w:p>
              </w:tc>
              <w:tc>
                <w:tcPr>
                  <w:tcW w:w="731" w:type="dxa"/>
                  <w:vAlign w:val="center"/>
                </w:tcPr>
                <w:p w14:paraId="1E99B99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lang w:eastAsia="zh-CN"/>
                    </w:rPr>
                  </w:pPr>
                  <w:r>
                    <w:rPr>
                      <w:rFonts w:hint="eastAsia" w:ascii="Times New Roman" w:hAnsi="Times New Roman" w:eastAsia="宋体" w:cs="Times New Roman"/>
                      <w:b w:val="0"/>
                      <w:bCs w:val="0"/>
                      <w:sz w:val="18"/>
                      <w:szCs w:val="18"/>
                    </w:rPr>
                    <w:t>0.10</w:t>
                  </w:r>
                </w:p>
              </w:tc>
              <w:tc>
                <w:tcPr>
                  <w:tcW w:w="1080" w:type="dxa"/>
                  <w:vAlign w:val="center"/>
                </w:tcPr>
                <w:p w14:paraId="7717016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8.87E-03</w:t>
                  </w:r>
                </w:p>
              </w:tc>
              <w:tc>
                <w:tcPr>
                  <w:tcW w:w="729" w:type="dxa"/>
                  <w:vAlign w:val="center"/>
                </w:tcPr>
                <w:p w14:paraId="1BF86AD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0.22</w:t>
                  </w:r>
                </w:p>
              </w:tc>
              <w:tc>
                <w:tcPr>
                  <w:tcW w:w="1197" w:type="dxa"/>
                  <w:vAlign w:val="center"/>
                </w:tcPr>
                <w:p w14:paraId="5D48337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6.21E-03</w:t>
                  </w:r>
                </w:p>
              </w:tc>
              <w:tc>
                <w:tcPr>
                  <w:tcW w:w="729" w:type="dxa"/>
                  <w:vAlign w:val="center"/>
                </w:tcPr>
                <w:p w14:paraId="2CF53FA7">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0.41</w:t>
                  </w:r>
                </w:p>
              </w:tc>
              <w:tc>
                <w:tcPr>
                  <w:tcW w:w="1398" w:type="dxa"/>
                  <w:vAlign w:val="center"/>
                </w:tcPr>
                <w:p w14:paraId="241D597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4.93E-05</w:t>
                  </w:r>
                </w:p>
              </w:tc>
              <w:tc>
                <w:tcPr>
                  <w:tcW w:w="730" w:type="dxa"/>
                  <w:vAlign w:val="center"/>
                </w:tcPr>
                <w:p w14:paraId="7A9A11E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0.08</w:t>
                  </w:r>
                </w:p>
              </w:tc>
            </w:tr>
            <w:tr w14:paraId="7623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49" w:type="dxa"/>
                  <w:vAlign w:val="center"/>
                </w:tcPr>
                <w:p w14:paraId="601369F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bCs/>
                      <w:sz w:val="18"/>
                      <w:szCs w:val="18"/>
                      <w:lang w:val="en-US" w:eastAsia="zh-CN"/>
                    </w:rPr>
                  </w:pPr>
                  <w:r>
                    <w:rPr>
                      <w:rFonts w:hint="eastAsia"/>
                      <w:b/>
                      <w:bCs/>
                      <w:sz w:val="18"/>
                      <w:szCs w:val="18"/>
                      <w:lang w:val="en-US" w:eastAsia="zh-CN"/>
                    </w:rPr>
                    <w:t>127</w:t>
                  </w:r>
                </w:p>
              </w:tc>
              <w:tc>
                <w:tcPr>
                  <w:tcW w:w="891" w:type="dxa"/>
                  <w:vAlign w:val="center"/>
                </w:tcPr>
                <w:p w14:paraId="63D4A7E8">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eastAsia="宋体"/>
                      <w:b/>
                      <w:bCs/>
                      <w:sz w:val="18"/>
                      <w:szCs w:val="18"/>
                      <w:lang w:val="en-US" w:eastAsia="zh-CN"/>
                    </w:rPr>
                  </w:pPr>
                  <w:r>
                    <w:rPr>
                      <w:rFonts w:hint="eastAsia"/>
                      <w:b/>
                      <w:bCs/>
                      <w:sz w:val="18"/>
                      <w:szCs w:val="18"/>
                    </w:rPr>
                    <w:t>9.25E-0</w:t>
                  </w:r>
                  <w:r>
                    <w:rPr>
                      <w:rFonts w:hint="eastAsia"/>
                      <w:b/>
                      <w:bCs/>
                      <w:sz w:val="18"/>
                      <w:szCs w:val="18"/>
                      <w:lang w:val="en-US" w:eastAsia="zh-CN"/>
                    </w:rPr>
                    <w:t>4</w:t>
                  </w:r>
                </w:p>
              </w:tc>
              <w:tc>
                <w:tcPr>
                  <w:tcW w:w="731" w:type="dxa"/>
                  <w:vAlign w:val="center"/>
                </w:tcPr>
                <w:p w14:paraId="703A493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 w:val="18"/>
                      <w:szCs w:val="18"/>
                    </w:rPr>
                  </w:pPr>
                  <w:r>
                    <w:rPr>
                      <w:rFonts w:hint="eastAsia" w:ascii="Times New Roman" w:hAnsi="Times New Roman" w:eastAsia="宋体" w:cs="Times New Roman"/>
                      <w:b/>
                      <w:bCs/>
                      <w:sz w:val="18"/>
                      <w:szCs w:val="18"/>
                    </w:rPr>
                    <w:t>0.10</w:t>
                  </w:r>
                </w:p>
              </w:tc>
              <w:tc>
                <w:tcPr>
                  <w:tcW w:w="1080" w:type="dxa"/>
                  <w:vAlign w:val="center"/>
                </w:tcPr>
                <w:p w14:paraId="721659F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 w:val="18"/>
                      <w:szCs w:val="18"/>
                    </w:rPr>
                  </w:pPr>
                  <w:r>
                    <w:rPr>
                      <w:rFonts w:hint="eastAsia" w:ascii="Times New Roman" w:hAnsi="Times New Roman" w:eastAsia="宋体" w:cs="Times New Roman"/>
                      <w:b/>
                      <w:bCs/>
                      <w:sz w:val="18"/>
                      <w:szCs w:val="18"/>
                    </w:rPr>
                    <w:t>8.88E-03</w:t>
                  </w:r>
                </w:p>
              </w:tc>
              <w:tc>
                <w:tcPr>
                  <w:tcW w:w="729" w:type="dxa"/>
                  <w:vAlign w:val="center"/>
                </w:tcPr>
                <w:p w14:paraId="7948E996">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 w:val="18"/>
                      <w:szCs w:val="18"/>
                    </w:rPr>
                  </w:pPr>
                  <w:r>
                    <w:rPr>
                      <w:rFonts w:hint="eastAsia" w:ascii="Times New Roman" w:hAnsi="Times New Roman" w:eastAsia="宋体" w:cs="Times New Roman"/>
                      <w:b/>
                      <w:bCs/>
                      <w:sz w:val="18"/>
                      <w:szCs w:val="18"/>
                    </w:rPr>
                    <w:t>0.22</w:t>
                  </w:r>
                </w:p>
              </w:tc>
              <w:tc>
                <w:tcPr>
                  <w:tcW w:w="1197" w:type="dxa"/>
                  <w:vAlign w:val="center"/>
                </w:tcPr>
                <w:p w14:paraId="39446C3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 w:val="18"/>
                      <w:szCs w:val="18"/>
                    </w:rPr>
                  </w:pPr>
                  <w:r>
                    <w:rPr>
                      <w:rFonts w:hint="eastAsia" w:ascii="Times New Roman" w:hAnsi="Times New Roman" w:eastAsia="宋体" w:cs="Times New Roman"/>
                      <w:b/>
                      <w:bCs/>
                      <w:sz w:val="18"/>
                      <w:szCs w:val="18"/>
                    </w:rPr>
                    <w:t>6.21E-03</w:t>
                  </w:r>
                </w:p>
              </w:tc>
              <w:tc>
                <w:tcPr>
                  <w:tcW w:w="729" w:type="dxa"/>
                  <w:vAlign w:val="center"/>
                </w:tcPr>
                <w:p w14:paraId="16A575F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18"/>
                      <w:szCs w:val="18"/>
                      <w:lang w:val="en-US" w:eastAsia="zh-CN"/>
                    </w:rPr>
                  </w:pPr>
                  <w:r>
                    <w:rPr>
                      <w:rFonts w:hint="eastAsia" w:ascii="Times New Roman" w:hAnsi="Times New Roman" w:eastAsia="宋体" w:cs="Times New Roman"/>
                      <w:b/>
                      <w:bCs/>
                      <w:sz w:val="18"/>
                      <w:szCs w:val="18"/>
                    </w:rPr>
                    <w:t>0.41</w:t>
                  </w:r>
                </w:p>
              </w:tc>
              <w:tc>
                <w:tcPr>
                  <w:tcW w:w="1398" w:type="dxa"/>
                  <w:vAlign w:val="center"/>
                </w:tcPr>
                <w:p w14:paraId="7B0A2A0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 w:val="18"/>
                      <w:szCs w:val="18"/>
                    </w:rPr>
                  </w:pPr>
                  <w:r>
                    <w:rPr>
                      <w:rFonts w:hint="eastAsia" w:ascii="Times New Roman" w:hAnsi="Times New Roman" w:eastAsia="宋体" w:cs="Times New Roman"/>
                      <w:b/>
                      <w:bCs/>
                      <w:sz w:val="18"/>
                      <w:szCs w:val="18"/>
                    </w:rPr>
                    <w:t>4.93E-05</w:t>
                  </w:r>
                </w:p>
              </w:tc>
              <w:tc>
                <w:tcPr>
                  <w:tcW w:w="730" w:type="dxa"/>
                  <w:vAlign w:val="center"/>
                </w:tcPr>
                <w:p w14:paraId="5970E41E">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 w:val="18"/>
                      <w:szCs w:val="18"/>
                    </w:rPr>
                  </w:pPr>
                  <w:r>
                    <w:rPr>
                      <w:rFonts w:hint="eastAsia" w:ascii="Times New Roman" w:hAnsi="Times New Roman" w:eastAsia="宋体" w:cs="Times New Roman"/>
                      <w:b/>
                      <w:bCs/>
                      <w:sz w:val="18"/>
                      <w:szCs w:val="18"/>
                    </w:rPr>
                    <w:t>0.08</w:t>
                  </w:r>
                </w:p>
              </w:tc>
            </w:tr>
            <w:tr w14:paraId="5ABB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49" w:type="dxa"/>
                  <w:vAlign w:val="center"/>
                </w:tcPr>
                <w:p w14:paraId="12FB432F">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val="0"/>
                      <w:bCs w:val="0"/>
                      <w:sz w:val="18"/>
                      <w:szCs w:val="18"/>
                      <w:lang w:val="en-US" w:eastAsia="zh-CN"/>
                    </w:rPr>
                  </w:pPr>
                  <w:r>
                    <w:rPr>
                      <w:rFonts w:hint="eastAsia"/>
                      <w:b w:val="0"/>
                      <w:bCs w:val="0"/>
                      <w:sz w:val="18"/>
                      <w:szCs w:val="18"/>
                      <w:lang w:val="en-US" w:eastAsia="zh-CN"/>
                    </w:rPr>
                    <w:t>150</w:t>
                  </w:r>
                </w:p>
              </w:tc>
              <w:tc>
                <w:tcPr>
                  <w:tcW w:w="891" w:type="dxa"/>
                  <w:vAlign w:val="center"/>
                </w:tcPr>
                <w:p w14:paraId="4C4D1147">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eastAsia="宋体"/>
                      <w:b w:val="0"/>
                      <w:bCs w:val="0"/>
                      <w:sz w:val="18"/>
                      <w:szCs w:val="18"/>
                      <w:lang w:val="en-US" w:eastAsia="zh-CN"/>
                    </w:rPr>
                  </w:pPr>
                  <w:r>
                    <w:rPr>
                      <w:rFonts w:hint="eastAsia"/>
                      <w:b w:val="0"/>
                      <w:bCs w:val="0"/>
                      <w:sz w:val="18"/>
                      <w:szCs w:val="18"/>
                    </w:rPr>
                    <w:t>8.95E-0</w:t>
                  </w:r>
                  <w:r>
                    <w:rPr>
                      <w:rFonts w:hint="eastAsia"/>
                      <w:b w:val="0"/>
                      <w:bCs w:val="0"/>
                      <w:sz w:val="18"/>
                      <w:szCs w:val="18"/>
                      <w:lang w:val="en-US" w:eastAsia="zh-CN"/>
                    </w:rPr>
                    <w:t>4</w:t>
                  </w:r>
                </w:p>
              </w:tc>
              <w:tc>
                <w:tcPr>
                  <w:tcW w:w="731" w:type="dxa"/>
                  <w:vAlign w:val="center"/>
                </w:tcPr>
                <w:p w14:paraId="439CBB4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rPr>
                    <w:t>0.10</w:t>
                  </w:r>
                </w:p>
              </w:tc>
              <w:tc>
                <w:tcPr>
                  <w:tcW w:w="1080" w:type="dxa"/>
                  <w:vAlign w:val="center"/>
                </w:tcPr>
                <w:p w14:paraId="1780C2B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8.59E-03</w:t>
                  </w:r>
                </w:p>
              </w:tc>
              <w:tc>
                <w:tcPr>
                  <w:tcW w:w="729" w:type="dxa"/>
                  <w:vAlign w:val="center"/>
                </w:tcPr>
                <w:p w14:paraId="0E58973E">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0.21</w:t>
                  </w:r>
                </w:p>
              </w:tc>
              <w:tc>
                <w:tcPr>
                  <w:tcW w:w="1197" w:type="dxa"/>
                  <w:vAlign w:val="center"/>
                </w:tcPr>
                <w:p w14:paraId="35B3695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6.02E-03</w:t>
                  </w:r>
                </w:p>
              </w:tc>
              <w:tc>
                <w:tcPr>
                  <w:tcW w:w="729" w:type="dxa"/>
                  <w:vAlign w:val="center"/>
                </w:tcPr>
                <w:p w14:paraId="47734046">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0.40</w:t>
                  </w:r>
                </w:p>
              </w:tc>
              <w:tc>
                <w:tcPr>
                  <w:tcW w:w="1398" w:type="dxa"/>
                  <w:vAlign w:val="center"/>
                </w:tcPr>
                <w:p w14:paraId="6CDB8DE6">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4.77E-05</w:t>
                  </w:r>
                </w:p>
              </w:tc>
              <w:tc>
                <w:tcPr>
                  <w:tcW w:w="730" w:type="dxa"/>
                  <w:vAlign w:val="center"/>
                </w:tcPr>
                <w:p w14:paraId="39265533">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0.08</w:t>
                  </w:r>
                </w:p>
              </w:tc>
            </w:tr>
            <w:tr w14:paraId="34AD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49" w:type="dxa"/>
                  <w:vAlign w:val="center"/>
                </w:tcPr>
                <w:p w14:paraId="2FBDF3C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val="0"/>
                      <w:bCs w:val="0"/>
                      <w:sz w:val="18"/>
                      <w:szCs w:val="18"/>
                      <w:lang w:val="en-US" w:eastAsia="zh-CN"/>
                    </w:rPr>
                  </w:pPr>
                  <w:r>
                    <w:rPr>
                      <w:rFonts w:hint="eastAsia"/>
                      <w:b w:val="0"/>
                      <w:bCs w:val="0"/>
                      <w:sz w:val="18"/>
                      <w:szCs w:val="18"/>
                      <w:lang w:val="en-US" w:eastAsia="zh-CN"/>
                    </w:rPr>
                    <w:t>175</w:t>
                  </w:r>
                </w:p>
              </w:tc>
              <w:tc>
                <w:tcPr>
                  <w:tcW w:w="891" w:type="dxa"/>
                  <w:vAlign w:val="center"/>
                </w:tcPr>
                <w:p w14:paraId="253EADD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eastAsia="宋体"/>
                      <w:b w:val="0"/>
                      <w:bCs w:val="0"/>
                      <w:sz w:val="18"/>
                      <w:szCs w:val="18"/>
                      <w:lang w:val="en-US" w:eastAsia="zh-CN"/>
                    </w:rPr>
                  </w:pPr>
                  <w:r>
                    <w:rPr>
                      <w:rFonts w:hint="eastAsia"/>
                      <w:b w:val="0"/>
                      <w:bCs w:val="0"/>
                      <w:sz w:val="18"/>
                      <w:szCs w:val="18"/>
                    </w:rPr>
                    <w:t>8.26E-0</w:t>
                  </w:r>
                  <w:r>
                    <w:rPr>
                      <w:rFonts w:hint="eastAsia"/>
                      <w:b w:val="0"/>
                      <w:bCs w:val="0"/>
                      <w:sz w:val="18"/>
                      <w:szCs w:val="18"/>
                      <w:lang w:val="en-US" w:eastAsia="zh-CN"/>
                    </w:rPr>
                    <w:t>4</w:t>
                  </w:r>
                </w:p>
              </w:tc>
              <w:tc>
                <w:tcPr>
                  <w:tcW w:w="731" w:type="dxa"/>
                  <w:vAlign w:val="center"/>
                </w:tcPr>
                <w:p w14:paraId="70A06EBE">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lang w:eastAsia="zh-CN"/>
                    </w:rPr>
                  </w:pPr>
                  <w:r>
                    <w:rPr>
                      <w:rFonts w:hint="eastAsia" w:ascii="Times New Roman" w:hAnsi="Times New Roman" w:eastAsia="宋体" w:cs="Times New Roman"/>
                      <w:b w:val="0"/>
                      <w:bCs w:val="0"/>
                      <w:sz w:val="18"/>
                      <w:szCs w:val="18"/>
                    </w:rPr>
                    <w:t>0.09</w:t>
                  </w:r>
                </w:p>
              </w:tc>
              <w:tc>
                <w:tcPr>
                  <w:tcW w:w="1080" w:type="dxa"/>
                  <w:vAlign w:val="center"/>
                </w:tcPr>
                <w:p w14:paraId="77E26C9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7.93E-03</w:t>
                  </w:r>
                </w:p>
              </w:tc>
              <w:tc>
                <w:tcPr>
                  <w:tcW w:w="729" w:type="dxa"/>
                  <w:vAlign w:val="center"/>
                </w:tcPr>
                <w:p w14:paraId="2A0F77F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0.20</w:t>
                  </w:r>
                </w:p>
              </w:tc>
              <w:tc>
                <w:tcPr>
                  <w:tcW w:w="1197" w:type="dxa"/>
                  <w:vAlign w:val="center"/>
                </w:tcPr>
                <w:p w14:paraId="4CD7514A">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5.55E-03</w:t>
                  </w:r>
                </w:p>
              </w:tc>
              <w:tc>
                <w:tcPr>
                  <w:tcW w:w="729" w:type="dxa"/>
                  <w:vAlign w:val="center"/>
                </w:tcPr>
                <w:p w14:paraId="213E2215">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0.37</w:t>
                  </w:r>
                </w:p>
              </w:tc>
              <w:tc>
                <w:tcPr>
                  <w:tcW w:w="1398" w:type="dxa"/>
                  <w:vAlign w:val="center"/>
                </w:tcPr>
                <w:p w14:paraId="65FC082E">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4.41E-05</w:t>
                  </w:r>
                </w:p>
              </w:tc>
              <w:tc>
                <w:tcPr>
                  <w:tcW w:w="730" w:type="dxa"/>
                  <w:vAlign w:val="center"/>
                </w:tcPr>
                <w:p w14:paraId="6A75527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0.07</w:t>
                  </w:r>
                </w:p>
              </w:tc>
            </w:tr>
            <w:tr w14:paraId="2681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49" w:type="dxa"/>
                  <w:vAlign w:val="center"/>
                </w:tcPr>
                <w:p w14:paraId="0E3844A3">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val="0"/>
                      <w:bCs w:val="0"/>
                      <w:sz w:val="18"/>
                      <w:szCs w:val="18"/>
                      <w:lang w:val="en-US" w:eastAsia="zh-CN"/>
                    </w:rPr>
                  </w:pPr>
                  <w:r>
                    <w:rPr>
                      <w:rFonts w:hint="eastAsia"/>
                      <w:b w:val="0"/>
                      <w:bCs w:val="0"/>
                      <w:sz w:val="18"/>
                      <w:szCs w:val="18"/>
                      <w:lang w:val="en-US" w:eastAsia="zh-CN"/>
                    </w:rPr>
                    <w:t>200</w:t>
                  </w:r>
                </w:p>
              </w:tc>
              <w:tc>
                <w:tcPr>
                  <w:tcW w:w="891" w:type="dxa"/>
                  <w:vAlign w:val="center"/>
                </w:tcPr>
                <w:p w14:paraId="1FADD6DE">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eastAsia="宋体"/>
                      <w:b w:val="0"/>
                      <w:bCs w:val="0"/>
                      <w:sz w:val="18"/>
                      <w:szCs w:val="18"/>
                      <w:lang w:val="en-US" w:eastAsia="zh-CN"/>
                    </w:rPr>
                  </w:pPr>
                  <w:r>
                    <w:rPr>
                      <w:rFonts w:hint="eastAsia"/>
                      <w:b w:val="0"/>
                      <w:bCs w:val="0"/>
                      <w:sz w:val="18"/>
                      <w:szCs w:val="18"/>
                    </w:rPr>
                    <w:t>7.49E-0</w:t>
                  </w:r>
                  <w:r>
                    <w:rPr>
                      <w:rFonts w:hint="eastAsia"/>
                      <w:b w:val="0"/>
                      <w:bCs w:val="0"/>
                      <w:sz w:val="18"/>
                      <w:szCs w:val="18"/>
                      <w:lang w:val="en-US" w:eastAsia="zh-CN"/>
                    </w:rPr>
                    <w:t>4</w:t>
                  </w:r>
                </w:p>
              </w:tc>
              <w:tc>
                <w:tcPr>
                  <w:tcW w:w="731" w:type="dxa"/>
                  <w:vAlign w:val="center"/>
                </w:tcPr>
                <w:p w14:paraId="6B18B838">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rPr>
                    <w:t>0.08</w:t>
                  </w:r>
                </w:p>
              </w:tc>
              <w:tc>
                <w:tcPr>
                  <w:tcW w:w="1080" w:type="dxa"/>
                  <w:vAlign w:val="center"/>
                </w:tcPr>
                <w:p w14:paraId="0330B26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7.19E-03</w:t>
                  </w:r>
                </w:p>
              </w:tc>
              <w:tc>
                <w:tcPr>
                  <w:tcW w:w="729" w:type="dxa"/>
                  <w:vAlign w:val="center"/>
                </w:tcPr>
                <w:p w14:paraId="59EB9F46">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0.18</w:t>
                  </w:r>
                </w:p>
              </w:tc>
              <w:tc>
                <w:tcPr>
                  <w:tcW w:w="1197" w:type="dxa"/>
                  <w:vAlign w:val="center"/>
                </w:tcPr>
                <w:p w14:paraId="13AE792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5.03E-03</w:t>
                  </w:r>
                </w:p>
              </w:tc>
              <w:tc>
                <w:tcPr>
                  <w:tcW w:w="729" w:type="dxa"/>
                  <w:vAlign w:val="center"/>
                </w:tcPr>
                <w:p w14:paraId="3D0A05C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0.34</w:t>
                  </w:r>
                </w:p>
              </w:tc>
              <w:tc>
                <w:tcPr>
                  <w:tcW w:w="1398" w:type="dxa"/>
                  <w:vAlign w:val="center"/>
                </w:tcPr>
                <w:p w14:paraId="5C346D13">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3.99E-05</w:t>
                  </w:r>
                </w:p>
              </w:tc>
              <w:tc>
                <w:tcPr>
                  <w:tcW w:w="730" w:type="dxa"/>
                  <w:vAlign w:val="center"/>
                </w:tcPr>
                <w:p w14:paraId="7E96430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0.07</w:t>
                  </w:r>
                </w:p>
              </w:tc>
            </w:tr>
            <w:tr w14:paraId="4BE3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49" w:type="dxa"/>
                  <w:vAlign w:val="center"/>
                </w:tcPr>
                <w:p w14:paraId="3C44C116">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val="0"/>
                      <w:bCs w:val="0"/>
                      <w:sz w:val="18"/>
                      <w:szCs w:val="18"/>
                      <w:lang w:val="en-US" w:eastAsia="zh-CN"/>
                    </w:rPr>
                  </w:pPr>
                  <w:r>
                    <w:rPr>
                      <w:rFonts w:hint="eastAsia"/>
                      <w:b w:val="0"/>
                      <w:bCs w:val="0"/>
                      <w:sz w:val="18"/>
                      <w:szCs w:val="18"/>
                      <w:lang w:val="en-US" w:eastAsia="zh-CN"/>
                    </w:rPr>
                    <w:t>225</w:t>
                  </w:r>
                </w:p>
              </w:tc>
              <w:tc>
                <w:tcPr>
                  <w:tcW w:w="891" w:type="dxa"/>
                  <w:vAlign w:val="center"/>
                </w:tcPr>
                <w:p w14:paraId="34B04FA5">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eastAsia="宋体"/>
                      <w:b w:val="0"/>
                      <w:bCs w:val="0"/>
                      <w:sz w:val="18"/>
                      <w:szCs w:val="18"/>
                      <w:lang w:val="en-US" w:eastAsia="zh-CN"/>
                    </w:rPr>
                  </w:pPr>
                  <w:r>
                    <w:rPr>
                      <w:rFonts w:hint="eastAsia"/>
                      <w:b w:val="0"/>
                      <w:bCs w:val="0"/>
                      <w:sz w:val="18"/>
                      <w:szCs w:val="18"/>
                    </w:rPr>
                    <w:t>6.75E-0</w:t>
                  </w:r>
                  <w:r>
                    <w:rPr>
                      <w:rFonts w:hint="eastAsia"/>
                      <w:b w:val="0"/>
                      <w:bCs w:val="0"/>
                      <w:sz w:val="18"/>
                      <w:szCs w:val="18"/>
                      <w:lang w:val="en-US" w:eastAsia="zh-CN"/>
                    </w:rPr>
                    <w:t>4</w:t>
                  </w:r>
                </w:p>
              </w:tc>
              <w:tc>
                <w:tcPr>
                  <w:tcW w:w="731" w:type="dxa"/>
                  <w:vAlign w:val="center"/>
                </w:tcPr>
                <w:p w14:paraId="6AEC40EF">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rPr>
                    <w:t>0.07</w:t>
                  </w:r>
                </w:p>
              </w:tc>
              <w:tc>
                <w:tcPr>
                  <w:tcW w:w="1080" w:type="dxa"/>
                  <w:vAlign w:val="center"/>
                </w:tcPr>
                <w:p w14:paraId="737D258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6.48E-03</w:t>
                  </w:r>
                </w:p>
              </w:tc>
              <w:tc>
                <w:tcPr>
                  <w:tcW w:w="729" w:type="dxa"/>
                  <w:vAlign w:val="center"/>
                </w:tcPr>
                <w:p w14:paraId="78129F17">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0.16</w:t>
                  </w:r>
                </w:p>
              </w:tc>
              <w:tc>
                <w:tcPr>
                  <w:tcW w:w="1197" w:type="dxa"/>
                  <w:vAlign w:val="center"/>
                </w:tcPr>
                <w:p w14:paraId="2C25BE57">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4.54E-03</w:t>
                  </w:r>
                </w:p>
              </w:tc>
              <w:tc>
                <w:tcPr>
                  <w:tcW w:w="729" w:type="dxa"/>
                  <w:vAlign w:val="center"/>
                </w:tcPr>
                <w:p w14:paraId="6BAF4D63">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0.30</w:t>
                  </w:r>
                </w:p>
              </w:tc>
              <w:tc>
                <w:tcPr>
                  <w:tcW w:w="1398" w:type="dxa"/>
                  <w:vAlign w:val="center"/>
                </w:tcPr>
                <w:p w14:paraId="738498E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3.60E-05</w:t>
                  </w:r>
                </w:p>
              </w:tc>
              <w:tc>
                <w:tcPr>
                  <w:tcW w:w="730" w:type="dxa"/>
                  <w:vAlign w:val="center"/>
                </w:tcPr>
                <w:p w14:paraId="304D8DCD">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0.06</w:t>
                  </w:r>
                </w:p>
              </w:tc>
            </w:tr>
            <w:tr w14:paraId="71D8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49" w:type="dxa"/>
                  <w:vAlign w:val="center"/>
                </w:tcPr>
                <w:p w14:paraId="575D846F">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val="0"/>
                      <w:bCs w:val="0"/>
                      <w:sz w:val="18"/>
                      <w:szCs w:val="18"/>
                      <w:lang w:val="en-US" w:eastAsia="zh-CN"/>
                    </w:rPr>
                  </w:pPr>
                  <w:r>
                    <w:rPr>
                      <w:rFonts w:hint="eastAsia"/>
                      <w:b w:val="0"/>
                      <w:bCs w:val="0"/>
                      <w:sz w:val="18"/>
                      <w:szCs w:val="18"/>
                      <w:lang w:val="en-US" w:eastAsia="zh-CN"/>
                    </w:rPr>
                    <w:t>250</w:t>
                  </w:r>
                </w:p>
              </w:tc>
              <w:tc>
                <w:tcPr>
                  <w:tcW w:w="891" w:type="dxa"/>
                  <w:vAlign w:val="center"/>
                </w:tcPr>
                <w:p w14:paraId="39AE6DB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eastAsia="宋体"/>
                      <w:b w:val="0"/>
                      <w:bCs w:val="0"/>
                      <w:sz w:val="18"/>
                      <w:szCs w:val="18"/>
                      <w:lang w:val="en-US" w:eastAsia="zh-CN"/>
                    </w:rPr>
                  </w:pPr>
                  <w:r>
                    <w:rPr>
                      <w:rFonts w:hint="eastAsia"/>
                      <w:b w:val="0"/>
                      <w:bCs w:val="0"/>
                      <w:sz w:val="18"/>
                      <w:szCs w:val="18"/>
                    </w:rPr>
                    <w:t>6.08E-0</w:t>
                  </w:r>
                  <w:r>
                    <w:rPr>
                      <w:rFonts w:hint="eastAsia"/>
                      <w:b w:val="0"/>
                      <w:bCs w:val="0"/>
                      <w:sz w:val="18"/>
                      <w:szCs w:val="18"/>
                      <w:lang w:val="en-US" w:eastAsia="zh-CN"/>
                    </w:rPr>
                    <w:t>4</w:t>
                  </w:r>
                </w:p>
              </w:tc>
              <w:tc>
                <w:tcPr>
                  <w:tcW w:w="731" w:type="dxa"/>
                  <w:vAlign w:val="center"/>
                </w:tcPr>
                <w:p w14:paraId="73B2F13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rPr>
                    <w:t>0.07</w:t>
                  </w:r>
                </w:p>
              </w:tc>
              <w:tc>
                <w:tcPr>
                  <w:tcW w:w="1080" w:type="dxa"/>
                  <w:vAlign w:val="center"/>
                </w:tcPr>
                <w:p w14:paraId="4D019675">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5.84E-03</w:t>
                  </w:r>
                </w:p>
              </w:tc>
              <w:tc>
                <w:tcPr>
                  <w:tcW w:w="729" w:type="dxa"/>
                  <w:vAlign w:val="center"/>
                </w:tcPr>
                <w:p w14:paraId="635D08E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0.15</w:t>
                  </w:r>
                </w:p>
              </w:tc>
              <w:tc>
                <w:tcPr>
                  <w:tcW w:w="1197" w:type="dxa"/>
                  <w:vAlign w:val="center"/>
                </w:tcPr>
                <w:p w14:paraId="2B6A7B66">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4.09E-03</w:t>
                  </w:r>
                </w:p>
              </w:tc>
              <w:tc>
                <w:tcPr>
                  <w:tcW w:w="729" w:type="dxa"/>
                  <w:vAlign w:val="center"/>
                </w:tcPr>
                <w:p w14:paraId="2157D326">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0.27</w:t>
                  </w:r>
                </w:p>
              </w:tc>
              <w:tc>
                <w:tcPr>
                  <w:tcW w:w="1398" w:type="dxa"/>
                  <w:vAlign w:val="center"/>
                </w:tcPr>
                <w:p w14:paraId="73EC4DF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3.24E-05</w:t>
                  </w:r>
                </w:p>
              </w:tc>
              <w:tc>
                <w:tcPr>
                  <w:tcW w:w="730" w:type="dxa"/>
                  <w:vAlign w:val="center"/>
                </w:tcPr>
                <w:p w14:paraId="0F3ECD6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0.05</w:t>
                  </w:r>
                </w:p>
              </w:tc>
            </w:tr>
            <w:tr w14:paraId="7C5D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49" w:type="dxa"/>
                  <w:vAlign w:val="center"/>
                </w:tcPr>
                <w:p w14:paraId="3BFDE5B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val="0"/>
                      <w:bCs w:val="0"/>
                      <w:sz w:val="18"/>
                      <w:szCs w:val="18"/>
                      <w:lang w:val="en-US" w:eastAsia="zh-CN"/>
                    </w:rPr>
                  </w:pPr>
                  <w:r>
                    <w:rPr>
                      <w:rFonts w:hint="eastAsia"/>
                      <w:b w:val="0"/>
                      <w:bCs w:val="0"/>
                      <w:sz w:val="18"/>
                      <w:szCs w:val="18"/>
                      <w:lang w:val="en-US" w:eastAsia="zh-CN"/>
                    </w:rPr>
                    <w:t>275</w:t>
                  </w:r>
                </w:p>
              </w:tc>
              <w:tc>
                <w:tcPr>
                  <w:tcW w:w="891" w:type="dxa"/>
                  <w:vAlign w:val="center"/>
                </w:tcPr>
                <w:p w14:paraId="166303D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eastAsia="宋体"/>
                      <w:b w:val="0"/>
                      <w:bCs w:val="0"/>
                      <w:sz w:val="18"/>
                      <w:szCs w:val="18"/>
                      <w:lang w:val="en-US" w:eastAsia="zh-CN"/>
                    </w:rPr>
                  </w:pPr>
                  <w:r>
                    <w:rPr>
                      <w:rFonts w:hint="eastAsia"/>
                      <w:b w:val="0"/>
                      <w:bCs w:val="0"/>
                      <w:sz w:val="18"/>
                      <w:szCs w:val="18"/>
                    </w:rPr>
                    <w:t>5.50E-0</w:t>
                  </w:r>
                  <w:r>
                    <w:rPr>
                      <w:rFonts w:hint="eastAsia"/>
                      <w:b w:val="0"/>
                      <w:bCs w:val="0"/>
                      <w:sz w:val="18"/>
                      <w:szCs w:val="18"/>
                      <w:lang w:val="en-US" w:eastAsia="zh-CN"/>
                    </w:rPr>
                    <w:t>4</w:t>
                  </w:r>
                </w:p>
              </w:tc>
              <w:tc>
                <w:tcPr>
                  <w:tcW w:w="731" w:type="dxa"/>
                  <w:vAlign w:val="center"/>
                </w:tcPr>
                <w:p w14:paraId="6F9603F9">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rPr>
                    <w:t>0.06</w:t>
                  </w:r>
                </w:p>
              </w:tc>
              <w:tc>
                <w:tcPr>
                  <w:tcW w:w="1080" w:type="dxa"/>
                  <w:vAlign w:val="center"/>
                </w:tcPr>
                <w:p w14:paraId="45ED32D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5.28E-03</w:t>
                  </w:r>
                </w:p>
              </w:tc>
              <w:tc>
                <w:tcPr>
                  <w:tcW w:w="729" w:type="dxa"/>
                  <w:vAlign w:val="center"/>
                </w:tcPr>
                <w:p w14:paraId="4624F388">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0.13</w:t>
                  </w:r>
                </w:p>
              </w:tc>
              <w:tc>
                <w:tcPr>
                  <w:tcW w:w="1197" w:type="dxa"/>
                  <w:vAlign w:val="center"/>
                </w:tcPr>
                <w:p w14:paraId="721D86BD">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3.69E-03</w:t>
                  </w:r>
                </w:p>
              </w:tc>
              <w:tc>
                <w:tcPr>
                  <w:tcW w:w="729" w:type="dxa"/>
                  <w:vAlign w:val="center"/>
                </w:tcPr>
                <w:p w14:paraId="4E0B714D">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0.25</w:t>
                  </w:r>
                </w:p>
              </w:tc>
              <w:tc>
                <w:tcPr>
                  <w:tcW w:w="1398" w:type="dxa"/>
                  <w:vAlign w:val="center"/>
                </w:tcPr>
                <w:p w14:paraId="1DF943FE">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2.93E-05</w:t>
                  </w:r>
                </w:p>
              </w:tc>
              <w:tc>
                <w:tcPr>
                  <w:tcW w:w="730" w:type="dxa"/>
                  <w:vAlign w:val="center"/>
                </w:tcPr>
                <w:p w14:paraId="78DE6B0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0.05</w:t>
                  </w:r>
                </w:p>
              </w:tc>
            </w:tr>
            <w:tr w14:paraId="5E6E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49" w:type="dxa"/>
                  <w:vAlign w:val="center"/>
                </w:tcPr>
                <w:p w14:paraId="709EEF33">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val="0"/>
                      <w:bCs w:val="0"/>
                      <w:sz w:val="18"/>
                      <w:szCs w:val="18"/>
                      <w:lang w:val="en-US" w:eastAsia="zh-CN"/>
                    </w:rPr>
                  </w:pPr>
                  <w:r>
                    <w:rPr>
                      <w:rFonts w:hint="eastAsia"/>
                      <w:b w:val="0"/>
                      <w:bCs w:val="0"/>
                      <w:sz w:val="18"/>
                      <w:szCs w:val="18"/>
                      <w:lang w:val="en-US" w:eastAsia="zh-CN"/>
                    </w:rPr>
                    <w:t>300</w:t>
                  </w:r>
                </w:p>
              </w:tc>
              <w:tc>
                <w:tcPr>
                  <w:tcW w:w="891" w:type="dxa"/>
                  <w:vAlign w:val="center"/>
                </w:tcPr>
                <w:p w14:paraId="674B74C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eastAsia="宋体"/>
                      <w:b w:val="0"/>
                      <w:bCs w:val="0"/>
                      <w:sz w:val="18"/>
                      <w:szCs w:val="18"/>
                      <w:lang w:val="en-US" w:eastAsia="zh-CN"/>
                    </w:rPr>
                  </w:pPr>
                  <w:r>
                    <w:rPr>
                      <w:rFonts w:hint="eastAsia"/>
                      <w:b w:val="0"/>
                      <w:bCs w:val="0"/>
                      <w:sz w:val="18"/>
                      <w:szCs w:val="18"/>
                    </w:rPr>
                    <w:t>4.99E-0</w:t>
                  </w:r>
                  <w:r>
                    <w:rPr>
                      <w:rFonts w:hint="eastAsia"/>
                      <w:b w:val="0"/>
                      <w:bCs w:val="0"/>
                      <w:sz w:val="18"/>
                      <w:szCs w:val="18"/>
                      <w:lang w:val="en-US" w:eastAsia="zh-CN"/>
                    </w:rPr>
                    <w:t>4</w:t>
                  </w:r>
                </w:p>
              </w:tc>
              <w:tc>
                <w:tcPr>
                  <w:tcW w:w="731" w:type="dxa"/>
                  <w:vAlign w:val="center"/>
                </w:tcPr>
                <w:p w14:paraId="2B09E349">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lang w:eastAsia="zh-CN"/>
                    </w:rPr>
                  </w:pPr>
                  <w:r>
                    <w:rPr>
                      <w:rFonts w:hint="eastAsia" w:ascii="Times New Roman" w:hAnsi="Times New Roman" w:eastAsia="宋体" w:cs="Times New Roman"/>
                      <w:b w:val="0"/>
                      <w:bCs w:val="0"/>
                      <w:sz w:val="18"/>
                      <w:szCs w:val="18"/>
                    </w:rPr>
                    <w:t>0.06</w:t>
                  </w:r>
                </w:p>
              </w:tc>
              <w:tc>
                <w:tcPr>
                  <w:tcW w:w="1080" w:type="dxa"/>
                  <w:vAlign w:val="center"/>
                </w:tcPr>
                <w:p w14:paraId="25738386">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4.79E-03</w:t>
                  </w:r>
                </w:p>
              </w:tc>
              <w:tc>
                <w:tcPr>
                  <w:tcW w:w="729" w:type="dxa"/>
                  <w:vAlign w:val="center"/>
                </w:tcPr>
                <w:p w14:paraId="065EAA98">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0.12</w:t>
                  </w:r>
                </w:p>
              </w:tc>
              <w:tc>
                <w:tcPr>
                  <w:tcW w:w="1197" w:type="dxa"/>
                  <w:vAlign w:val="center"/>
                </w:tcPr>
                <w:p w14:paraId="58E14FE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3.35E-03</w:t>
                  </w:r>
                </w:p>
              </w:tc>
              <w:tc>
                <w:tcPr>
                  <w:tcW w:w="729" w:type="dxa"/>
                  <w:vAlign w:val="center"/>
                </w:tcPr>
                <w:p w14:paraId="3FF909C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0.22</w:t>
                  </w:r>
                </w:p>
              </w:tc>
              <w:tc>
                <w:tcPr>
                  <w:tcW w:w="1398" w:type="dxa"/>
                  <w:vAlign w:val="center"/>
                </w:tcPr>
                <w:p w14:paraId="3FB78E7D">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2.66E-05</w:t>
                  </w:r>
                </w:p>
              </w:tc>
              <w:tc>
                <w:tcPr>
                  <w:tcW w:w="730" w:type="dxa"/>
                  <w:vAlign w:val="center"/>
                </w:tcPr>
                <w:p w14:paraId="105418EA">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0.04</w:t>
                  </w:r>
                </w:p>
              </w:tc>
            </w:tr>
            <w:tr w14:paraId="294A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49" w:type="dxa"/>
                  <w:shd w:val="clear" w:color="auto" w:fill="auto"/>
                  <w:vAlign w:val="center"/>
                </w:tcPr>
                <w:p w14:paraId="0BD70C6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lang w:val="en-US" w:eastAsia="zh-CN"/>
                    </w:rPr>
                  </w:pPr>
                  <w:r>
                    <w:rPr>
                      <w:rFonts w:hint="eastAsia"/>
                      <w:b w:val="0"/>
                      <w:bCs w:val="0"/>
                      <w:sz w:val="18"/>
                      <w:szCs w:val="18"/>
                    </w:rPr>
                    <w:t>……</w:t>
                  </w:r>
                </w:p>
              </w:tc>
              <w:tc>
                <w:tcPr>
                  <w:tcW w:w="891" w:type="dxa"/>
                  <w:shd w:val="clear" w:color="auto" w:fill="auto"/>
                  <w:vAlign w:val="center"/>
                </w:tcPr>
                <w:p w14:paraId="54031F8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lang w:val="en-US" w:eastAsia="zh-CN"/>
                    </w:rPr>
                  </w:pPr>
                  <w:r>
                    <w:rPr>
                      <w:rFonts w:hint="eastAsia"/>
                      <w:b w:val="0"/>
                      <w:bCs w:val="0"/>
                      <w:sz w:val="18"/>
                      <w:szCs w:val="18"/>
                    </w:rPr>
                    <w:t>……</w:t>
                  </w:r>
                </w:p>
              </w:tc>
              <w:tc>
                <w:tcPr>
                  <w:tcW w:w="731" w:type="dxa"/>
                  <w:vAlign w:val="center"/>
                </w:tcPr>
                <w:p w14:paraId="16DCAD7F">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w:t>
                  </w:r>
                </w:p>
              </w:tc>
              <w:tc>
                <w:tcPr>
                  <w:tcW w:w="1080" w:type="dxa"/>
                  <w:vAlign w:val="center"/>
                </w:tcPr>
                <w:p w14:paraId="132641B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w:t>
                  </w:r>
                </w:p>
              </w:tc>
              <w:tc>
                <w:tcPr>
                  <w:tcW w:w="729" w:type="dxa"/>
                  <w:vAlign w:val="center"/>
                </w:tcPr>
                <w:p w14:paraId="6E312BE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w:t>
                  </w:r>
                </w:p>
              </w:tc>
              <w:tc>
                <w:tcPr>
                  <w:tcW w:w="1197" w:type="dxa"/>
                  <w:vAlign w:val="center"/>
                </w:tcPr>
                <w:p w14:paraId="3C8A8A19">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w:t>
                  </w:r>
                </w:p>
              </w:tc>
              <w:tc>
                <w:tcPr>
                  <w:tcW w:w="729" w:type="dxa"/>
                  <w:vAlign w:val="center"/>
                </w:tcPr>
                <w:p w14:paraId="15B3D8F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w:t>
                  </w:r>
                </w:p>
              </w:tc>
              <w:tc>
                <w:tcPr>
                  <w:tcW w:w="1398" w:type="dxa"/>
                  <w:vAlign w:val="center"/>
                </w:tcPr>
                <w:p w14:paraId="1E3092D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w:t>
                  </w:r>
                </w:p>
              </w:tc>
              <w:tc>
                <w:tcPr>
                  <w:tcW w:w="730" w:type="dxa"/>
                  <w:vAlign w:val="center"/>
                </w:tcPr>
                <w:p w14:paraId="1392A47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w:t>
                  </w:r>
                </w:p>
              </w:tc>
            </w:tr>
            <w:tr w14:paraId="6BF6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49" w:type="dxa"/>
                  <w:vAlign w:val="center"/>
                </w:tcPr>
                <w:p w14:paraId="21A5CBF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下风向最大值</w:t>
                  </w:r>
                </w:p>
              </w:tc>
              <w:tc>
                <w:tcPr>
                  <w:tcW w:w="891" w:type="dxa"/>
                  <w:vAlign w:val="center"/>
                </w:tcPr>
                <w:p w14:paraId="708E15E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bCs/>
                      <w:sz w:val="18"/>
                      <w:szCs w:val="18"/>
                    </w:rPr>
                    <w:t>9.25E-04</w:t>
                  </w:r>
                </w:p>
              </w:tc>
              <w:tc>
                <w:tcPr>
                  <w:tcW w:w="731" w:type="dxa"/>
                  <w:vAlign w:val="center"/>
                </w:tcPr>
                <w:p w14:paraId="19FDC893">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val="0"/>
                      <w:bCs w:val="0"/>
                      <w:sz w:val="18"/>
                      <w:szCs w:val="18"/>
                      <w:lang w:val="en-US"/>
                    </w:rPr>
                  </w:pPr>
                  <w:r>
                    <w:rPr>
                      <w:rFonts w:hint="eastAsia"/>
                      <w:b/>
                      <w:bCs/>
                      <w:sz w:val="18"/>
                      <w:szCs w:val="18"/>
                    </w:rPr>
                    <w:t>0.</w:t>
                  </w:r>
                  <w:r>
                    <w:rPr>
                      <w:rFonts w:hint="eastAsia"/>
                      <w:b/>
                      <w:bCs/>
                      <w:sz w:val="18"/>
                      <w:szCs w:val="18"/>
                      <w:lang w:val="en-US" w:eastAsia="zh-CN"/>
                    </w:rPr>
                    <w:t>10</w:t>
                  </w:r>
                </w:p>
              </w:tc>
              <w:tc>
                <w:tcPr>
                  <w:tcW w:w="1080" w:type="dxa"/>
                  <w:vAlign w:val="center"/>
                </w:tcPr>
                <w:p w14:paraId="1E9C54B5">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bCs/>
                      <w:sz w:val="18"/>
                      <w:szCs w:val="18"/>
                    </w:rPr>
                    <w:t>8.88E-03</w:t>
                  </w:r>
                </w:p>
              </w:tc>
              <w:tc>
                <w:tcPr>
                  <w:tcW w:w="729" w:type="dxa"/>
                  <w:vAlign w:val="center"/>
                </w:tcPr>
                <w:p w14:paraId="614AEA5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bCs/>
                      <w:sz w:val="18"/>
                      <w:szCs w:val="18"/>
                    </w:rPr>
                    <w:t>0.01</w:t>
                  </w:r>
                </w:p>
              </w:tc>
              <w:tc>
                <w:tcPr>
                  <w:tcW w:w="1197" w:type="dxa"/>
                  <w:vAlign w:val="center"/>
                </w:tcPr>
                <w:p w14:paraId="51CE852E">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bCs/>
                      <w:sz w:val="18"/>
                      <w:szCs w:val="18"/>
                    </w:rPr>
                    <w:t>6.41E-03</w:t>
                  </w:r>
                </w:p>
              </w:tc>
              <w:tc>
                <w:tcPr>
                  <w:tcW w:w="729" w:type="dxa"/>
                  <w:vAlign w:val="center"/>
                </w:tcPr>
                <w:p w14:paraId="47FFCE17">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bCs/>
                      <w:sz w:val="18"/>
                      <w:szCs w:val="18"/>
                    </w:rPr>
                    <w:t>5.83</w:t>
                  </w:r>
                </w:p>
              </w:tc>
              <w:tc>
                <w:tcPr>
                  <w:tcW w:w="1398" w:type="dxa"/>
                  <w:vAlign w:val="center"/>
                </w:tcPr>
                <w:p w14:paraId="2DC3C5DE">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bCs/>
                      <w:sz w:val="18"/>
                      <w:szCs w:val="18"/>
                    </w:rPr>
                  </w:pPr>
                  <w:r>
                    <w:rPr>
                      <w:rFonts w:hint="eastAsia"/>
                      <w:b/>
                      <w:bCs/>
                      <w:sz w:val="18"/>
                      <w:szCs w:val="18"/>
                    </w:rPr>
                    <w:t>4.93E-05</w:t>
                  </w:r>
                </w:p>
              </w:tc>
              <w:tc>
                <w:tcPr>
                  <w:tcW w:w="730" w:type="dxa"/>
                  <w:vAlign w:val="center"/>
                </w:tcPr>
                <w:p w14:paraId="27AEBF48">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bCs/>
                      <w:sz w:val="18"/>
                      <w:szCs w:val="18"/>
                    </w:rPr>
                  </w:pPr>
                  <w:r>
                    <w:rPr>
                      <w:rFonts w:hint="eastAsia"/>
                      <w:b/>
                      <w:bCs/>
                      <w:sz w:val="18"/>
                      <w:szCs w:val="18"/>
                    </w:rPr>
                    <w:t>0.49</w:t>
                  </w:r>
                </w:p>
              </w:tc>
            </w:tr>
            <w:tr w14:paraId="56F8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49" w:type="dxa"/>
                  <w:vAlign w:val="center"/>
                </w:tcPr>
                <w:p w14:paraId="160DF81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最大落地浓度出现距离</w:t>
                  </w:r>
                </w:p>
              </w:tc>
              <w:tc>
                <w:tcPr>
                  <w:tcW w:w="7485" w:type="dxa"/>
                  <w:gridSpan w:val="8"/>
                  <w:vAlign w:val="center"/>
                </w:tcPr>
                <w:p w14:paraId="25327D56">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lang w:val="en-US" w:eastAsia="zh-CN"/>
                    </w:rPr>
                    <w:t>127</w:t>
                  </w:r>
                  <w:r>
                    <w:rPr>
                      <w:rFonts w:hint="eastAsia"/>
                      <w:b w:val="0"/>
                      <w:bCs w:val="0"/>
                      <w:sz w:val="18"/>
                      <w:szCs w:val="18"/>
                    </w:rPr>
                    <w:t>m</w:t>
                  </w:r>
                </w:p>
              </w:tc>
            </w:tr>
          </w:tbl>
          <w:p w14:paraId="274B6C1B">
            <w:pPr>
              <w:pStyle w:val="8"/>
              <w:numPr>
                <w:ilvl w:val="5"/>
                <w:numId w:val="0"/>
              </w:numPr>
              <w:ind w:left="0" w:leftChars="0" w:firstLine="480" w:firstLineChars="200"/>
            </w:pPr>
            <w:bookmarkStart w:id="10" w:name="_Ref161165950"/>
            <w:r>
              <w:rPr>
                <w:rFonts w:hint="default" w:ascii="Times New Roman" w:hAnsi="Times New Roman" w:eastAsia="宋体" w:cs="Times New Roman"/>
                <w:b/>
                <w:i w:val="0"/>
                <w:color w:val="auto"/>
                <w:kern w:val="2"/>
                <w:sz w:val="24"/>
                <w:szCs w:val="24"/>
                <w:shd w:val="clear" w:fill="FFFFFF"/>
                <w:lang w:val="en-US" w:eastAsia="zh-CN" w:bidi="ar-SA"/>
              </w:rPr>
              <w:t>表4-12</w:t>
            </w:r>
            <w:r>
              <w:rPr>
                <w:rFonts w:hint="eastAsia"/>
                <w:b/>
                <w:spacing w:val="-2"/>
                <w:sz w:val="24"/>
                <w:szCs w:val="24"/>
                <w:lang w:val="en-US" w:eastAsia="zh-CN"/>
              </w:rPr>
              <w:t>DA002</w:t>
            </w:r>
            <w:r>
              <w:rPr>
                <w:b/>
                <w:spacing w:val="-2"/>
                <w:sz w:val="24"/>
                <w:szCs w:val="24"/>
              </w:rPr>
              <w:t>排气筒污染物预测估算结</w:t>
            </w:r>
            <w:r>
              <w:rPr>
                <w:b/>
                <w:spacing w:val="-10"/>
                <w:sz w:val="24"/>
                <w:szCs w:val="24"/>
              </w:rPr>
              <w:t>果</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6"/>
              <w:gridCol w:w="1210"/>
              <w:gridCol w:w="906"/>
              <w:gridCol w:w="1210"/>
              <w:gridCol w:w="906"/>
              <w:gridCol w:w="1210"/>
              <w:gridCol w:w="909"/>
            </w:tblGrid>
            <w:tr w14:paraId="743F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19" w:type="pct"/>
                  <w:vMerge w:val="restart"/>
                  <w:vAlign w:val="center"/>
                </w:tcPr>
                <w:p w14:paraId="49E142D9">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下风向距离D（m）</w:t>
                  </w:r>
                </w:p>
              </w:tc>
              <w:tc>
                <w:tcPr>
                  <w:tcW w:w="1226" w:type="pct"/>
                  <w:gridSpan w:val="2"/>
                  <w:vAlign w:val="center"/>
                </w:tcPr>
                <w:p w14:paraId="29429E4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lang w:eastAsia="zh-CN"/>
                    </w:rPr>
                    <w:t>非甲烷总烃</w:t>
                  </w:r>
                </w:p>
              </w:tc>
              <w:tc>
                <w:tcPr>
                  <w:tcW w:w="1226" w:type="pct"/>
                  <w:gridSpan w:val="2"/>
                  <w:vAlign w:val="center"/>
                </w:tcPr>
                <w:p w14:paraId="0FA4D64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lang w:eastAsia="zh-CN"/>
                    </w:rPr>
                    <w:t>氨气</w:t>
                  </w:r>
                </w:p>
              </w:tc>
              <w:tc>
                <w:tcPr>
                  <w:tcW w:w="1228" w:type="pct"/>
                  <w:gridSpan w:val="2"/>
                  <w:vAlign w:val="center"/>
                </w:tcPr>
                <w:p w14:paraId="5BC8342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lang w:eastAsia="zh-CN"/>
                    </w:rPr>
                    <w:t>硫化氢</w:t>
                  </w:r>
                </w:p>
              </w:tc>
            </w:tr>
            <w:tr w14:paraId="1AFF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19" w:type="pct"/>
                  <w:vMerge w:val="continue"/>
                  <w:vAlign w:val="center"/>
                </w:tcPr>
                <w:p w14:paraId="260968E3">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p>
              </w:tc>
              <w:tc>
                <w:tcPr>
                  <w:tcW w:w="701" w:type="pct"/>
                  <w:vAlign w:val="center"/>
                </w:tcPr>
                <w:p w14:paraId="301020F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浓度Ci</w:t>
                  </w:r>
                  <w:r>
                    <w:rPr>
                      <w:rFonts w:hint="eastAsia"/>
                      <w:b w:val="0"/>
                      <w:bCs w:val="0"/>
                      <w:sz w:val="18"/>
                      <w:szCs w:val="18"/>
                      <w:lang w:eastAsia="zh-CN"/>
                    </w:rPr>
                    <w:t>（</w:t>
                  </w:r>
                  <w:r>
                    <w:rPr>
                      <w:rFonts w:hint="eastAsia"/>
                      <w:b w:val="0"/>
                      <w:bCs w:val="0"/>
                      <w:sz w:val="18"/>
                      <w:szCs w:val="18"/>
                      <w:lang w:val="en-US" w:eastAsia="zh-CN"/>
                    </w:rPr>
                    <w:t>m</w:t>
                  </w:r>
                  <w:r>
                    <w:rPr>
                      <w:rFonts w:hint="eastAsia"/>
                      <w:b w:val="0"/>
                      <w:bCs w:val="0"/>
                      <w:sz w:val="18"/>
                      <w:szCs w:val="18"/>
                    </w:rPr>
                    <w:t>g/m3</w:t>
                  </w:r>
                  <w:r>
                    <w:rPr>
                      <w:rFonts w:hint="eastAsia"/>
                      <w:b w:val="0"/>
                      <w:bCs w:val="0"/>
                      <w:sz w:val="18"/>
                      <w:szCs w:val="18"/>
                      <w:lang w:eastAsia="zh-CN"/>
                    </w:rPr>
                    <w:t>）</w:t>
                  </w:r>
                </w:p>
              </w:tc>
              <w:tc>
                <w:tcPr>
                  <w:tcW w:w="525" w:type="pct"/>
                  <w:vAlign w:val="center"/>
                </w:tcPr>
                <w:p w14:paraId="60DB676A">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占标率Pi</w:t>
                  </w:r>
                  <w:r>
                    <w:rPr>
                      <w:rFonts w:hint="eastAsia"/>
                      <w:b w:val="0"/>
                      <w:bCs w:val="0"/>
                      <w:sz w:val="18"/>
                      <w:szCs w:val="18"/>
                      <w:lang w:eastAsia="zh-CN"/>
                    </w:rPr>
                    <w:t>（</w:t>
                  </w:r>
                  <w:r>
                    <w:rPr>
                      <w:rFonts w:hint="eastAsia"/>
                      <w:b w:val="0"/>
                      <w:bCs w:val="0"/>
                      <w:sz w:val="18"/>
                      <w:szCs w:val="18"/>
                    </w:rPr>
                    <w:t>%</w:t>
                  </w:r>
                  <w:r>
                    <w:rPr>
                      <w:rFonts w:hint="eastAsia"/>
                      <w:b w:val="0"/>
                      <w:bCs w:val="0"/>
                      <w:sz w:val="18"/>
                      <w:szCs w:val="18"/>
                      <w:lang w:eastAsia="zh-CN"/>
                    </w:rPr>
                    <w:t>）</w:t>
                  </w:r>
                </w:p>
              </w:tc>
              <w:tc>
                <w:tcPr>
                  <w:tcW w:w="701" w:type="pct"/>
                  <w:vAlign w:val="center"/>
                </w:tcPr>
                <w:p w14:paraId="0A5AE898">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浓度Ci</w:t>
                  </w:r>
                  <w:r>
                    <w:rPr>
                      <w:rFonts w:hint="eastAsia"/>
                      <w:b w:val="0"/>
                      <w:bCs w:val="0"/>
                      <w:sz w:val="18"/>
                      <w:szCs w:val="18"/>
                      <w:lang w:eastAsia="zh-CN"/>
                    </w:rPr>
                    <w:t>（</w:t>
                  </w:r>
                  <w:r>
                    <w:rPr>
                      <w:rFonts w:hint="eastAsia"/>
                      <w:b w:val="0"/>
                      <w:bCs w:val="0"/>
                      <w:sz w:val="18"/>
                      <w:szCs w:val="18"/>
                      <w:lang w:val="en-US" w:eastAsia="zh-CN"/>
                    </w:rPr>
                    <w:t>m</w:t>
                  </w:r>
                  <w:r>
                    <w:rPr>
                      <w:rFonts w:hint="eastAsia"/>
                      <w:b w:val="0"/>
                      <w:bCs w:val="0"/>
                      <w:sz w:val="18"/>
                      <w:szCs w:val="18"/>
                    </w:rPr>
                    <w:t>g/m3</w:t>
                  </w:r>
                  <w:r>
                    <w:rPr>
                      <w:rFonts w:hint="eastAsia"/>
                      <w:b w:val="0"/>
                      <w:bCs w:val="0"/>
                      <w:sz w:val="18"/>
                      <w:szCs w:val="18"/>
                      <w:lang w:eastAsia="zh-CN"/>
                    </w:rPr>
                    <w:t>）</w:t>
                  </w:r>
                </w:p>
              </w:tc>
              <w:tc>
                <w:tcPr>
                  <w:tcW w:w="525" w:type="pct"/>
                  <w:vAlign w:val="center"/>
                </w:tcPr>
                <w:p w14:paraId="37E73E7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占标率Pi</w:t>
                  </w:r>
                  <w:r>
                    <w:rPr>
                      <w:rFonts w:hint="eastAsia"/>
                      <w:b w:val="0"/>
                      <w:bCs w:val="0"/>
                      <w:sz w:val="18"/>
                      <w:szCs w:val="18"/>
                      <w:lang w:eastAsia="zh-CN"/>
                    </w:rPr>
                    <w:t>（</w:t>
                  </w:r>
                  <w:r>
                    <w:rPr>
                      <w:rFonts w:hint="eastAsia"/>
                      <w:b w:val="0"/>
                      <w:bCs w:val="0"/>
                      <w:sz w:val="18"/>
                      <w:szCs w:val="18"/>
                    </w:rPr>
                    <w:t>%</w:t>
                  </w:r>
                  <w:r>
                    <w:rPr>
                      <w:rFonts w:hint="eastAsia"/>
                      <w:b w:val="0"/>
                      <w:bCs w:val="0"/>
                      <w:sz w:val="18"/>
                      <w:szCs w:val="18"/>
                      <w:lang w:eastAsia="zh-CN"/>
                    </w:rPr>
                    <w:t>）</w:t>
                  </w:r>
                </w:p>
              </w:tc>
              <w:tc>
                <w:tcPr>
                  <w:tcW w:w="701" w:type="pct"/>
                  <w:vAlign w:val="center"/>
                </w:tcPr>
                <w:p w14:paraId="149CCD9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浓度Ci</w:t>
                  </w:r>
                  <w:r>
                    <w:rPr>
                      <w:rFonts w:hint="eastAsia"/>
                      <w:b w:val="0"/>
                      <w:bCs w:val="0"/>
                      <w:sz w:val="18"/>
                      <w:szCs w:val="18"/>
                      <w:lang w:eastAsia="zh-CN"/>
                    </w:rPr>
                    <w:t>（</w:t>
                  </w:r>
                  <w:r>
                    <w:rPr>
                      <w:rFonts w:hint="eastAsia"/>
                      <w:b w:val="0"/>
                      <w:bCs w:val="0"/>
                      <w:sz w:val="18"/>
                      <w:szCs w:val="18"/>
                      <w:lang w:val="en-US" w:eastAsia="zh-CN"/>
                    </w:rPr>
                    <w:t>m</w:t>
                  </w:r>
                  <w:r>
                    <w:rPr>
                      <w:rFonts w:hint="eastAsia"/>
                      <w:b w:val="0"/>
                      <w:bCs w:val="0"/>
                      <w:sz w:val="18"/>
                      <w:szCs w:val="18"/>
                    </w:rPr>
                    <w:t>g/m3</w:t>
                  </w:r>
                  <w:r>
                    <w:rPr>
                      <w:rFonts w:hint="eastAsia"/>
                      <w:b w:val="0"/>
                      <w:bCs w:val="0"/>
                      <w:sz w:val="18"/>
                      <w:szCs w:val="18"/>
                      <w:lang w:eastAsia="zh-CN"/>
                    </w:rPr>
                    <w:t>）</w:t>
                  </w:r>
                </w:p>
              </w:tc>
              <w:tc>
                <w:tcPr>
                  <w:tcW w:w="526" w:type="pct"/>
                  <w:vAlign w:val="center"/>
                </w:tcPr>
                <w:p w14:paraId="3522059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占标率Pi</w:t>
                  </w:r>
                  <w:r>
                    <w:rPr>
                      <w:rFonts w:hint="eastAsia"/>
                      <w:b w:val="0"/>
                      <w:bCs w:val="0"/>
                      <w:sz w:val="18"/>
                      <w:szCs w:val="18"/>
                      <w:lang w:eastAsia="zh-CN"/>
                    </w:rPr>
                    <w:t>（</w:t>
                  </w:r>
                  <w:r>
                    <w:rPr>
                      <w:rFonts w:hint="eastAsia"/>
                      <w:b w:val="0"/>
                      <w:bCs w:val="0"/>
                      <w:sz w:val="18"/>
                      <w:szCs w:val="18"/>
                    </w:rPr>
                    <w:t>%</w:t>
                  </w:r>
                  <w:r>
                    <w:rPr>
                      <w:rFonts w:hint="eastAsia"/>
                      <w:b w:val="0"/>
                      <w:bCs w:val="0"/>
                      <w:sz w:val="18"/>
                      <w:szCs w:val="18"/>
                      <w:lang w:eastAsia="zh-CN"/>
                    </w:rPr>
                    <w:t>）</w:t>
                  </w:r>
                </w:p>
              </w:tc>
            </w:tr>
            <w:tr w14:paraId="0323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19" w:type="pct"/>
                  <w:vAlign w:val="center"/>
                </w:tcPr>
                <w:p w14:paraId="3DDE38C6">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10</w:t>
                  </w:r>
                </w:p>
              </w:tc>
              <w:tc>
                <w:tcPr>
                  <w:tcW w:w="701" w:type="pct"/>
                  <w:vAlign w:val="center"/>
                </w:tcPr>
                <w:p w14:paraId="46BF6FA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1.08E-05</w:t>
                  </w:r>
                </w:p>
              </w:tc>
              <w:tc>
                <w:tcPr>
                  <w:tcW w:w="525" w:type="pct"/>
                  <w:vAlign w:val="center"/>
                </w:tcPr>
                <w:p w14:paraId="42F3479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0.00</w:t>
                  </w:r>
                </w:p>
              </w:tc>
              <w:tc>
                <w:tcPr>
                  <w:tcW w:w="701" w:type="pct"/>
                  <w:vAlign w:val="center"/>
                </w:tcPr>
                <w:p w14:paraId="29B59D8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1.30E-05</w:t>
                  </w:r>
                </w:p>
              </w:tc>
              <w:tc>
                <w:tcPr>
                  <w:tcW w:w="525" w:type="pct"/>
                  <w:vAlign w:val="center"/>
                </w:tcPr>
                <w:p w14:paraId="29B3AFB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0.00</w:t>
                  </w:r>
                </w:p>
              </w:tc>
              <w:tc>
                <w:tcPr>
                  <w:tcW w:w="701" w:type="pct"/>
                  <w:vAlign w:val="center"/>
                </w:tcPr>
                <w:p w14:paraId="7459079D">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2.70E-07</w:t>
                  </w:r>
                </w:p>
              </w:tc>
              <w:tc>
                <w:tcPr>
                  <w:tcW w:w="526" w:type="pct"/>
                  <w:vAlign w:val="center"/>
                </w:tcPr>
                <w:p w14:paraId="2771338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0.00</w:t>
                  </w:r>
                </w:p>
              </w:tc>
            </w:tr>
            <w:tr w14:paraId="5C00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19" w:type="pct"/>
                  <w:vAlign w:val="center"/>
                </w:tcPr>
                <w:p w14:paraId="317FB90D">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25</w:t>
                  </w:r>
                </w:p>
              </w:tc>
              <w:tc>
                <w:tcPr>
                  <w:tcW w:w="701" w:type="pct"/>
                  <w:vAlign w:val="center"/>
                </w:tcPr>
                <w:p w14:paraId="3D977FD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1.70E-04</w:t>
                  </w:r>
                </w:p>
              </w:tc>
              <w:tc>
                <w:tcPr>
                  <w:tcW w:w="525" w:type="pct"/>
                  <w:vAlign w:val="center"/>
                </w:tcPr>
                <w:p w14:paraId="164F510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0.00</w:t>
                  </w:r>
                </w:p>
              </w:tc>
              <w:tc>
                <w:tcPr>
                  <w:tcW w:w="701" w:type="pct"/>
                  <w:vAlign w:val="center"/>
                </w:tcPr>
                <w:p w14:paraId="7F1F81AF">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2.04E-04</w:t>
                  </w:r>
                </w:p>
              </w:tc>
              <w:tc>
                <w:tcPr>
                  <w:tcW w:w="525" w:type="pct"/>
                  <w:vAlign w:val="center"/>
                </w:tcPr>
                <w:p w14:paraId="354E33D3">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0.01</w:t>
                  </w:r>
                </w:p>
              </w:tc>
              <w:tc>
                <w:tcPr>
                  <w:tcW w:w="701" w:type="pct"/>
                  <w:vAlign w:val="center"/>
                </w:tcPr>
                <w:p w14:paraId="7CB72AA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4.26E-06</w:t>
                  </w:r>
                </w:p>
              </w:tc>
              <w:tc>
                <w:tcPr>
                  <w:tcW w:w="526" w:type="pct"/>
                  <w:vAlign w:val="center"/>
                </w:tcPr>
                <w:p w14:paraId="4E9E4E2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0.01</w:t>
                  </w:r>
                </w:p>
              </w:tc>
            </w:tr>
            <w:tr w14:paraId="0250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19" w:type="pct"/>
                  <w:vAlign w:val="center"/>
                </w:tcPr>
                <w:p w14:paraId="27BE8D77">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50</w:t>
                  </w:r>
                </w:p>
              </w:tc>
              <w:tc>
                <w:tcPr>
                  <w:tcW w:w="701" w:type="pct"/>
                  <w:vAlign w:val="center"/>
                </w:tcPr>
                <w:p w14:paraId="5D5A76C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1.73E-04</w:t>
                  </w:r>
                </w:p>
              </w:tc>
              <w:tc>
                <w:tcPr>
                  <w:tcW w:w="525" w:type="pct"/>
                  <w:vAlign w:val="center"/>
                </w:tcPr>
                <w:p w14:paraId="44D1AB3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0.00</w:t>
                  </w:r>
                </w:p>
              </w:tc>
              <w:tc>
                <w:tcPr>
                  <w:tcW w:w="701" w:type="pct"/>
                  <w:vAlign w:val="center"/>
                </w:tcPr>
                <w:p w14:paraId="0913597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2.08E-04</w:t>
                  </w:r>
                </w:p>
              </w:tc>
              <w:tc>
                <w:tcPr>
                  <w:tcW w:w="525" w:type="pct"/>
                  <w:vAlign w:val="center"/>
                </w:tcPr>
                <w:p w14:paraId="2EADDE0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0.01</w:t>
                  </w:r>
                </w:p>
              </w:tc>
              <w:tc>
                <w:tcPr>
                  <w:tcW w:w="701" w:type="pct"/>
                  <w:vAlign w:val="center"/>
                </w:tcPr>
                <w:p w14:paraId="33B69783">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4.32E-06</w:t>
                  </w:r>
                </w:p>
              </w:tc>
              <w:tc>
                <w:tcPr>
                  <w:tcW w:w="526" w:type="pct"/>
                  <w:vAlign w:val="center"/>
                </w:tcPr>
                <w:p w14:paraId="1154B3A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0.01</w:t>
                  </w:r>
                </w:p>
              </w:tc>
            </w:tr>
            <w:tr w14:paraId="2EA8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19" w:type="pct"/>
                  <w:vAlign w:val="center"/>
                </w:tcPr>
                <w:p w14:paraId="6D14E63D">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bCs/>
                      <w:sz w:val="18"/>
                      <w:szCs w:val="18"/>
                      <w:lang w:val="en-US" w:eastAsia="zh-CN"/>
                    </w:rPr>
                  </w:pPr>
                  <w:r>
                    <w:rPr>
                      <w:rFonts w:hint="eastAsia"/>
                      <w:b w:val="0"/>
                      <w:bCs w:val="0"/>
                      <w:sz w:val="18"/>
                      <w:szCs w:val="18"/>
                      <w:lang w:val="en-US" w:eastAsia="zh-CN"/>
                    </w:rPr>
                    <w:t>75</w:t>
                  </w:r>
                </w:p>
              </w:tc>
              <w:tc>
                <w:tcPr>
                  <w:tcW w:w="701" w:type="pct"/>
                  <w:vAlign w:val="center"/>
                </w:tcPr>
                <w:p w14:paraId="3A19009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2.21E-04</w:t>
                  </w:r>
                </w:p>
              </w:tc>
              <w:tc>
                <w:tcPr>
                  <w:tcW w:w="525" w:type="pct"/>
                  <w:vAlign w:val="center"/>
                </w:tcPr>
                <w:p w14:paraId="57B75396">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0.00</w:t>
                  </w:r>
                </w:p>
              </w:tc>
              <w:tc>
                <w:tcPr>
                  <w:tcW w:w="701" w:type="pct"/>
                  <w:vAlign w:val="center"/>
                </w:tcPr>
                <w:p w14:paraId="378A0405">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2.65E-04</w:t>
                  </w:r>
                </w:p>
              </w:tc>
              <w:tc>
                <w:tcPr>
                  <w:tcW w:w="525" w:type="pct"/>
                  <w:vAlign w:val="center"/>
                </w:tcPr>
                <w:p w14:paraId="0B8FF97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0.02</w:t>
                  </w:r>
                </w:p>
              </w:tc>
              <w:tc>
                <w:tcPr>
                  <w:tcW w:w="701" w:type="pct"/>
                  <w:vAlign w:val="center"/>
                </w:tcPr>
                <w:p w14:paraId="711D08F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5.52E-06</w:t>
                  </w:r>
                </w:p>
              </w:tc>
              <w:tc>
                <w:tcPr>
                  <w:tcW w:w="526" w:type="pct"/>
                  <w:vAlign w:val="center"/>
                </w:tcPr>
                <w:p w14:paraId="28F547D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0.01</w:t>
                  </w:r>
                </w:p>
              </w:tc>
            </w:tr>
            <w:tr w14:paraId="59F6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19" w:type="pct"/>
                  <w:vAlign w:val="center"/>
                </w:tcPr>
                <w:p w14:paraId="38DCD36F">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val="0"/>
                      <w:bCs w:val="0"/>
                      <w:sz w:val="18"/>
                      <w:szCs w:val="18"/>
                      <w:lang w:val="en-US" w:eastAsia="zh-CN"/>
                    </w:rPr>
                  </w:pPr>
                  <w:r>
                    <w:rPr>
                      <w:rFonts w:hint="eastAsia"/>
                      <w:b w:val="0"/>
                      <w:bCs w:val="0"/>
                      <w:sz w:val="18"/>
                      <w:szCs w:val="18"/>
                      <w:lang w:val="en-US" w:eastAsia="zh-CN"/>
                    </w:rPr>
                    <w:t>100</w:t>
                  </w:r>
                </w:p>
              </w:tc>
              <w:tc>
                <w:tcPr>
                  <w:tcW w:w="701" w:type="pct"/>
                  <w:vAlign w:val="center"/>
                </w:tcPr>
                <w:p w14:paraId="27BA27DA">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2.87E-04</w:t>
                  </w:r>
                </w:p>
              </w:tc>
              <w:tc>
                <w:tcPr>
                  <w:tcW w:w="525" w:type="pct"/>
                  <w:vAlign w:val="center"/>
                </w:tcPr>
                <w:p w14:paraId="5482FC7A">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0.00</w:t>
                  </w:r>
                </w:p>
              </w:tc>
              <w:tc>
                <w:tcPr>
                  <w:tcW w:w="701" w:type="pct"/>
                  <w:vAlign w:val="center"/>
                </w:tcPr>
                <w:p w14:paraId="730BEDD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3.44E-04</w:t>
                  </w:r>
                </w:p>
              </w:tc>
              <w:tc>
                <w:tcPr>
                  <w:tcW w:w="525" w:type="pct"/>
                  <w:vAlign w:val="center"/>
                </w:tcPr>
                <w:p w14:paraId="1824FA8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0.02</w:t>
                  </w:r>
                </w:p>
              </w:tc>
              <w:tc>
                <w:tcPr>
                  <w:tcW w:w="701" w:type="pct"/>
                  <w:vAlign w:val="center"/>
                </w:tcPr>
                <w:p w14:paraId="78DD3AF6">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7.17E-06</w:t>
                  </w:r>
                </w:p>
              </w:tc>
              <w:tc>
                <w:tcPr>
                  <w:tcW w:w="526" w:type="pct"/>
                  <w:vAlign w:val="center"/>
                </w:tcPr>
                <w:p w14:paraId="44B5E13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0.01</w:t>
                  </w:r>
                </w:p>
              </w:tc>
            </w:tr>
            <w:tr w14:paraId="01F8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19" w:type="pct"/>
                  <w:vAlign w:val="center"/>
                </w:tcPr>
                <w:p w14:paraId="020D871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val="0"/>
                      <w:bCs w:val="0"/>
                      <w:sz w:val="18"/>
                      <w:szCs w:val="18"/>
                      <w:lang w:val="en-US" w:eastAsia="zh-CN"/>
                    </w:rPr>
                  </w:pPr>
                  <w:r>
                    <w:rPr>
                      <w:rFonts w:hint="eastAsia"/>
                      <w:b w:val="0"/>
                      <w:bCs w:val="0"/>
                      <w:sz w:val="18"/>
                      <w:szCs w:val="18"/>
                      <w:lang w:val="en-US" w:eastAsia="zh-CN"/>
                    </w:rPr>
                    <w:t>125</w:t>
                  </w:r>
                </w:p>
              </w:tc>
              <w:tc>
                <w:tcPr>
                  <w:tcW w:w="701" w:type="pct"/>
                  <w:vAlign w:val="center"/>
                </w:tcPr>
                <w:p w14:paraId="2D442A0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3.54E-04</w:t>
                  </w:r>
                </w:p>
              </w:tc>
              <w:tc>
                <w:tcPr>
                  <w:tcW w:w="525" w:type="pct"/>
                  <w:vAlign w:val="center"/>
                </w:tcPr>
                <w:p w14:paraId="48E2978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0.00</w:t>
                  </w:r>
                </w:p>
              </w:tc>
              <w:tc>
                <w:tcPr>
                  <w:tcW w:w="701" w:type="pct"/>
                  <w:vAlign w:val="center"/>
                </w:tcPr>
                <w:p w14:paraId="326D3646">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4.24E-04</w:t>
                  </w:r>
                </w:p>
              </w:tc>
              <w:tc>
                <w:tcPr>
                  <w:tcW w:w="525" w:type="pct"/>
                  <w:vAlign w:val="center"/>
                </w:tcPr>
                <w:p w14:paraId="455EC7E3">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0.03</w:t>
                  </w:r>
                </w:p>
              </w:tc>
              <w:tc>
                <w:tcPr>
                  <w:tcW w:w="701" w:type="pct"/>
                  <w:vAlign w:val="center"/>
                </w:tcPr>
                <w:p w14:paraId="0B3C8A3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8.84E-06</w:t>
                  </w:r>
                </w:p>
              </w:tc>
              <w:tc>
                <w:tcPr>
                  <w:tcW w:w="526" w:type="pct"/>
                  <w:vAlign w:val="center"/>
                </w:tcPr>
                <w:p w14:paraId="5037F26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0.01</w:t>
                  </w:r>
                </w:p>
              </w:tc>
            </w:tr>
            <w:tr w14:paraId="3D22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19" w:type="pct"/>
                  <w:vAlign w:val="center"/>
                </w:tcPr>
                <w:p w14:paraId="531A03D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val="0"/>
                      <w:bCs w:val="0"/>
                      <w:sz w:val="18"/>
                      <w:szCs w:val="18"/>
                      <w:lang w:val="en-US" w:eastAsia="zh-CN"/>
                    </w:rPr>
                  </w:pPr>
                  <w:r>
                    <w:rPr>
                      <w:rFonts w:hint="eastAsia"/>
                      <w:b w:val="0"/>
                      <w:bCs w:val="0"/>
                      <w:sz w:val="18"/>
                      <w:szCs w:val="18"/>
                      <w:lang w:val="en-US" w:eastAsia="zh-CN"/>
                    </w:rPr>
                    <w:t>150</w:t>
                  </w:r>
                </w:p>
              </w:tc>
              <w:tc>
                <w:tcPr>
                  <w:tcW w:w="701" w:type="pct"/>
                  <w:vAlign w:val="center"/>
                </w:tcPr>
                <w:p w14:paraId="17D2C70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4.24E-04</w:t>
                  </w:r>
                </w:p>
              </w:tc>
              <w:tc>
                <w:tcPr>
                  <w:tcW w:w="525" w:type="pct"/>
                  <w:vAlign w:val="center"/>
                </w:tcPr>
                <w:p w14:paraId="02BA22D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0.00</w:t>
                  </w:r>
                </w:p>
              </w:tc>
              <w:tc>
                <w:tcPr>
                  <w:tcW w:w="701" w:type="pct"/>
                  <w:vAlign w:val="center"/>
                </w:tcPr>
                <w:p w14:paraId="64BD43BE">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5.08E-04</w:t>
                  </w:r>
                </w:p>
              </w:tc>
              <w:tc>
                <w:tcPr>
                  <w:tcW w:w="525" w:type="pct"/>
                  <w:vAlign w:val="center"/>
                </w:tcPr>
                <w:p w14:paraId="7E54D4F5">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0.03</w:t>
                  </w:r>
                </w:p>
              </w:tc>
              <w:tc>
                <w:tcPr>
                  <w:tcW w:w="701" w:type="pct"/>
                  <w:vAlign w:val="center"/>
                </w:tcPr>
                <w:p w14:paraId="6097AD2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1.06E-05</w:t>
                  </w:r>
                </w:p>
              </w:tc>
              <w:tc>
                <w:tcPr>
                  <w:tcW w:w="526" w:type="pct"/>
                  <w:vAlign w:val="center"/>
                </w:tcPr>
                <w:p w14:paraId="0589C37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0.02</w:t>
                  </w:r>
                </w:p>
              </w:tc>
            </w:tr>
            <w:tr w14:paraId="35A8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19" w:type="pct"/>
                  <w:vAlign w:val="center"/>
                </w:tcPr>
                <w:p w14:paraId="49725859">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val="0"/>
                      <w:bCs w:val="0"/>
                      <w:sz w:val="18"/>
                      <w:szCs w:val="18"/>
                      <w:lang w:val="en-US" w:eastAsia="zh-CN"/>
                    </w:rPr>
                  </w:pPr>
                  <w:r>
                    <w:rPr>
                      <w:rFonts w:hint="eastAsia"/>
                      <w:b w:val="0"/>
                      <w:bCs w:val="0"/>
                      <w:sz w:val="18"/>
                      <w:szCs w:val="18"/>
                      <w:lang w:val="en-US" w:eastAsia="zh-CN"/>
                    </w:rPr>
                    <w:t>175</w:t>
                  </w:r>
                </w:p>
              </w:tc>
              <w:tc>
                <w:tcPr>
                  <w:tcW w:w="701" w:type="pct"/>
                  <w:vAlign w:val="center"/>
                </w:tcPr>
                <w:p w14:paraId="3A9B07DA">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5.22E-04</w:t>
                  </w:r>
                </w:p>
              </w:tc>
              <w:tc>
                <w:tcPr>
                  <w:tcW w:w="525" w:type="pct"/>
                  <w:vAlign w:val="center"/>
                </w:tcPr>
                <w:p w14:paraId="264A21B7">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0.00</w:t>
                  </w:r>
                </w:p>
              </w:tc>
              <w:tc>
                <w:tcPr>
                  <w:tcW w:w="701" w:type="pct"/>
                  <w:vAlign w:val="center"/>
                </w:tcPr>
                <w:p w14:paraId="7672E4AE">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6.26E-04</w:t>
                  </w:r>
                </w:p>
              </w:tc>
              <w:tc>
                <w:tcPr>
                  <w:tcW w:w="525" w:type="pct"/>
                  <w:vAlign w:val="center"/>
                </w:tcPr>
                <w:p w14:paraId="24A65D28">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0.04</w:t>
                  </w:r>
                </w:p>
              </w:tc>
              <w:tc>
                <w:tcPr>
                  <w:tcW w:w="701" w:type="pct"/>
                  <w:vAlign w:val="center"/>
                </w:tcPr>
                <w:p w14:paraId="57D7802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1.31E-05</w:t>
                  </w:r>
                </w:p>
              </w:tc>
              <w:tc>
                <w:tcPr>
                  <w:tcW w:w="526" w:type="pct"/>
                  <w:vAlign w:val="center"/>
                </w:tcPr>
                <w:p w14:paraId="79A6C9B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0.02</w:t>
                  </w:r>
                </w:p>
              </w:tc>
            </w:tr>
            <w:tr w14:paraId="317D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19" w:type="pct"/>
                  <w:vAlign w:val="center"/>
                </w:tcPr>
                <w:p w14:paraId="3DB33D4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val="0"/>
                      <w:bCs w:val="0"/>
                      <w:sz w:val="18"/>
                      <w:szCs w:val="18"/>
                      <w:lang w:val="en-US" w:eastAsia="zh-CN"/>
                    </w:rPr>
                  </w:pPr>
                  <w:r>
                    <w:rPr>
                      <w:rFonts w:hint="eastAsia"/>
                      <w:b w:val="0"/>
                      <w:bCs w:val="0"/>
                      <w:sz w:val="18"/>
                      <w:szCs w:val="18"/>
                      <w:lang w:val="en-US" w:eastAsia="zh-CN"/>
                    </w:rPr>
                    <w:t>200</w:t>
                  </w:r>
                </w:p>
              </w:tc>
              <w:tc>
                <w:tcPr>
                  <w:tcW w:w="701" w:type="pct"/>
                  <w:vAlign w:val="center"/>
                </w:tcPr>
                <w:p w14:paraId="71C65A83">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5.70E-04</w:t>
                  </w:r>
                </w:p>
              </w:tc>
              <w:tc>
                <w:tcPr>
                  <w:tcW w:w="525" w:type="pct"/>
                  <w:vAlign w:val="center"/>
                </w:tcPr>
                <w:p w14:paraId="19FF2ABA">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0.00</w:t>
                  </w:r>
                </w:p>
              </w:tc>
              <w:tc>
                <w:tcPr>
                  <w:tcW w:w="701" w:type="pct"/>
                  <w:vAlign w:val="center"/>
                </w:tcPr>
                <w:p w14:paraId="2355BB1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6.84E-04</w:t>
                  </w:r>
                </w:p>
              </w:tc>
              <w:tc>
                <w:tcPr>
                  <w:tcW w:w="525" w:type="pct"/>
                  <w:vAlign w:val="center"/>
                </w:tcPr>
                <w:p w14:paraId="633F3FC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0.05</w:t>
                  </w:r>
                </w:p>
              </w:tc>
              <w:tc>
                <w:tcPr>
                  <w:tcW w:w="701" w:type="pct"/>
                  <w:vAlign w:val="center"/>
                </w:tcPr>
                <w:p w14:paraId="2910EB0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1.42E-05</w:t>
                  </w:r>
                </w:p>
              </w:tc>
              <w:tc>
                <w:tcPr>
                  <w:tcW w:w="526" w:type="pct"/>
                  <w:vAlign w:val="center"/>
                </w:tcPr>
                <w:p w14:paraId="1EEF419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0.02</w:t>
                  </w:r>
                </w:p>
              </w:tc>
            </w:tr>
            <w:tr w14:paraId="1006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19" w:type="pct"/>
                  <w:vAlign w:val="center"/>
                </w:tcPr>
                <w:p w14:paraId="373CA55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bCs/>
                      <w:sz w:val="18"/>
                      <w:szCs w:val="18"/>
                      <w:lang w:val="en-US" w:eastAsia="zh-CN"/>
                    </w:rPr>
                  </w:pPr>
                  <w:r>
                    <w:rPr>
                      <w:rFonts w:hint="eastAsia"/>
                      <w:b/>
                      <w:bCs/>
                      <w:sz w:val="18"/>
                      <w:szCs w:val="18"/>
                      <w:lang w:val="en-US" w:eastAsia="zh-CN"/>
                    </w:rPr>
                    <w:t>211</w:t>
                  </w:r>
                </w:p>
              </w:tc>
              <w:tc>
                <w:tcPr>
                  <w:tcW w:w="701" w:type="pct"/>
                  <w:vAlign w:val="center"/>
                </w:tcPr>
                <w:p w14:paraId="7BF8D62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bCs/>
                      <w:sz w:val="18"/>
                      <w:szCs w:val="18"/>
                    </w:rPr>
                  </w:pPr>
                  <w:r>
                    <w:rPr>
                      <w:rFonts w:hint="eastAsia"/>
                      <w:b/>
                      <w:bCs/>
                      <w:sz w:val="18"/>
                      <w:szCs w:val="18"/>
                    </w:rPr>
                    <w:t>5.72E-04</w:t>
                  </w:r>
                </w:p>
              </w:tc>
              <w:tc>
                <w:tcPr>
                  <w:tcW w:w="525" w:type="pct"/>
                  <w:vAlign w:val="center"/>
                </w:tcPr>
                <w:p w14:paraId="038AF075">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bCs/>
                      <w:sz w:val="18"/>
                      <w:szCs w:val="18"/>
                    </w:rPr>
                  </w:pPr>
                  <w:r>
                    <w:rPr>
                      <w:rFonts w:hint="eastAsia"/>
                      <w:b/>
                      <w:bCs/>
                      <w:sz w:val="18"/>
                      <w:szCs w:val="18"/>
                    </w:rPr>
                    <w:t>0.00</w:t>
                  </w:r>
                </w:p>
              </w:tc>
              <w:tc>
                <w:tcPr>
                  <w:tcW w:w="701" w:type="pct"/>
                  <w:vAlign w:val="center"/>
                </w:tcPr>
                <w:p w14:paraId="4357508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bCs/>
                      <w:sz w:val="18"/>
                      <w:szCs w:val="18"/>
                    </w:rPr>
                  </w:pPr>
                  <w:r>
                    <w:rPr>
                      <w:rFonts w:hint="eastAsia"/>
                      <w:b/>
                      <w:bCs/>
                      <w:sz w:val="18"/>
                      <w:szCs w:val="18"/>
                    </w:rPr>
                    <w:t>6.86E-04</w:t>
                  </w:r>
                </w:p>
              </w:tc>
              <w:tc>
                <w:tcPr>
                  <w:tcW w:w="525" w:type="pct"/>
                  <w:vAlign w:val="center"/>
                </w:tcPr>
                <w:p w14:paraId="750A813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bCs/>
                      <w:sz w:val="18"/>
                      <w:szCs w:val="18"/>
                    </w:rPr>
                    <w:t>0.05</w:t>
                  </w:r>
                </w:p>
              </w:tc>
              <w:tc>
                <w:tcPr>
                  <w:tcW w:w="701" w:type="pct"/>
                  <w:vAlign w:val="center"/>
                </w:tcPr>
                <w:p w14:paraId="28D806ED">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bCs/>
                      <w:sz w:val="18"/>
                      <w:szCs w:val="18"/>
                    </w:rPr>
                  </w:pPr>
                  <w:r>
                    <w:rPr>
                      <w:rFonts w:hint="eastAsia"/>
                      <w:b/>
                      <w:bCs/>
                      <w:sz w:val="18"/>
                      <w:szCs w:val="18"/>
                    </w:rPr>
                    <w:t>1.43E-05</w:t>
                  </w:r>
                </w:p>
              </w:tc>
              <w:tc>
                <w:tcPr>
                  <w:tcW w:w="526" w:type="pct"/>
                  <w:vAlign w:val="center"/>
                </w:tcPr>
                <w:p w14:paraId="520B56C6">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bCs/>
                      <w:sz w:val="18"/>
                      <w:szCs w:val="18"/>
                    </w:rPr>
                    <w:t>0.02</w:t>
                  </w:r>
                </w:p>
              </w:tc>
            </w:tr>
            <w:tr w14:paraId="4508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19" w:type="pct"/>
                  <w:vAlign w:val="center"/>
                </w:tcPr>
                <w:p w14:paraId="2094F9C3">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val="0"/>
                      <w:bCs w:val="0"/>
                      <w:sz w:val="18"/>
                      <w:szCs w:val="18"/>
                      <w:lang w:val="en-US" w:eastAsia="zh-CN"/>
                    </w:rPr>
                  </w:pPr>
                  <w:r>
                    <w:rPr>
                      <w:rFonts w:hint="eastAsia"/>
                      <w:b w:val="0"/>
                      <w:bCs w:val="0"/>
                      <w:sz w:val="18"/>
                      <w:szCs w:val="18"/>
                      <w:lang w:val="en-US" w:eastAsia="zh-CN"/>
                    </w:rPr>
                    <w:t>225</w:t>
                  </w:r>
                </w:p>
              </w:tc>
              <w:tc>
                <w:tcPr>
                  <w:tcW w:w="701" w:type="pct"/>
                  <w:vAlign w:val="center"/>
                </w:tcPr>
                <w:p w14:paraId="20C6139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5.69E-04</w:t>
                  </w:r>
                </w:p>
              </w:tc>
              <w:tc>
                <w:tcPr>
                  <w:tcW w:w="525" w:type="pct"/>
                  <w:vAlign w:val="center"/>
                </w:tcPr>
                <w:p w14:paraId="0D4E3AA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0.00</w:t>
                  </w:r>
                </w:p>
              </w:tc>
              <w:tc>
                <w:tcPr>
                  <w:tcW w:w="701" w:type="pct"/>
                  <w:vAlign w:val="center"/>
                </w:tcPr>
                <w:p w14:paraId="60060727">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6.83E-04</w:t>
                  </w:r>
                </w:p>
              </w:tc>
              <w:tc>
                <w:tcPr>
                  <w:tcW w:w="525" w:type="pct"/>
                  <w:vAlign w:val="center"/>
                </w:tcPr>
                <w:p w14:paraId="57C24C68">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0.05</w:t>
                  </w:r>
                </w:p>
              </w:tc>
              <w:tc>
                <w:tcPr>
                  <w:tcW w:w="701" w:type="pct"/>
                  <w:vAlign w:val="center"/>
                </w:tcPr>
                <w:p w14:paraId="795F3F2D">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1.42E-05</w:t>
                  </w:r>
                </w:p>
              </w:tc>
              <w:tc>
                <w:tcPr>
                  <w:tcW w:w="526" w:type="pct"/>
                  <w:vAlign w:val="center"/>
                </w:tcPr>
                <w:p w14:paraId="0174B573">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0.02</w:t>
                  </w:r>
                </w:p>
              </w:tc>
            </w:tr>
            <w:tr w14:paraId="13C6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19" w:type="pct"/>
                  <w:vAlign w:val="center"/>
                </w:tcPr>
                <w:p w14:paraId="7AA3829F">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val="0"/>
                      <w:bCs w:val="0"/>
                      <w:sz w:val="18"/>
                      <w:szCs w:val="18"/>
                      <w:lang w:val="en-US" w:eastAsia="zh-CN"/>
                    </w:rPr>
                  </w:pPr>
                  <w:r>
                    <w:rPr>
                      <w:rFonts w:hint="eastAsia"/>
                      <w:b w:val="0"/>
                      <w:bCs w:val="0"/>
                      <w:sz w:val="18"/>
                      <w:szCs w:val="18"/>
                      <w:lang w:val="en-US" w:eastAsia="zh-CN"/>
                    </w:rPr>
                    <w:t>250</w:t>
                  </w:r>
                </w:p>
              </w:tc>
              <w:tc>
                <w:tcPr>
                  <w:tcW w:w="701" w:type="pct"/>
                  <w:vAlign w:val="center"/>
                </w:tcPr>
                <w:p w14:paraId="6188A513">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5.54E-04</w:t>
                  </w:r>
                </w:p>
              </w:tc>
              <w:tc>
                <w:tcPr>
                  <w:tcW w:w="525" w:type="pct"/>
                  <w:vAlign w:val="center"/>
                </w:tcPr>
                <w:p w14:paraId="7A8D05FB">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0.00</w:t>
                  </w:r>
                </w:p>
              </w:tc>
              <w:tc>
                <w:tcPr>
                  <w:tcW w:w="701" w:type="pct"/>
                  <w:vAlign w:val="center"/>
                </w:tcPr>
                <w:p w14:paraId="71FDBB18">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6.65E-04</w:t>
                  </w:r>
                </w:p>
              </w:tc>
              <w:tc>
                <w:tcPr>
                  <w:tcW w:w="525" w:type="pct"/>
                  <w:vAlign w:val="center"/>
                </w:tcPr>
                <w:p w14:paraId="4F21FBF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0.04</w:t>
                  </w:r>
                </w:p>
              </w:tc>
              <w:tc>
                <w:tcPr>
                  <w:tcW w:w="701" w:type="pct"/>
                  <w:vAlign w:val="center"/>
                </w:tcPr>
                <w:p w14:paraId="3F148C0E">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1.39E-05</w:t>
                  </w:r>
                </w:p>
              </w:tc>
              <w:tc>
                <w:tcPr>
                  <w:tcW w:w="526" w:type="pct"/>
                  <w:vAlign w:val="center"/>
                </w:tcPr>
                <w:p w14:paraId="7996035E">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0.02</w:t>
                  </w:r>
                </w:p>
              </w:tc>
            </w:tr>
            <w:tr w14:paraId="695A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19" w:type="pct"/>
                  <w:vAlign w:val="center"/>
                </w:tcPr>
                <w:p w14:paraId="7F17FBFF">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val="0"/>
                      <w:bCs w:val="0"/>
                      <w:sz w:val="18"/>
                      <w:szCs w:val="18"/>
                      <w:lang w:val="en-US" w:eastAsia="zh-CN"/>
                    </w:rPr>
                  </w:pPr>
                  <w:r>
                    <w:rPr>
                      <w:rFonts w:hint="eastAsia"/>
                      <w:b w:val="0"/>
                      <w:bCs w:val="0"/>
                      <w:sz w:val="18"/>
                      <w:szCs w:val="18"/>
                      <w:lang w:val="en-US" w:eastAsia="zh-CN"/>
                    </w:rPr>
                    <w:t>275</w:t>
                  </w:r>
                </w:p>
              </w:tc>
              <w:tc>
                <w:tcPr>
                  <w:tcW w:w="701" w:type="pct"/>
                  <w:vAlign w:val="center"/>
                </w:tcPr>
                <w:p w14:paraId="0765D69E">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5.31E-04</w:t>
                  </w:r>
                </w:p>
              </w:tc>
              <w:tc>
                <w:tcPr>
                  <w:tcW w:w="525" w:type="pct"/>
                  <w:vAlign w:val="center"/>
                </w:tcPr>
                <w:p w14:paraId="4F61489E">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0.00</w:t>
                  </w:r>
                </w:p>
              </w:tc>
              <w:tc>
                <w:tcPr>
                  <w:tcW w:w="701" w:type="pct"/>
                  <w:vAlign w:val="center"/>
                </w:tcPr>
                <w:p w14:paraId="77C1BA7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6.38E-04</w:t>
                  </w:r>
                </w:p>
              </w:tc>
              <w:tc>
                <w:tcPr>
                  <w:tcW w:w="525" w:type="pct"/>
                  <w:vAlign w:val="center"/>
                </w:tcPr>
                <w:p w14:paraId="1EC2B7C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0.04</w:t>
                  </w:r>
                </w:p>
              </w:tc>
              <w:tc>
                <w:tcPr>
                  <w:tcW w:w="701" w:type="pct"/>
                  <w:vAlign w:val="center"/>
                </w:tcPr>
                <w:p w14:paraId="56CD9BA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1.33E-05</w:t>
                  </w:r>
                </w:p>
              </w:tc>
              <w:tc>
                <w:tcPr>
                  <w:tcW w:w="526" w:type="pct"/>
                  <w:vAlign w:val="center"/>
                </w:tcPr>
                <w:p w14:paraId="09F42C5D">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0.02</w:t>
                  </w:r>
                </w:p>
              </w:tc>
            </w:tr>
            <w:tr w14:paraId="2A90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19" w:type="pct"/>
                  <w:vAlign w:val="center"/>
                </w:tcPr>
                <w:p w14:paraId="5A2CE083">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val="0"/>
                      <w:bCs w:val="0"/>
                      <w:sz w:val="18"/>
                      <w:szCs w:val="18"/>
                      <w:lang w:val="en-US" w:eastAsia="zh-CN"/>
                    </w:rPr>
                  </w:pPr>
                  <w:r>
                    <w:rPr>
                      <w:rFonts w:hint="eastAsia"/>
                      <w:b w:val="0"/>
                      <w:bCs w:val="0"/>
                      <w:sz w:val="18"/>
                      <w:szCs w:val="18"/>
                      <w:lang w:val="en-US" w:eastAsia="zh-CN"/>
                    </w:rPr>
                    <w:t>300</w:t>
                  </w:r>
                </w:p>
              </w:tc>
              <w:tc>
                <w:tcPr>
                  <w:tcW w:w="701" w:type="pct"/>
                  <w:vAlign w:val="center"/>
                </w:tcPr>
                <w:p w14:paraId="3519839F">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5.05E-04</w:t>
                  </w:r>
                </w:p>
              </w:tc>
              <w:tc>
                <w:tcPr>
                  <w:tcW w:w="525" w:type="pct"/>
                  <w:vAlign w:val="center"/>
                </w:tcPr>
                <w:p w14:paraId="4936E8F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0.00</w:t>
                  </w:r>
                </w:p>
              </w:tc>
              <w:tc>
                <w:tcPr>
                  <w:tcW w:w="701" w:type="pct"/>
                  <w:vAlign w:val="center"/>
                </w:tcPr>
                <w:p w14:paraId="05DAD00F">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6.06E-04</w:t>
                  </w:r>
                </w:p>
              </w:tc>
              <w:tc>
                <w:tcPr>
                  <w:tcW w:w="525" w:type="pct"/>
                  <w:vAlign w:val="center"/>
                </w:tcPr>
                <w:p w14:paraId="110AF6E9">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0.04</w:t>
                  </w:r>
                </w:p>
              </w:tc>
              <w:tc>
                <w:tcPr>
                  <w:tcW w:w="701" w:type="pct"/>
                  <w:vAlign w:val="center"/>
                </w:tcPr>
                <w:p w14:paraId="2E6BC619">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1.26E-05</w:t>
                  </w:r>
                </w:p>
              </w:tc>
              <w:tc>
                <w:tcPr>
                  <w:tcW w:w="526" w:type="pct"/>
                  <w:vAlign w:val="center"/>
                </w:tcPr>
                <w:p w14:paraId="69FFC4C6">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0.02</w:t>
                  </w:r>
                </w:p>
              </w:tc>
            </w:tr>
            <w:tr w14:paraId="3117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19" w:type="pct"/>
                  <w:shd w:val="clear" w:color="auto" w:fill="auto"/>
                  <w:vAlign w:val="center"/>
                </w:tcPr>
                <w:p w14:paraId="30FF888E">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lang w:val="en-US" w:eastAsia="zh-CN"/>
                    </w:rPr>
                  </w:pPr>
                  <w:r>
                    <w:rPr>
                      <w:rFonts w:hint="eastAsia"/>
                      <w:b w:val="0"/>
                      <w:bCs w:val="0"/>
                      <w:sz w:val="18"/>
                      <w:szCs w:val="18"/>
                    </w:rPr>
                    <w:t>……</w:t>
                  </w:r>
                </w:p>
              </w:tc>
              <w:tc>
                <w:tcPr>
                  <w:tcW w:w="701" w:type="pct"/>
                  <w:vAlign w:val="center"/>
                </w:tcPr>
                <w:p w14:paraId="515F62D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w:t>
                  </w:r>
                </w:p>
              </w:tc>
              <w:tc>
                <w:tcPr>
                  <w:tcW w:w="525" w:type="pct"/>
                  <w:vAlign w:val="center"/>
                </w:tcPr>
                <w:p w14:paraId="3620F557">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w:t>
                  </w:r>
                </w:p>
              </w:tc>
              <w:tc>
                <w:tcPr>
                  <w:tcW w:w="701" w:type="pct"/>
                  <w:vAlign w:val="center"/>
                </w:tcPr>
                <w:p w14:paraId="1CC944D8">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w:t>
                  </w:r>
                </w:p>
              </w:tc>
              <w:tc>
                <w:tcPr>
                  <w:tcW w:w="525" w:type="pct"/>
                  <w:vAlign w:val="center"/>
                </w:tcPr>
                <w:p w14:paraId="09C9218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w:t>
                  </w:r>
                </w:p>
              </w:tc>
              <w:tc>
                <w:tcPr>
                  <w:tcW w:w="701" w:type="pct"/>
                  <w:vAlign w:val="center"/>
                </w:tcPr>
                <w:p w14:paraId="2CDC2ABD">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w:t>
                  </w:r>
                </w:p>
              </w:tc>
              <w:tc>
                <w:tcPr>
                  <w:tcW w:w="526" w:type="pct"/>
                  <w:vAlign w:val="center"/>
                </w:tcPr>
                <w:p w14:paraId="3AA614F4">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w:t>
                  </w:r>
                </w:p>
              </w:tc>
            </w:tr>
            <w:tr w14:paraId="083D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19" w:type="pct"/>
                  <w:vAlign w:val="center"/>
                </w:tcPr>
                <w:p w14:paraId="0EC1234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下风向最大值</w:t>
                  </w:r>
                </w:p>
              </w:tc>
              <w:tc>
                <w:tcPr>
                  <w:tcW w:w="1150" w:type="dxa"/>
                  <w:vAlign w:val="center"/>
                </w:tcPr>
                <w:p w14:paraId="745CF13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bCs/>
                      <w:sz w:val="18"/>
                      <w:szCs w:val="18"/>
                    </w:rPr>
                    <w:t>5.72E-04</w:t>
                  </w:r>
                </w:p>
              </w:tc>
              <w:tc>
                <w:tcPr>
                  <w:tcW w:w="861" w:type="dxa"/>
                  <w:vAlign w:val="center"/>
                </w:tcPr>
                <w:p w14:paraId="0FFFB96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bCs/>
                      <w:sz w:val="18"/>
                      <w:szCs w:val="18"/>
                    </w:rPr>
                    <w:t>0.00</w:t>
                  </w:r>
                </w:p>
              </w:tc>
              <w:tc>
                <w:tcPr>
                  <w:tcW w:w="1150" w:type="dxa"/>
                  <w:vAlign w:val="center"/>
                </w:tcPr>
                <w:p w14:paraId="3780A009">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bCs/>
                      <w:sz w:val="18"/>
                      <w:szCs w:val="18"/>
                    </w:rPr>
                    <w:t>6.86E-04</w:t>
                  </w:r>
                </w:p>
              </w:tc>
              <w:tc>
                <w:tcPr>
                  <w:tcW w:w="861" w:type="dxa"/>
                  <w:vAlign w:val="center"/>
                </w:tcPr>
                <w:p w14:paraId="36969A4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ascii="Times New Roman" w:hAnsi="Times New Roman" w:eastAsia="宋体" w:cs="Times New Roman"/>
                      <w:b/>
                      <w:bCs/>
                      <w:sz w:val="18"/>
                      <w:szCs w:val="18"/>
                    </w:rPr>
                    <w:t>0.05</w:t>
                  </w:r>
                </w:p>
              </w:tc>
              <w:tc>
                <w:tcPr>
                  <w:tcW w:w="1150" w:type="dxa"/>
                  <w:vAlign w:val="center"/>
                </w:tcPr>
                <w:p w14:paraId="2F5E49B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bCs/>
                      <w:sz w:val="18"/>
                      <w:szCs w:val="18"/>
                    </w:rPr>
                    <w:t>1.43E-05</w:t>
                  </w:r>
                </w:p>
              </w:tc>
              <w:tc>
                <w:tcPr>
                  <w:tcW w:w="864" w:type="dxa"/>
                  <w:vAlign w:val="center"/>
                </w:tcPr>
                <w:p w14:paraId="2E66FB71">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ascii="Times New Roman" w:hAnsi="Times New Roman" w:eastAsia="宋体" w:cs="Times New Roman"/>
                      <w:b/>
                      <w:bCs/>
                      <w:sz w:val="18"/>
                      <w:szCs w:val="18"/>
                    </w:rPr>
                    <w:t>0.02</w:t>
                  </w:r>
                </w:p>
              </w:tc>
            </w:tr>
            <w:tr w14:paraId="6C03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19" w:type="pct"/>
                  <w:vAlign w:val="center"/>
                </w:tcPr>
                <w:p w14:paraId="668A60C9">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b w:val="0"/>
                      <w:bCs w:val="0"/>
                      <w:sz w:val="18"/>
                      <w:szCs w:val="18"/>
                    </w:rPr>
                  </w:pPr>
                  <w:r>
                    <w:rPr>
                      <w:rFonts w:hint="eastAsia"/>
                      <w:b w:val="0"/>
                      <w:bCs w:val="0"/>
                      <w:sz w:val="18"/>
                      <w:szCs w:val="18"/>
                    </w:rPr>
                    <w:t>最大落地浓度出现距离</w:t>
                  </w:r>
                </w:p>
              </w:tc>
              <w:tc>
                <w:tcPr>
                  <w:tcW w:w="3680" w:type="pct"/>
                  <w:gridSpan w:val="6"/>
                  <w:vAlign w:val="center"/>
                </w:tcPr>
                <w:p w14:paraId="192611C0">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b w:val="0"/>
                      <w:bCs w:val="0"/>
                      <w:sz w:val="18"/>
                      <w:szCs w:val="18"/>
                      <w:lang w:val="en-US" w:eastAsia="zh-CN"/>
                    </w:rPr>
                  </w:pPr>
                  <w:r>
                    <w:rPr>
                      <w:rFonts w:hint="eastAsia"/>
                      <w:b w:val="0"/>
                      <w:bCs w:val="0"/>
                      <w:sz w:val="18"/>
                      <w:szCs w:val="18"/>
                      <w:lang w:val="en-US" w:eastAsia="zh-CN"/>
                    </w:rPr>
                    <w:t>211m</w:t>
                  </w:r>
                </w:p>
              </w:tc>
            </w:tr>
          </w:tbl>
          <w:p w14:paraId="1712C980">
            <w:pPr>
              <w:pStyle w:val="8"/>
              <w:numPr>
                <w:ilvl w:val="5"/>
                <w:numId w:val="0"/>
              </w:numPr>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表4-13</w:t>
            </w:r>
            <w:r>
              <w:rPr>
                <w:rFonts w:hint="eastAsia"/>
                <w:lang w:eastAsia="zh-CN"/>
              </w:rPr>
              <w:t>厂区无组织污染物排放</w:t>
            </w:r>
            <w:bookmarkEnd w:id="10"/>
            <w:r>
              <w:rPr>
                <w:b/>
                <w:spacing w:val="-2"/>
                <w:sz w:val="24"/>
                <w:szCs w:val="24"/>
              </w:rPr>
              <w:t>预测估算结</w:t>
            </w:r>
            <w:r>
              <w:rPr>
                <w:b/>
                <w:spacing w:val="-10"/>
                <w:sz w:val="24"/>
                <w:szCs w:val="24"/>
              </w:rPr>
              <w:t>果</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302"/>
              <w:gridCol w:w="1058"/>
              <w:gridCol w:w="1302"/>
              <w:gridCol w:w="1058"/>
              <w:gridCol w:w="1302"/>
              <w:gridCol w:w="1058"/>
            </w:tblGrid>
            <w:tr w14:paraId="2F06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46C8F450">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距源中心下风向距离D（m）</w:t>
                  </w:r>
                </w:p>
              </w:tc>
              <w:tc>
                <w:tcPr>
                  <w:tcW w:w="0" w:type="auto"/>
                  <w:gridSpan w:val="2"/>
                  <w:vAlign w:val="center"/>
                </w:tcPr>
                <w:p w14:paraId="26517F7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lang w:eastAsia="zh-CN"/>
                    </w:rPr>
                  </w:pPr>
                  <w:r>
                    <w:rPr>
                      <w:rFonts w:hint="default" w:ascii="Times New Roman" w:hAnsi="Times New Roman" w:eastAsia="宋体" w:cs="Times New Roman"/>
                      <w:b w:val="0"/>
                      <w:bCs/>
                      <w:sz w:val="18"/>
                      <w:szCs w:val="18"/>
                      <w:lang w:eastAsia="zh-CN"/>
                    </w:rPr>
                    <w:t>非甲烷总烃</w:t>
                  </w:r>
                </w:p>
              </w:tc>
              <w:tc>
                <w:tcPr>
                  <w:tcW w:w="0" w:type="auto"/>
                  <w:gridSpan w:val="2"/>
                  <w:vAlign w:val="center"/>
                </w:tcPr>
                <w:p w14:paraId="3D5176D0">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lang w:eastAsia="zh-CN"/>
                    </w:rPr>
                    <w:t>氨气</w:t>
                  </w:r>
                </w:p>
              </w:tc>
              <w:tc>
                <w:tcPr>
                  <w:tcW w:w="0" w:type="auto"/>
                  <w:gridSpan w:val="2"/>
                  <w:vAlign w:val="center"/>
                </w:tcPr>
                <w:p w14:paraId="7F7E951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lang w:eastAsia="zh-CN"/>
                    </w:rPr>
                    <w:t>硫化氢</w:t>
                  </w:r>
                </w:p>
              </w:tc>
            </w:tr>
            <w:tr w14:paraId="4F26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FAAD294">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p>
              </w:tc>
              <w:tc>
                <w:tcPr>
                  <w:tcW w:w="0" w:type="auto"/>
                  <w:vAlign w:val="center"/>
                </w:tcPr>
                <w:p w14:paraId="275D367C">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浓度Ci</w:t>
                  </w:r>
                  <w:r>
                    <w:rPr>
                      <w:rFonts w:hint="default" w:ascii="Times New Roman" w:hAnsi="Times New Roman" w:eastAsia="宋体" w:cs="Times New Roman"/>
                      <w:b w:val="0"/>
                      <w:bCs/>
                      <w:sz w:val="18"/>
                      <w:szCs w:val="18"/>
                      <w:lang w:eastAsia="zh-CN"/>
                    </w:rPr>
                    <w:t>（</w:t>
                  </w:r>
                  <w:r>
                    <w:rPr>
                      <w:rFonts w:hint="eastAsia" w:cs="Times New Roman"/>
                      <w:b w:val="0"/>
                      <w:bCs/>
                      <w:sz w:val="18"/>
                      <w:szCs w:val="18"/>
                      <w:lang w:val="en-US" w:eastAsia="zh-CN"/>
                    </w:rPr>
                    <w:t>m</w:t>
                  </w:r>
                  <w:r>
                    <w:rPr>
                      <w:rFonts w:hint="default" w:ascii="Times New Roman" w:hAnsi="Times New Roman" w:eastAsia="宋体" w:cs="Times New Roman"/>
                      <w:b w:val="0"/>
                      <w:bCs/>
                      <w:sz w:val="18"/>
                      <w:szCs w:val="18"/>
                    </w:rPr>
                    <w:t>g/m3</w:t>
                  </w:r>
                  <w:r>
                    <w:rPr>
                      <w:rFonts w:hint="default" w:ascii="Times New Roman" w:hAnsi="Times New Roman" w:eastAsia="宋体" w:cs="Times New Roman"/>
                      <w:b w:val="0"/>
                      <w:bCs/>
                      <w:sz w:val="18"/>
                      <w:szCs w:val="18"/>
                      <w:lang w:eastAsia="zh-CN"/>
                    </w:rPr>
                    <w:t>）</w:t>
                  </w:r>
                </w:p>
              </w:tc>
              <w:tc>
                <w:tcPr>
                  <w:tcW w:w="0" w:type="auto"/>
                  <w:vAlign w:val="center"/>
                </w:tcPr>
                <w:p w14:paraId="3DFFE7CC">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占标率Pi</w:t>
                  </w:r>
                  <w:r>
                    <w:rPr>
                      <w:rFonts w:hint="default" w:ascii="Times New Roman" w:hAnsi="Times New Roman" w:eastAsia="宋体" w:cs="Times New Roman"/>
                      <w:b w:val="0"/>
                      <w:bCs/>
                      <w:sz w:val="18"/>
                      <w:szCs w:val="18"/>
                      <w:lang w:eastAsia="zh-CN"/>
                    </w:rPr>
                    <w:t>（</w:t>
                  </w:r>
                  <w:r>
                    <w:rPr>
                      <w:rFonts w:hint="default" w:ascii="Times New Roman" w:hAnsi="Times New Roman" w:eastAsia="宋体" w:cs="Times New Roman"/>
                      <w:b w:val="0"/>
                      <w:bCs/>
                      <w:sz w:val="18"/>
                      <w:szCs w:val="18"/>
                    </w:rPr>
                    <w:t>%</w:t>
                  </w:r>
                  <w:r>
                    <w:rPr>
                      <w:rFonts w:hint="default" w:ascii="Times New Roman" w:hAnsi="Times New Roman" w:eastAsia="宋体" w:cs="Times New Roman"/>
                      <w:b w:val="0"/>
                      <w:bCs/>
                      <w:sz w:val="18"/>
                      <w:szCs w:val="18"/>
                      <w:lang w:eastAsia="zh-CN"/>
                    </w:rPr>
                    <w:t>）</w:t>
                  </w:r>
                </w:p>
              </w:tc>
              <w:tc>
                <w:tcPr>
                  <w:tcW w:w="0" w:type="auto"/>
                  <w:vAlign w:val="center"/>
                </w:tcPr>
                <w:p w14:paraId="2E1C074C">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浓度Ci</w:t>
                  </w:r>
                  <w:r>
                    <w:rPr>
                      <w:rFonts w:hint="default" w:ascii="Times New Roman" w:hAnsi="Times New Roman" w:eastAsia="宋体" w:cs="Times New Roman"/>
                      <w:b w:val="0"/>
                      <w:bCs/>
                      <w:sz w:val="18"/>
                      <w:szCs w:val="18"/>
                      <w:lang w:eastAsia="zh-CN"/>
                    </w:rPr>
                    <w:t>（</w:t>
                  </w:r>
                  <w:r>
                    <w:rPr>
                      <w:rFonts w:hint="eastAsia" w:cs="Times New Roman"/>
                      <w:b w:val="0"/>
                      <w:bCs/>
                      <w:sz w:val="18"/>
                      <w:szCs w:val="18"/>
                      <w:lang w:val="en-US" w:eastAsia="zh-CN"/>
                    </w:rPr>
                    <w:t>m</w:t>
                  </w:r>
                  <w:r>
                    <w:rPr>
                      <w:rFonts w:hint="default" w:ascii="Times New Roman" w:hAnsi="Times New Roman" w:eastAsia="宋体" w:cs="Times New Roman"/>
                      <w:b w:val="0"/>
                      <w:bCs/>
                      <w:sz w:val="18"/>
                      <w:szCs w:val="18"/>
                    </w:rPr>
                    <w:t>g/m3</w:t>
                  </w:r>
                  <w:r>
                    <w:rPr>
                      <w:rFonts w:hint="default" w:ascii="Times New Roman" w:hAnsi="Times New Roman" w:eastAsia="宋体" w:cs="Times New Roman"/>
                      <w:b w:val="0"/>
                      <w:bCs/>
                      <w:sz w:val="18"/>
                      <w:szCs w:val="18"/>
                      <w:lang w:eastAsia="zh-CN"/>
                    </w:rPr>
                    <w:t>）</w:t>
                  </w:r>
                </w:p>
              </w:tc>
              <w:tc>
                <w:tcPr>
                  <w:tcW w:w="0" w:type="auto"/>
                  <w:vAlign w:val="center"/>
                </w:tcPr>
                <w:p w14:paraId="60CD885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占标率Pi</w:t>
                  </w:r>
                  <w:r>
                    <w:rPr>
                      <w:rFonts w:hint="default" w:ascii="Times New Roman" w:hAnsi="Times New Roman" w:eastAsia="宋体" w:cs="Times New Roman"/>
                      <w:b w:val="0"/>
                      <w:bCs/>
                      <w:sz w:val="18"/>
                      <w:szCs w:val="18"/>
                      <w:lang w:eastAsia="zh-CN"/>
                    </w:rPr>
                    <w:t>（</w:t>
                  </w:r>
                  <w:r>
                    <w:rPr>
                      <w:rFonts w:hint="default" w:ascii="Times New Roman" w:hAnsi="Times New Roman" w:eastAsia="宋体" w:cs="Times New Roman"/>
                      <w:b w:val="0"/>
                      <w:bCs/>
                      <w:sz w:val="18"/>
                      <w:szCs w:val="18"/>
                    </w:rPr>
                    <w:t>%</w:t>
                  </w:r>
                  <w:r>
                    <w:rPr>
                      <w:rFonts w:hint="default" w:ascii="Times New Roman" w:hAnsi="Times New Roman" w:eastAsia="宋体" w:cs="Times New Roman"/>
                      <w:b w:val="0"/>
                      <w:bCs/>
                      <w:sz w:val="18"/>
                      <w:szCs w:val="18"/>
                      <w:lang w:eastAsia="zh-CN"/>
                    </w:rPr>
                    <w:t>）</w:t>
                  </w:r>
                </w:p>
              </w:tc>
              <w:tc>
                <w:tcPr>
                  <w:tcW w:w="0" w:type="auto"/>
                  <w:vAlign w:val="center"/>
                </w:tcPr>
                <w:p w14:paraId="3CA282C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浓度Ci</w:t>
                  </w:r>
                  <w:r>
                    <w:rPr>
                      <w:rFonts w:hint="default" w:ascii="Times New Roman" w:hAnsi="Times New Roman" w:eastAsia="宋体" w:cs="Times New Roman"/>
                      <w:b w:val="0"/>
                      <w:bCs/>
                      <w:sz w:val="18"/>
                      <w:szCs w:val="18"/>
                      <w:lang w:eastAsia="zh-CN"/>
                    </w:rPr>
                    <w:t>（</w:t>
                  </w:r>
                  <w:r>
                    <w:rPr>
                      <w:rFonts w:hint="eastAsia" w:cs="Times New Roman"/>
                      <w:b w:val="0"/>
                      <w:bCs/>
                      <w:sz w:val="18"/>
                      <w:szCs w:val="18"/>
                      <w:lang w:val="en-US" w:eastAsia="zh-CN"/>
                    </w:rPr>
                    <w:t>m</w:t>
                  </w:r>
                  <w:r>
                    <w:rPr>
                      <w:rFonts w:hint="default" w:ascii="Times New Roman" w:hAnsi="Times New Roman" w:eastAsia="宋体" w:cs="Times New Roman"/>
                      <w:b w:val="0"/>
                      <w:bCs/>
                      <w:sz w:val="18"/>
                      <w:szCs w:val="18"/>
                    </w:rPr>
                    <w:t>g/m3</w:t>
                  </w:r>
                  <w:r>
                    <w:rPr>
                      <w:rFonts w:hint="default" w:ascii="Times New Roman" w:hAnsi="Times New Roman" w:eastAsia="宋体" w:cs="Times New Roman"/>
                      <w:b w:val="0"/>
                      <w:bCs/>
                      <w:sz w:val="18"/>
                      <w:szCs w:val="18"/>
                      <w:lang w:eastAsia="zh-CN"/>
                    </w:rPr>
                    <w:t>）</w:t>
                  </w:r>
                </w:p>
              </w:tc>
              <w:tc>
                <w:tcPr>
                  <w:tcW w:w="0" w:type="auto"/>
                  <w:vAlign w:val="center"/>
                </w:tcPr>
                <w:p w14:paraId="05D6050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占标率Pi</w:t>
                  </w:r>
                  <w:r>
                    <w:rPr>
                      <w:rFonts w:hint="default" w:ascii="Times New Roman" w:hAnsi="Times New Roman" w:eastAsia="宋体" w:cs="Times New Roman"/>
                      <w:b w:val="0"/>
                      <w:bCs/>
                      <w:sz w:val="18"/>
                      <w:szCs w:val="18"/>
                      <w:lang w:eastAsia="zh-CN"/>
                    </w:rPr>
                    <w:t>（</w:t>
                  </w:r>
                  <w:r>
                    <w:rPr>
                      <w:rFonts w:hint="default" w:ascii="Times New Roman" w:hAnsi="Times New Roman" w:eastAsia="宋体" w:cs="Times New Roman"/>
                      <w:b w:val="0"/>
                      <w:bCs/>
                      <w:sz w:val="18"/>
                      <w:szCs w:val="18"/>
                    </w:rPr>
                    <w:t>%</w:t>
                  </w:r>
                  <w:r>
                    <w:rPr>
                      <w:rFonts w:hint="default" w:ascii="Times New Roman" w:hAnsi="Times New Roman" w:eastAsia="宋体" w:cs="Times New Roman"/>
                      <w:b w:val="0"/>
                      <w:bCs/>
                      <w:sz w:val="18"/>
                      <w:szCs w:val="18"/>
                      <w:lang w:eastAsia="zh-CN"/>
                    </w:rPr>
                    <w:t>）</w:t>
                  </w:r>
                </w:p>
              </w:tc>
            </w:tr>
            <w:tr w14:paraId="50D5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D1C2DF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10</w:t>
                  </w:r>
                </w:p>
              </w:tc>
              <w:tc>
                <w:tcPr>
                  <w:tcW w:w="0" w:type="auto"/>
                  <w:vAlign w:val="center"/>
                </w:tcPr>
                <w:p w14:paraId="1D1BEC1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1.46E-02</w:t>
                  </w:r>
                </w:p>
              </w:tc>
              <w:tc>
                <w:tcPr>
                  <w:tcW w:w="0" w:type="auto"/>
                  <w:vAlign w:val="center"/>
                </w:tcPr>
                <w:p w14:paraId="533D114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0.24</w:t>
                  </w:r>
                </w:p>
              </w:tc>
              <w:tc>
                <w:tcPr>
                  <w:tcW w:w="0" w:type="auto"/>
                  <w:vAlign w:val="center"/>
                </w:tcPr>
                <w:p w14:paraId="2DED3FE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1.82E-02</w:t>
                  </w:r>
                </w:p>
              </w:tc>
              <w:tc>
                <w:tcPr>
                  <w:tcW w:w="0" w:type="auto"/>
                  <w:vAlign w:val="center"/>
                </w:tcPr>
                <w:p w14:paraId="7180A86C">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1.21</w:t>
                  </w:r>
                </w:p>
              </w:tc>
              <w:tc>
                <w:tcPr>
                  <w:tcW w:w="0" w:type="auto"/>
                  <w:vAlign w:val="center"/>
                </w:tcPr>
                <w:p w14:paraId="1FC276D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3.64E-04</w:t>
                  </w:r>
                </w:p>
              </w:tc>
              <w:tc>
                <w:tcPr>
                  <w:tcW w:w="0" w:type="auto"/>
                  <w:vAlign w:val="center"/>
                </w:tcPr>
                <w:p w14:paraId="5D363D3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0.61</w:t>
                  </w:r>
                </w:p>
              </w:tc>
            </w:tr>
            <w:tr w14:paraId="72D6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662F2E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25</w:t>
                  </w:r>
                </w:p>
              </w:tc>
              <w:tc>
                <w:tcPr>
                  <w:tcW w:w="0" w:type="auto"/>
                  <w:vAlign w:val="center"/>
                </w:tcPr>
                <w:p w14:paraId="4D0D5D1C">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1.74E-02</w:t>
                  </w:r>
                </w:p>
              </w:tc>
              <w:tc>
                <w:tcPr>
                  <w:tcW w:w="0" w:type="auto"/>
                  <w:vAlign w:val="center"/>
                </w:tcPr>
                <w:p w14:paraId="14B9E93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0.29</w:t>
                  </w:r>
                </w:p>
              </w:tc>
              <w:tc>
                <w:tcPr>
                  <w:tcW w:w="0" w:type="auto"/>
                  <w:vAlign w:val="center"/>
                </w:tcPr>
                <w:p w14:paraId="183B86D1">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2.16E-02</w:t>
                  </w:r>
                </w:p>
              </w:tc>
              <w:tc>
                <w:tcPr>
                  <w:tcW w:w="0" w:type="auto"/>
                  <w:vAlign w:val="center"/>
                </w:tcPr>
                <w:p w14:paraId="62E85267">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1.44</w:t>
                  </w:r>
                </w:p>
              </w:tc>
              <w:tc>
                <w:tcPr>
                  <w:tcW w:w="0" w:type="auto"/>
                  <w:vAlign w:val="center"/>
                </w:tcPr>
                <w:p w14:paraId="2884214B">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4.33E-04</w:t>
                  </w:r>
                </w:p>
              </w:tc>
              <w:tc>
                <w:tcPr>
                  <w:tcW w:w="0" w:type="auto"/>
                  <w:vAlign w:val="center"/>
                </w:tcPr>
                <w:p w14:paraId="15741341">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0.72</w:t>
                  </w:r>
                </w:p>
              </w:tc>
            </w:tr>
            <w:tr w14:paraId="04FF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880B1B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sz w:val="18"/>
                      <w:szCs w:val="18"/>
                      <w:lang w:val="en-US" w:eastAsia="zh-CN"/>
                    </w:rPr>
                  </w:pPr>
                  <w:r>
                    <w:rPr>
                      <w:rFonts w:hint="eastAsia" w:cs="Times New Roman"/>
                      <w:b/>
                      <w:bCs w:val="0"/>
                      <w:sz w:val="18"/>
                      <w:szCs w:val="18"/>
                      <w:lang w:val="en-US" w:eastAsia="zh-CN"/>
                    </w:rPr>
                    <w:t>28</w:t>
                  </w:r>
                </w:p>
              </w:tc>
              <w:tc>
                <w:tcPr>
                  <w:tcW w:w="0" w:type="auto"/>
                  <w:vAlign w:val="center"/>
                </w:tcPr>
                <w:p w14:paraId="1C2E536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sz w:val="18"/>
                      <w:szCs w:val="18"/>
                    </w:rPr>
                  </w:pPr>
                  <w:r>
                    <w:rPr>
                      <w:rFonts w:hint="eastAsia" w:ascii="Times New Roman" w:hAnsi="Times New Roman" w:eastAsia="宋体" w:cs="Times New Roman"/>
                      <w:b/>
                      <w:bCs w:val="0"/>
                      <w:sz w:val="18"/>
                      <w:szCs w:val="18"/>
                    </w:rPr>
                    <w:t>1.78E-02</w:t>
                  </w:r>
                </w:p>
              </w:tc>
              <w:tc>
                <w:tcPr>
                  <w:tcW w:w="0" w:type="auto"/>
                  <w:vAlign w:val="center"/>
                </w:tcPr>
                <w:p w14:paraId="384290C7">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sz w:val="18"/>
                      <w:szCs w:val="18"/>
                    </w:rPr>
                  </w:pPr>
                  <w:r>
                    <w:rPr>
                      <w:rFonts w:hint="eastAsia" w:ascii="Times New Roman" w:hAnsi="Times New Roman" w:eastAsia="宋体" w:cs="Times New Roman"/>
                      <w:b/>
                      <w:bCs w:val="0"/>
                      <w:sz w:val="18"/>
                      <w:szCs w:val="18"/>
                    </w:rPr>
                    <w:t>0.30</w:t>
                  </w:r>
                </w:p>
              </w:tc>
              <w:tc>
                <w:tcPr>
                  <w:tcW w:w="0" w:type="auto"/>
                  <w:vAlign w:val="center"/>
                </w:tcPr>
                <w:p w14:paraId="7156BE6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sz w:val="18"/>
                      <w:szCs w:val="18"/>
                    </w:rPr>
                  </w:pPr>
                  <w:r>
                    <w:rPr>
                      <w:rFonts w:hint="eastAsia" w:ascii="Times New Roman" w:hAnsi="Times New Roman" w:eastAsia="宋体" w:cs="Times New Roman"/>
                      <w:b/>
                      <w:bCs w:val="0"/>
                      <w:sz w:val="18"/>
                      <w:szCs w:val="18"/>
                    </w:rPr>
                    <w:t>2.22E-02</w:t>
                  </w:r>
                </w:p>
              </w:tc>
              <w:tc>
                <w:tcPr>
                  <w:tcW w:w="0" w:type="auto"/>
                  <w:vAlign w:val="center"/>
                </w:tcPr>
                <w:p w14:paraId="6DA0CB5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sz w:val="18"/>
                      <w:szCs w:val="18"/>
                    </w:rPr>
                  </w:pPr>
                  <w:r>
                    <w:rPr>
                      <w:rFonts w:hint="eastAsia" w:ascii="Times New Roman" w:hAnsi="Times New Roman" w:eastAsia="宋体" w:cs="Times New Roman"/>
                      <w:b/>
                      <w:bCs w:val="0"/>
                      <w:sz w:val="18"/>
                      <w:szCs w:val="18"/>
                    </w:rPr>
                    <w:t>1.48</w:t>
                  </w:r>
                </w:p>
              </w:tc>
              <w:tc>
                <w:tcPr>
                  <w:tcW w:w="0" w:type="auto"/>
                  <w:vAlign w:val="center"/>
                </w:tcPr>
                <w:p w14:paraId="1E7FB1D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sz w:val="18"/>
                      <w:szCs w:val="18"/>
                    </w:rPr>
                  </w:pPr>
                  <w:r>
                    <w:rPr>
                      <w:rFonts w:hint="eastAsia" w:ascii="Times New Roman" w:hAnsi="Times New Roman" w:eastAsia="宋体" w:cs="Times New Roman"/>
                      <w:b/>
                      <w:bCs w:val="0"/>
                      <w:sz w:val="18"/>
                      <w:szCs w:val="18"/>
                    </w:rPr>
                    <w:t>4.43E-04</w:t>
                  </w:r>
                </w:p>
              </w:tc>
              <w:tc>
                <w:tcPr>
                  <w:tcW w:w="0" w:type="auto"/>
                  <w:vAlign w:val="center"/>
                </w:tcPr>
                <w:p w14:paraId="222285F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sz w:val="18"/>
                      <w:szCs w:val="18"/>
                    </w:rPr>
                  </w:pPr>
                  <w:r>
                    <w:rPr>
                      <w:rFonts w:hint="eastAsia" w:ascii="Times New Roman" w:hAnsi="Times New Roman" w:eastAsia="宋体" w:cs="Times New Roman"/>
                      <w:b/>
                      <w:bCs w:val="0"/>
                      <w:sz w:val="18"/>
                      <w:szCs w:val="18"/>
                    </w:rPr>
                    <w:t>0.74</w:t>
                  </w:r>
                </w:p>
              </w:tc>
            </w:tr>
            <w:tr w14:paraId="1A22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D7CEF3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50</w:t>
                  </w:r>
                </w:p>
              </w:tc>
              <w:tc>
                <w:tcPr>
                  <w:tcW w:w="0" w:type="auto"/>
                  <w:vAlign w:val="center"/>
                </w:tcPr>
                <w:p w14:paraId="0CF2F4F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1.39E-02</w:t>
                  </w:r>
                </w:p>
              </w:tc>
              <w:tc>
                <w:tcPr>
                  <w:tcW w:w="0" w:type="auto"/>
                  <w:vAlign w:val="center"/>
                </w:tcPr>
                <w:p w14:paraId="5FAC809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0.23</w:t>
                  </w:r>
                </w:p>
              </w:tc>
              <w:tc>
                <w:tcPr>
                  <w:tcW w:w="0" w:type="auto"/>
                  <w:vAlign w:val="center"/>
                </w:tcPr>
                <w:p w14:paraId="37368C9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1.73E-02</w:t>
                  </w:r>
                </w:p>
              </w:tc>
              <w:tc>
                <w:tcPr>
                  <w:tcW w:w="0" w:type="auto"/>
                  <w:vAlign w:val="center"/>
                </w:tcPr>
                <w:p w14:paraId="518D9A7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1.15</w:t>
                  </w:r>
                </w:p>
              </w:tc>
              <w:tc>
                <w:tcPr>
                  <w:tcW w:w="0" w:type="auto"/>
                  <w:vAlign w:val="center"/>
                </w:tcPr>
                <w:p w14:paraId="66893F2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3.46E-04</w:t>
                  </w:r>
                </w:p>
              </w:tc>
              <w:tc>
                <w:tcPr>
                  <w:tcW w:w="0" w:type="auto"/>
                  <w:vAlign w:val="center"/>
                </w:tcPr>
                <w:p w14:paraId="66931EF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0.58</w:t>
                  </w:r>
                </w:p>
              </w:tc>
            </w:tr>
            <w:tr w14:paraId="4669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C49B1E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75</w:t>
                  </w:r>
                </w:p>
              </w:tc>
              <w:tc>
                <w:tcPr>
                  <w:tcW w:w="0" w:type="auto"/>
                  <w:vAlign w:val="center"/>
                </w:tcPr>
                <w:p w14:paraId="723BC0D0">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1.24E-02</w:t>
                  </w:r>
                </w:p>
              </w:tc>
              <w:tc>
                <w:tcPr>
                  <w:tcW w:w="0" w:type="auto"/>
                  <w:vAlign w:val="center"/>
                </w:tcPr>
                <w:p w14:paraId="7960E51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0.21</w:t>
                  </w:r>
                </w:p>
              </w:tc>
              <w:tc>
                <w:tcPr>
                  <w:tcW w:w="0" w:type="auto"/>
                  <w:vAlign w:val="center"/>
                </w:tcPr>
                <w:p w14:paraId="484DD9D1">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1.55E-02</w:t>
                  </w:r>
                </w:p>
              </w:tc>
              <w:tc>
                <w:tcPr>
                  <w:tcW w:w="0" w:type="auto"/>
                  <w:vAlign w:val="center"/>
                </w:tcPr>
                <w:p w14:paraId="562E3FD4">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1.03</w:t>
                  </w:r>
                </w:p>
              </w:tc>
              <w:tc>
                <w:tcPr>
                  <w:tcW w:w="0" w:type="auto"/>
                  <w:vAlign w:val="center"/>
                </w:tcPr>
                <w:p w14:paraId="7FF0DD2D">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3.10E-04</w:t>
                  </w:r>
                </w:p>
              </w:tc>
              <w:tc>
                <w:tcPr>
                  <w:tcW w:w="0" w:type="auto"/>
                  <w:vAlign w:val="center"/>
                </w:tcPr>
                <w:p w14:paraId="3F12EB2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0.52</w:t>
                  </w:r>
                </w:p>
              </w:tc>
            </w:tr>
            <w:tr w14:paraId="1C58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5C44D51">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lang w:val="en-US"/>
                    </w:rPr>
                  </w:pPr>
                  <w:r>
                    <w:rPr>
                      <w:rFonts w:hint="eastAsia" w:cs="Times New Roman"/>
                      <w:b w:val="0"/>
                      <w:bCs/>
                      <w:sz w:val="18"/>
                      <w:szCs w:val="18"/>
                      <w:lang w:val="en-US" w:eastAsia="zh-CN"/>
                    </w:rPr>
                    <w:t>100</w:t>
                  </w:r>
                </w:p>
              </w:tc>
              <w:tc>
                <w:tcPr>
                  <w:tcW w:w="0" w:type="auto"/>
                  <w:vAlign w:val="center"/>
                </w:tcPr>
                <w:p w14:paraId="26D6C80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1.10E-02</w:t>
                  </w:r>
                </w:p>
              </w:tc>
              <w:tc>
                <w:tcPr>
                  <w:tcW w:w="0" w:type="auto"/>
                  <w:vAlign w:val="center"/>
                </w:tcPr>
                <w:p w14:paraId="18C4D02C">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0.18</w:t>
                  </w:r>
                </w:p>
              </w:tc>
              <w:tc>
                <w:tcPr>
                  <w:tcW w:w="0" w:type="auto"/>
                  <w:vAlign w:val="center"/>
                </w:tcPr>
                <w:p w14:paraId="7E1DD7F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1.36E-02</w:t>
                  </w:r>
                </w:p>
              </w:tc>
              <w:tc>
                <w:tcPr>
                  <w:tcW w:w="0" w:type="auto"/>
                  <w:vAlign w:val="center"/>
                </w:tcPr>
                <w:p w14:paraId="1F63361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0.91</w:t>
                  </w:r>
                </w:p>
              </w:tc>
              <w:tc>
                <w:tcPr>
                  <w:tcW w:w="0" w:type="auto"/>
                  <w:vAlign w:val="center"/>
                </w:tcPr>
                <w:p w14:paraId="5E00651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2.73E-04</w:t>
                  </w:r>
                </w:p>
              </w:tc>
              <w:tc>
                <w:tcPr>
                  <w:tcW w:w="0" w:type="auto"/>
                  <w:vAlign w:val="center"/>
                </w:tcPr>
                <w:p w14:paraId="2129D287">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0.45</w:t>
                  </w:r>
                </w:p>
              </w:tc>
            </w:tr>
            <w:tr w14:paraId="345D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FE3DDD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lang w:val="en-US" w:eastAsia="zh-CN"/>
                    </w:rPr>
                    <w:t>125</w:t>
                  </w:r>
                </w:p>
              </w:tc>
              <w:tc>
                <w:tcPr>
                  <w:tcW w:w="0" w:type="auto"/>
                  <w:vAlign w:val="center"/>
                </w:tcPr>
                <w:p w14:paraId="23C1A58C">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9.60E-03</w:t>
                  </w:r>
                </w:p>
              </w:tc>
              <w:tc>
                <w:tcPr>
                  <w:tcW w:w="0" w:type="auto"/>
                  <w:vAlign w:val="center"/>
                </w:tcPr>
                <w:p w14:paraId="56F8A0A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0.16</w:t>
                  </w:r>
                </w:p>
              </w:tc>
              <w:tc>
                <w:tcPr>
                  <w:tcW w:w="0" w:type="auto"/>
                  <w:vAlign w:val="center"/>
                </w:tcPr>
                <w:p w14:paraId="68DDAF5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1.19E-02</w:t>
                  </w:r>
                </w:p>
              </w:tc>
              <w:tc>
                <w:tcPr>
                  <w:tcW w:w="0" w:type="auto"/>
                  <w:vAlign w:val="center"/>
                </w:tcPr>
                <w:p w14:paraId="0962ADC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0.80</w:t>
                  </w:r>
                </w:p>
              </w:tc>
              <w:tc>
                <w:tcPr>
                  <w:tcW w:w="0" w:type="auto"/>
                  <w:vAlign w:val="center"/>
                </w:tcPr>
                <w:p w14:paraId="359DCEBA">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2.39E-04</w:t>
                  </w:r>
                </w:p>
              </w:tc>
              <w:tc>
                <w:tcPr>
                  <w:tcW w:w="0" w:type="auto"/>
                  <w:vAlign w:val="center"/>
                </w:tcPr>
                <w:p w14:paraId="4C2EBEB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0.40</w:t>
                  </w:r>
                </w:p>
              </w:tc>
            </w:tr>
            <w:tr w14:paraId="52BE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CC9976D">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lang w:val="en-US" w:eastAsia="zh-CN"/>
                    </w:rPr>
                    <w:t>150</w:t>
                  </w:r>
                </w:p>
              </w:tc>
              <w:tc>
                <w:tcPr>
                  <w:tcW w:w="0" w:type="auto"/>
                  <w:vAlign w:val="center"/>
                </w:tcPr>
                <w:p w14:paraId="5CC32BE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8.45E-03</w:t>
                  </w:r>
                </w:p>
              </w:tc>
              <w:tc>
                <w:tcPr>
                  <w:tcW w:w="0" w:type="auto"/>
                  <w:vAlign w:val="center"/>
                </w:tcPr>
                <w:p w14:paraId="467922B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0.14</w:t>
                  </w:r>
                </w:p>
              </w:tc>
              <w:tc>
                <w:tcPr>
                  <w:tcW w:w="0" w:type="auto"/>
                  <w:vAlign w:val="center"/>
                </w:tcPr>
                <w:p w14:paraId="7257515C">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1.05E-02</w:t>
                  </w:r>
                </w:p>
              </w:tc>
              <w:tc>
                <w:tcPr>
                  <w:tcW w:w="0" w:type="auto"/>
                  <w:vAlign w:val="center"/>
                </w:tcPr>
                <w:p w14:paraId="6776726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0.70</w:t>
                  </w:r>
                </w:p>
              </w:tc>
              <w:tc>
                <w:tcPr>
                  <w:tcW w:w="0" w:type="auto"/>
                  <w:vAlign w:val="center"/>
                </w:tcPr>
                <w:p w14:paraId="28D7480C">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2.10E-04</w:t>
                  </w:r>
                </w:p>
              </w:tc>
              <w:tc>
                <w:tcPr>
                  <w:tcW w:w="0" w:type="auto"/>
                  <w:vAlign w:val="center"/>
                </w:tcPr>
                <w:p w14:paraId="21E761F1">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0.35</w:t>
                  </w:r>
                </w:p>
              </w:tc>
            </w:tr>
            <w:tr w14:paraId="03CC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F40CE34">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lang w:val="en-US" w:eastAsia="zh-CN"/>
                    </w:rPr>
                    <w:t>175</w:t>
                  </w:r>
                </w:p>
              </w:tc>
              <w:tc>
                <w:tcPr>
                  <w:tcW w:w="0" w:type="auto"/>
                  <w:vAlign w:val="center"/>
                </w:tcPr>
                <w:p w14:paraId="7433927B">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7.78E-03</w:t>
                  </w:r>
                </w:p>
              </w:tc>
              <w:tc>
                <w:tcPr>
                  <w:tcW w:w="0" w:type="auto"/>
                  <w:vAlign w:val="center"/>
                </w:tcPr>
                <w:p w14:paraId="7987609B">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0.13</w:t>
                  </w:r>
                </w:p>
              </w:tc>
              <w:tc>
                <w:tcPr>
                  <w:tcW w:w="0" w:type="auto"/>
                  <w:vAlign w:val="center"/>
                </w:tcPr>
                <w:p w14:paraId="270B11EB">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9.69E-03</w:t>
                  </w:r>
                </w:p>
              </w:tc>
              <w:tc>
                <w:tcPr>
                  <w:tcW w:w="0" w:type="auto"/>
                  <w:vAlign w:val="center"/>
                </w:tcPr>
                <w:p w14:paraId="7BA9B467">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0.65</w:t>
                  </w:r>
                </w:p>
              </w:tc>
              <w:tc>
                <w:tcPr>
                  <w:tcW w:w="0" w:type="auto"/>
                  <w:vAlign w:val="center"/>
                </w:tcPr>
                <w:p w14:paraId="130357BA">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1.94E-04</w:t>
                  </w:r>
                </w:p>
              </w:tc>
              <w:tc>
                <w:tcPr>
                  <w:tcW w:w="0" w:type="auto"/>
                  <w:vAlign w:val="center"/>
                </w:tcPr>
                <w:p w14:paraId="72C0CBF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0.32</w:t>
                  </w:r>
                </w:p>
              </w:tc>
            </w:tr>
            <w:tr w14:paraId="6DBC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4B3E97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lang w:val="en-US" w:eastAsia="zh-CN"/>
                    </w:rPr>
                    <w:t>200</w:t>
                  </w:r>
                </w:p>
              </w:tc>
              <w:tc>
                <w:tcPr>
                  <w:tcW w:w="0" w:type="auto"/>
                  <w:vAlign w:val="center"/>
                </w:tcPr>
                <w:p w14:paraId="1510B81A">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7.18E-03</w:t>
                  </w:r>
                </w:p>
              </w:tc>
              <w:tc>
                <w:tcPr>
                  <w:tcW w:w="0" w:type="auto"/>
                  <w:vAlign w:val="center"/>
                </w:tcPr>
                <w:p w14:paraId="3D737B90">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0.12</w:t>
                  </w:r>
                </w:p>
              </w:tc>
              <w:tc>
                <w:tcPr>
                  <w:tcW w:w="0" w:type="auto"/>
                  <w:vAlign w:val="center"/>
                </w:tcPr>
                <w:p w14:paraId="54E3563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8.94E-03</w:t>
                  </w:r>
                </w:p>
              </w:tc>
              <w:tc>
                <w:tcPr>
                  <w:tcW w:w="0" w:type="auto"/>
                  <w:vAlign w:val="center"/>
                </w:tcPr>
                <w:p w14:paraId="4F3B4F8D">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0.60</w:t>
                  </w:r>
                </w:p>
              </w:tc>
              <w:tc>
                <w:tcPr>
                  <w:tcW w:w="0" w:type="auto"/>
                  <w:vAlign w:val="center"/>
                </w:tcPr>
                <w:p w14:paraId="739776E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1.79E-04</w:t>
                  </w:r>
                </w:p>
              </w:tc>
              <w:tc>
                <w:tcPr>
                  <w:tcW w:w="0" w:type="auto"/>
                  <w:vAlign w:val="center"/>
                </w:tcPr>
                <w:p w14:paraId="39F8B6D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0.30</w:t>
                  </w:r>
                </w:p>
              </w:tc>
            </w:tr>
            <w:tr w14:paraId="303E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6F92EA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lang w:val="en-US" w:eastAsia="zh-CN"/>
                    </w:rPr>
                    <w:t>225</w:t>
                  </w:r>
                </w:p>
              </w:tc>
              <w:tc>
                <w:tcPr>
                  <w:tcW w:w="0" w:type="auto"/>
                  <w:vAlign w:val="center"/>
                </w:tcPr>
                <w:p w14:paraId="307F4D01">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6.64E-03</w:t>
                  </w:r>
                </w:p>
              </w:tc>
              <w:tc>
                <w:tcPr>
                  <w:tcW w:w="0" w:type="auto"/>
                  <w:vAlign w:val="center"/>
                </w:tcPr>
                <w:p w14:paraId="1EB9E9C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0.11</w:t>
                  </w:r>
                </w:p>
              </w:tc>
              <w:tc>
                <w:tcPr>
                  <w:tcW w:w="0" w:type="auto"/>
                  <w:vAlign w:val="center"/>
                </w:tcPr>
                <w:p w14:paraId="38916480">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8.26E-03</w:t>
                  </w:r>
                </w:p>
              </w:tc>
              <w:tc>
                <w:tcPr>
                  <w:tcW w:w="0" w:type="auto"/>
                  <w:vAlign w:val="center"/>
                </w:tcPr>
                <w:p w14:paraId="670DDD04">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0.55</w:t>
                  </w:r>
                </w:p>
              </w:tc>
              <w:tc>
                <w:tcPr>
                  <w:tcW w:w="0" w:type="auto"/>
                  <w:vAlign w:val="center"/>
                </w:tcPr>
                <w:p w14:paraId="0A47CC8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1.65E-04</w:t>
                  </w:r>
                </w:p>
              </w:tc>
              <w:tc>
                <w:tcPr>
                  <w:tcW w:w="0" w:type="auto"/>
                  <w:vAlign w:val="center"/>
                </w:tcPr>
                <w:p w14:paraId="7EFBC56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0.28</w:t>
                  </w:r>
                </w:p>
              </w:tc>
            </w:tr>
            <w:tr w14:paraId="4390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7F7653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lang w:val="en-US" w:eastAsia="zh-CN"/>
                    </w:rPr>
                    <w:t>250</w:t>
                  </w:r>
                </w:p>
              </w:tc>
              <w:tc>
                <w:tcPr>
                  <w:tcW w:w="0" w:type="auto"/>
                  <w:vAlign w:val="center"/>
                </w:tcPr>
                <w:p w14:paraId="68F32FD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6.16E-03</w:t>
                  </w:r>
                </w:p>
              </w:tc>
              <w:tc>
                <w:tcPr>
                  <w:tcW w:w="0" w:type="auto"/>
                  <w:vAlign w:val="center"/>
                </w:tcPr>
                <w:p w14:paraId="547F604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0.10</w:t>
                  </w:r>
                </w:p>
              </w:tc>
              <w:tc>
                <w:tcPr>
                  <w:tcW w:w="0" w:type="auto"/>
                  <w:vAlign w:val="center"/>
                </w:tcPr>
                <w:p w14:paraId="2A98753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7.66E-03</w:t>
                  </w:r>
                </w:p>
              </w:tc>
              <w:tc>
                <w:tcPr>
                  <w:tcW w:w="0" w:type="auto"/>
                  <w:vAlign w:val="center"/>
                </w:tcPr>
                <w:p w14:paraId="2EB77A0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0.51</w:t>
                  </w:r>
                </w:p>
              </w:tc>
              <w:tc>
                <w:tcPr>
                  <w:tcW w:w="0" w:type="auto"/>
                  <w:vAlign w:val="center"/>
                </w:tcPr>
                <w:p w14:paraId="6BF2ED5A">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1.53E-04</w:t>
                  </w:r>
                </w:p>
              </w:tc>
              <w:tc>
                <w:tcPr>
                  <w:tcW w:w="0" w:type="auto"/>
                  <w:vAlign w:val="center"/>
                </w:tcPr>
                <w:p w14:paraId="0574BDA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0.26</w:t>
                  </w:r>
                </w:p>
              </w:tc>
            </w:tr>
            <w:tr w14:paraId="2899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054D24B">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lang w:val="en-US" w:eastAsia="zh-CN"/>
                    </w:rPr>
                    <w:t>275</w:t>
                  </w:r>
                </w:p>
              </w:tc>
              <w:tc>
                <w:tcPr>
                  <w:tcW w:w="0" w:type="auto"/>
                  <w:vAlign w:val="center"/>
                </w:tcPr>
                <w:p w14:paraId="511424EB">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5.73E-03</w:t>
                  </w:r>
                </w:p>
              </w:tc>
              <w:tc>
                <w:tcPr>
                  <w:tcW w:w="0" w:type="auto"/>
                  <w:vAlign w:val="center"/>
                </w:tcPr>
                <w:p w14:paraId="0CD9228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0.10</w:t>
                  </w:r>
                </w:p>
              </w:tc>
              <w:tc>
                <w:tcPr>
                  <w:tcW w:w="0" w:type="auto"/>
                  <w:vAlign w:val="center"/>
                </w:tcPr>
                <w:p w14:paraId="5AE98F27">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7.13E-03</w:t>
                  </w:r>
                </w:p>
              </w:tc>
              <w:tc>
                <w:tcPr>
                  <w:tcW w:w="0" w:type="auto"/>
                  <w:vAlign w:val="center"/>
                </w:tcPr>
                <w:p w14:paraId="7E40CF4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0.48</w:t>
                  </w:r>
                </w:p>
              </w:tc>
              <w:tc>
                <w:tcPr>
                  <w:tcW w:w="0" w:type="auto"/>
                  <w:vAlign w:val="center"/>
                </w:tcPr>
                <w:p w14:paraId="1787FCE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1.43E-04</w:t>
                  </w:r>
                </w:p>
              </w:tc>
              <w:tc>
                <w:tcPr>
                  <w:tcW w:w="0" w:type="auto"/>
                  <w:vAlign w:val="center"/>
                </w:tcPr>
                <w:p w14:paraId="11904A2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0.24</w:t>
                  </w:r>
                </w:p>
              </w:tc>
            </w:tr>
            <w:tr w14:paraId="1C23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E56A56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lang w:val="en-US" w:eastAsia="zh-CN"/>
                    </w:rPr>
                    <w:t>300</w:t>
                  </w:r>
                </w:p>
              </w:tc>
              <w:tc>
                <w:tcPr>
                  <w:tcW w:w="0" w:type="auto"/>
                  <w:vAlign w:val="center"/>
                </w:tcPr>
                <w:p w14:paraId="2D13495D">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5.40E-03</w:t>
                  </w:r>
                </w:p>
              </w:tc>
              <w:tc>
                <w:tcPr>
                  <w:tcW w:w="0" w:type="auto"/>
                  <w:vAlign w:val="center"/>
                </w:tcPr>
                <w:p w14:paraId="57F252E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eastAsia="宋体" w:cs="Times New Roman"/>
                      <w:b w:val="0"/>
                      <w:bCs/>
                      <w:sz w:val="18"/>
                      <w:szCs w:val="18"/>
                      <w:lang w:val="en-US" w:eastAsia="zh-CN"/>
                    </w:rPr>
                    <w:t>0.09</w:t>
                  </w:r>
                </w:p>
              </w:tc>
              <w:tc>
                <w:tcPr>
                  <w:tcW w:w="0" w:type="auto"/>
                  <w:vAlign w:val="center"/>
                </w:tcPr>
                <w:p w14:paraId="4B7F193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6.71E-03</w:t>
                  </w:r>
                </w:p>
              </w:tc>
              <w:tc>
                <w:tcPr>
                  <w:tcW w:w="0" w:type="auto"/>
                  <w:vAlign w:val="center"/>
                </w:tcPr>
                <w:p w14:paraId="27E8AB97">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0.45</w:t>
                  </w:r>
                </w:p>
              </w:tc>
              <w:tc>
                <w:tcPr>
                  <w:tcW w:w="0" w:type="auto"/>
                  <w:vAlign w:val="center"/>
                </w:tcPr>
                <w:p w14:paraId="128AB27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1.34E-04</w:t>
                  </w:r>
                </w:p>
              </w:tc>
              <w:tc>
                <w:tcPr>
                  <w:tcW w:w="0" w:type="auto"/>
                  <w:vAlign w:val="center"/>
                </w:tcPr>
                <w:p w14:paraId="5CC16214">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val="0"/>
                      <w:bCs/>
                      <w:sz w:val="18"/>
                      <w:szCs w:val="18"/>
                    </w:rPr>
                    <w:t>0.22</w:t>
                  </w:r>
                </w:p>
              </w:tc>
            </w:tr>
            <w:tr w14:paraId="51EE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551312C">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w:t>
                  </w:r>
                </w:p>
              </w:tc>
              <w:tc>
                <w:tcPr>
                  <w:tcW w:w="0" w:type="auto"/>
                  <w:vAlign w:val="center"/>
                </w:tcPr>
                <w:p w14:paraId="26D8587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w:t>
                  </w:r>
                </w:p>
              </w:tc>
              <w:tc>
                <w:tcPr>
                  <w:tcW w:w="0" w:type="auto"/>
                  <w:vAlign w:val="center"/>
                </w:tcPr>
                <w:p w14:paraId="54C60A1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w:t>
                  </w:r>
                </w:p>
              </w:tc>
              <w:tc>
                <w:tcPr>
                  <w:tcW w:w="0" w:type="auto"/>
                  <w:vAlign w:val="center"/>
                </w:tcPr>
                <w:p w14:paraId="5108081A">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w:t>
                  </w:r>
                </w:p>
              </w:tc>
              <w:tc>
                <w:tcPr>
                  <w:tcW w:w="0" w:type="auto"/>
                  <w:vAlign w:val="center"/>
                </w:tcPr>
                <w:p w14:paraId="0898C1E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w:t>
                  </w:r>
                </w:p>
              </w:tc>
              <w:tc>
                <w:tcPr>
                  <w:tcW w:w="0" w:type="auto"/>
                  <w:vAlign w:val="center"/>
                </w:tcPr>
                <w:p w14:paraId="1EEE537C">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w:t>
                  </w:r>
                </w:p>
              </w:tc>
              <w:tc>
                <w:tcPr>
                  <w:tcW w:w="0" w:type="auto"/>
                  <w:vAlign w:val="center"/>
                </w:tcPr>
                <w:p w14:paraId="10FB2FF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w:t>
                  </w:r>
                </w:p>
              </w:tc>
            </w:tr>
            <w:tr w14:paraId="7879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D57731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下风向最大值</w:t>
                  </w:r>
                </w:p>
              </w:tc>
              <w:tc>
                <w:tcPr>
                  <w:tcW w:w="1302" w:type="dxa"/>
                  <w:vAlign w:val="center"/>
                </w:tcPr>
                <w:p w14:paraId="3EE6362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bCs w:val="0"/>
                      <w:sz w:val="18"/>
                      <w:szCs w:val="18"/>
                    </w:rPr>
                    <w:t>1.78E-02</w:t>
                  </w:r>
                </w:p>
              </w:tc>
              <w:tc>
                <w:tcPr>
                  <w:tcW w:w="1058" w:type="dxa"/>
                  <w:vAlign w:val="center"/>
                </w:tcPr>
                <w:p w14:paraId="5401A1C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bCs w:val="0"/>
                      <w:sz w:val="18"/>
                      <w:szCs w:val="18"/>
                    </w:rPr>
                    <w:t>0.30</w:t>
                  </w:r>
                </w:p>
              </w:tc>
              <w:tc>
                <w:tcPr>
                  <w:tcW w:w="1302" w:type="dxa"/>
                  <w:vAlign w:val="center"/>
                </w:tcPr>
                <w:p w14:paraId="185D744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bCs w:val="0"/>
                      <w:sz w:val="18"/>
                      <w:szCs w:val="18"/>
                    </w:rPr>
                    <w:t>2.22E-02</w:t>
                  </w:r>
                </w:p>
              </w:tc>
              <w:tc>
                <w:tcPr>
                  <w:tcW w:w="1058" w:type="dxa"/>
                  <w:vAlign w:val="center"/>
                </w:tcPr>
                <w:p w14:paraId="6D2058E0">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bCs w:val="0"/>
                      <w:sz w:val="18"/>
                      <w:szCs w:val="18"/>
                    </w:rPr>
                    <w:t>1.48</w:t>
                  </w:r>
                </w:p>
              </w:tc>
              <w:tc>
                <w:tcPr>
                  <w:tcW w:w="1302" w:type="dxa"/>
                  <w:vAlign w:val="center"/>
                </w:tcPr>
                <w:p w14:paraId="27A0224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bCs w:val="0"/>
                      <w:sz w:val="18"/>
                      <w:szCs w:val="18"/>
                    </w:rPr>
                    <w:t>4.43E-04</w:t>
                  </w:r>
                </w:p>
              </w:tc>
              <w:tc>
                <w:tcPr>
                  <w:tcW w:w="1058" w:type="dxa"/>
                  <w:vAlign w:val="center"/>
                </w:tcPr>
                <w:p w14:paraId="11C1AC2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eastAsia" w:ascii="Times New Roman" w:hAnsi="Times New Roman" w:eastAsia="宋体" w:cs="Times New Roman"/>
                      <w:b/>
                      <w:bCs w:val="0"/>
                      <w:sz w:val="18"/>
                      <w:szCs w:val="18"/>
                    </w:rPr>
                    <w:t>0.74</w:t>
                  </w:r>
                </w:p>
              </w:tc>
            </w:tr>
            <w:tr w14:paraId="2507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BDF9720">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最大落地浓度出现距离</w:t>
                  </w:r>
                </w:p>
              </w:tc>
              <w:tc>
                <w:tcPr>
                  <w:tcW w:w="0" w:type="auto"/>
                  <w:gridSpan w:val="6"/>
                  <w:vAlign w:val="center"/>
                </w:tcPr>
                <w:p w14:paraId="0A30000D">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28m</w:t>
                  </w:r>
                </w:p>
              </w:tc>
            </w:tr>
          </w:tbl>
          <w:p w14:paraId="352C499E">
            <w:pPr>
              <w:bidi w:val="0"/>
              <w:ind w:left="0" w:leftChars="0" w:firstLine="480" w:firstLineChars="200"/>
              <w:rPr>
                <w:rFonts w:hint="eastAsia"/>
                <w:color w:val="auto"/>
                <w:highlight w:val="none"/>
                <w:u w:val="single"/>
                <w:lang w:eastAsia="zh-CN"/>
              </w:rPr>
            </w:pPr>
            <w:r>
              <w:rPr>
                <w:color w:val="auto"/>
                <w:highlight w:val="none"/>
                <w:u w:val="single"/>
              </w:rPr>
              <w:t>根据《环境影响评价技术导则 大气环境》（HJ2.2-2018）中5.3节工作等级的确定方法，结合项目工程分析结果，选择正常排放的主要污染物及排放参数，采用附录A推荐模型中AERSCREEN模式计算项目污染源的最大环境影响</w:t>
            </w:r>
            <w:r>
              <w:rPr>
                <w:rFonts w:hint="eastAsia"/>
                <w:color w:val="auto"/>
                <w:highlight w:val="none"/>
                <w:u w:val="single"/>
                <w:lang w:eastAsia="zh-CN"/>
              </w:rPr>
              <w:t>。</w:t>
            </w:r>
          </w:p>
          <w:p w14:paraId="1AABEEC7">
            <w:pPr>
              <w:bidi w:val="0"/>
              <w:ind w:left="0" w:leftChars="0" w:firstLine="480" w:firstLineChars="200"/>
              <w:rPr>
                <w:rFonts w:hint="eastAsia"/>
                <w:b/>
                <w:bCs/>
                <w:color w:val="auto"/>
                <w:highlight w:val="none"/>
                <w:u w:val="single"/>
                <w:lang w:val="en-US" w:eastAsia="zh-CN"/>
              </w:rPr>
            </w:pPr>
            <w:r>
              <w:rPr>
                <w:rFonts w:hint="eastAsia"/>
                <w:b/>
                <w:bCs/>
                <w:color w:val="auto"/>
                <w:highlight w:val="none"/>
                <w:u w:val="single"/>
                <w:lang w:val="en-US" w:eastAsia="zh-CN"/>
              </w:rPr>
              <w:t>DA001：</w:t>
            </w:r>
          </w:p>
          <w:p w14:paraId="213CD40F">
            <w:pPr>
              <w:bidi w:val="0"/>
              <w:ind w:left="0" w:leftChars="0" w:firstLine="480" w:firstLineChars="200"/>
              <w:rPr>
                <w:rFonts w:hint="eastAsia"/>
                <w:u w:val="single"/>
                <w:lang w:eastAsia="zh-CN"/>
              </w:rPr>
            </w:pPr>
            <w:r>
              <w:rPr>
                <w:rFonts w:hint="eastAsia" w:cs="Times New Roman"/>
                <w:b/>
                <w:bCs/>
                <w:color w:val="auto"/>
                <w:sz w:val="24"/>
                <w:szCs w:val="24"/>
                <w:highlight w:val="none"/>
                <w:u w:val="single"/>
                <w:lang w:eastAsia="zh-CN"/>
              </w:rPr>
              <w:t>颗粒物</w:t>
            </w:r>
            <w:r>
              <w:rPr>
                <w:rFonts w:hint="eastAsia" w:cs="Times New Roman"/>
                <w:color w:val="auto"/>
                <w:sz w:val="24"/>
                <w:szCs w:val="24"/>
                <w:highlight w:val="none"/>
                <w:u w:val="single"/>
                <w:lang w:val="en-US" w:eastAsia="zh-CN"/>
              </w:rPr>
              <w:t>1小时平均</w:t>
            </w:r>
            <w:r>
              <w:rPr>
                <w:rFonts w:hint="default" w:ascii="Times New Roman" w:hAnsi="Times New Roman" w:eastAsia="宋体" w:cs="Times New Roman"/>
                <w:color w:val="auto"/>
                <w:sz w:val="24"/>
                <w:szCs w:val="24"/>
                <w:highlight w:val="none"/>
                <w:u w:val="single"/>
              </w:rPr>
              <w:t>最大</w:t>
            </w:r>
            <w:r>
              <w:rPr>
                <w:rFonts w:hint="eastAsia" w:cs="Times New Roman"/>
                <w:color w:val="auto"/>
                <w:sz w:val="24"/>
                <w:szCs w:val="24"/>
                <w:highlight w:val="none"/>
                <w:u w:val="single"/>
                <w:lang w:eastAsia="zh-CN"/>
              </w:rPr>
              <w:t>落地</w:t>
            </w:r>
            <w:r>
              <w:rPr>
                <w:rFonts w:hint="default" w:ascii="Times New Roman" w:hAnsi="Times New Roman" w:eastAsia="宋体" w:cs="Times New Roman"/>
                <w:color w:val="auto"/>
                <w:sz w:val="24"/>
                <w:szCs w:val="24"/>
                <w:highlight w:val="none"/>
                <w:u w:val="single"/>
              </w:rPr>
              <w:t>浓度预测值为</w:t>
            </w:r>
            <w:r>
              <w:rPr>
                <w:rFonts w:hint="eastAsia" w:ascii="Times New Roman" w:hAnsi="Times New Roman" w:eastAsia="宋体" w:cs="Times New Roman"/>
                <w:color w:val="auto"/>
                <w:sz w:val="24"/>
                <w:szCs w:val="24"/>
                <w:highlight w:val="none"/>
                <w:u w:val="single"/>
                <w:lang w:val="en-US" w:eastAsia="zh-CN"/>
              </w:rPr>
              <w:t>0.000925</w:t>
            </w:r>
            <w:r>
              <w:rPr>
                <w:rFonts w:hint="eastAsia" w:eastAsia="宋体"/>
                <w:b w:val="0"/>
                <w:bCs w:val="0"/>
                <w:sz w:val="24"/>
                <w:szCs w:val="24"/>
                <w:u w:val="single"/>
                <w:lang w:val="en-US" w:eastAsia="zh-CN"/>
              </w:rPr>
              <w:t>m</w:t>
            </w:r>
            <w:r>
              <w:rPr>
                <w:rFonts w:hint="eastAsia"/>
                <w:b w:val="0"/>
                <w:bCs w:val="0"/>
                <w:sz w:val="24"/>
                <w:szCs w:val="24"/>
                <w:u w:val="single"/>
              </w:rPr>
              <w:t>g/m</w:t>
            </w:r>
            <w:r>
              <w:rPr>
                <w:rFonts w:hint="eastAsia"/>
                <w:b w:val="0"/>
                <w:bCs w:val="0"/>
                <w:sz w:val="24"/>
                <w:szCs w:val="24"/>
                <w:u w:val="single"/>
                <w:vertAlign w:val="superscript"/>
              </w:rPr>
              <w:t>3</w:t>
            </w:r>
            <w:r>
              <w:rPr>
                <w:rFonts w:hint="eastAsia" w:cs="Times New Roman"/>
                <w:color w:val="auto"/>
                <w:sz w:val="24"/>
                <w:szCs w:val="24"/>
                <w:highlight w:val="none"/>
                <w:u w:val="single"/>
                <w:vertAlign w:val="baseline"/>
                <w:lang w:eastAsia="zh-CN"/>
              </w:rPr>
              <w:t>，离源距离为</w:t>
            </w:r>
            <w:r>
              <w:rPr>
                <w:rFonts w:hint="eastAsia" w:cs="Times New Roman"/>
                <w:color w:val="auto"/>
                <w:sz w:val="24"/>
                <w:szCs w:val="24"/>
                <w:highlight w:val="none"/>
                <w:u w:val="single"/>
                <w:vertAlign w:val="baseline"/>
                <w:lang w:val="en-US" w:eastAsia="zh-CN"/>
              </w:rPr>
              <w:t>127米，</w:t>
            </w:r>
            <w:r>
              <w:rPr>
                <w:rFonts w:hint="default" w:ascii="Times New Roman" w:hAnsi="Times New Roman" w:eastAsia="宋体" w:cs="Times New Roman"/>
                <w:color w:val="auto"/>
                <w:sz w:val="24"/>
                <w:szCs w:val="24"/>
                <w:highlight w:val="none"/>
                <w:u w:val="single"/>
              </w:rPr>
              <w:t>小于</w:t>
            </w:r>
            <w:r>
              <w:rPr>
                <w:rFonts w:hint="eastAsia"/>
                <w:u w:val="single"/>
              </w:rPr>
              <w:t>《锅炉大气污染物排放标准》(GB13271-2014)</w:t>
            </w:r>
            <w:r>
              <w:rPr>
                <w:rFonts w:hint="eastAsia" w:ascii="宋体" w:hAnsi="宋体" w:eastAsia="宋体" w:cs="宋体"/>
                <w:color w:val="000000"/>
                <w:kern w:val="0"/>
                <w:sz w:val="24"/>
                <w:szCs w:val="24"/>
                <w:u w:val="single"/>
                <w:lang w:val="en-US" w:eastAsia="zh-CN" w:bidi="ar"/>
              </w:rPr>
              <w:t>表</w:t>
            </w:r>
            <w:r>
              <w:rPr>
                <w:rFonts w:hint="default" w:ascii="Times New Roman" w:hAnsi="Times New Roman" w:eastAsia="宋体" w:cs="Times New Roman"/>
                <w:color w:val="000000"/>
                <w:kern w:val="0"/>
                <w:sz w:val="24"/>
                <w:szCs w:val="24"/>
                <w:u w:val="single"/>
                <w:lang w:val="en-US" w:eastAsia="zh-CN" w:bidi="ar"/>
              </w:rPr>
              <w:t>3</w:t>
            </w:r>
            <w:r>
              <w:rPr>
                <w:rFonts w:hint="eastAsia" w:ascii="宋体" w:hAnsi="宋体" w:eastAsia="宋体" w:cs="宋体"/>
                <w:color w:val="000000"/>
                <w:kern w:val="0"/>
                <w:sz w:val="24"/>
                <w:szCs w:val="24"/>
                <w:u w:val="single"/>
                <w:lang w:val="en-US" w:eastAsia="zh-CN" w:bidi="ar"/>
              </w:rPr>
              <w:t>标准</w:t>
            </w:r>
            <w:r>
              <w:rPr>
                <w:rFonts w:hint="default" w:ascii="Times New Roman" w:hAnsi="Times New Roman" w:eastAsia="宋体" w:cs="Times New Roman"/>
                <w:color w:val="auto"/>
                <w:sz w:val="24"/>
                <w:szCs w:val="24"/>
                <w:highlight w:val="none"/>
                <w:u w:val="single"/>
              </w:rPr>
              <w:t>排放限值</w:t>
            </w:r>
            <w:r>
              <w:rPr>
                <w:rFonts w:hint="eastAsia" w:cs="Times New Roman"/>
                <w:color w:val="auto"/>
                <w:sz w:val="24"/>
                <w:szCs w:val="24"/>
                <w:highlight w:val="none"/>
                <w:u w:val="single"/>
                <w:lang w:eastAsia="zh-CN"/>
              </w:rPr>
              <w:t>和</w:t>
            </w:r>
            <w:r>
              <w:rPr>
                <w:rFonts w:hint="default" w:ascii="Times New Roman" w:hAnsi="Times New Roman" w:eastAsia="宋体" w:cs="Times New Roman"/>
                <w:color w:val="auto"/>
                <w:sz w:val="24"/>
                <w:szCs w:val="24"/>
                <w:highlight w:val="none"/>
                <w:u w:val="single"/>
              </w:rPr>
              <w:t>《大气污染物综合排放标准》（GB16297-1996）中</w:t>
            </w:r>
            <w:r>
              <w:rPr>
                <w:rFonts w:hint="eastAsia" w:ascii="Times New Roman" w:hAnsi="Times New Roman" w:eastAsia="宋体" w:cs="Times New Roman"/>
                <w:color w:val="auto"/>
                <w:sz w:val="24"/>
                <w:szCs w:val="24"/>
                <w:highlight w:val="none"/>
                <w:u w:val="single"/>
                <w:lang w:eastAsia="zh-CN"/>
              </w:rPr>
              <w:t>有</w:t>
            </w:r>
            <w:r>
              <w:rPr>
                <w:rFonts w:hint="default" w:ascii="Times New Roman" w:hAnsi="Times New Roman" w:eastAsia="宋体" w:cs="Times New Roman"/>
                <w:color w:val="auto"/>
                <w:sz w:val="24"/>
                <w:szCs w:val="24"/>
                <w:highlight w:val="none"/>
                <w:u w:val="single"/>
              </w:rPr>
              <w:t>组织排放限值</w:t>
            </w:r>
            <w:r>
              <w:rPr>
                <w:rFonts w:hint="eastAsia" w:ascii="Times New Roman" w:hAnsi="Times New Roman" w:eastAsia="宋体"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u w:val="single"/>
              </w:rPr>
              <w:t>最大</w:t>
            </w:r>
            <w:r>
              <w:rPr>
                <w:rFonts w:hint="eastAsia" w:cs="Times New Roman"/>
                <w:color w:val="auto"/>
                <w:sz w:val="24"/>
                <w:szCs w:val="24"/>
                <w:highlight w:val="none"/>
                <w:u w:val="single"/>
                <w:lang w:eastAsia="zh-CN"/>
              </w:rPr>
              <w:t>落地</w:t>
            </w:r>
            <w:r>
              <w:rPr>
                <w:rFonts w:hint="default" w:ascii="Times New Roman" w:hAnsi="Times New Roman" w:eastAsia="宋体" w:cs="Times New Roman"/>
                <w:color w:val="auto"/>
                <w:sz w:val="24"/>
                <w:szCs w:val="24"/>
                <w:highlight w:val="none"/>
                <w:u w:val="single"/>
              </w:rPr>
              <w:t>浓度</w:t>
            </w:r>
            <w:r>
              <w:rPr>
                <w:rFonts w:hint="eastAsia" w:ascii="Times New Roman" w:hAnsi="Times New Roman" w:eastAsia="宋体" w:cs="Times New Roman"/>
                <w:color w:val="auto"/>
                <w:sz w:val="24"/>
                <w:szCs w:val="24"/>
                <w:highlight w:val="none"/>
                <w:u w:val="single"/>
                <w:lang w:eastAsia="zh-CN"/>
              </w:rPr>
              <w:t>占标率为</w:t>
            </w:r>
            <w:r>
              <w:rPr>
                <w:rFonts w:hint="eastAsia" w:ascii="Times New Roman" w:hAnsi="Times New Roman" w:eastAsia="宋体" w:cs="Times New Roman"/>
                <w:color w:val="auto"/>
                <w:sz w:val="24"/>
                <w:szCs w:val="24"/>
                <w:highlight w:val="none"/>
                <w:u w:val="single"/>
                <w:lang w:val="en-US" w:eastAsia="zh-CN"/>
              </w:rPr>
              <w:t>0.1%</w:t>
            </w:r>
            <w:r>
              <w:rPr>
                <w:rFonts w:hint="eastAsia" w:cs="Times New Roman"/>
                <w:color w:val="auto"/>
                <w:sz w:val="24"/>
                <w:szCs w:val="24"/>
                <w:highlight w:val="none"/>
                <w:u w:val="single"/>
                <w:lang w:eastAsia="zh-CN"/>
              </w:rPr>
              <w:t>；</w:t>
            </w:r>
            <w:r>
              <w:rPr>
                <w:rFonts w:hint="eastAsia" w:cs="Times New Roman"/>
                <w:b/>
                <w:bCs/>
                <w:color w:val="auto"/>
                <w:sz w:val="24"/>
                <w:szCs w:val="24"/>
                <w:highlight w:val="none"/>
                <w:u w:val="single"/>
                <w:lang w:eastAsia="zh-CN"/>
              </w:rPr>
              <w:t>非甲烷总烃</w:t>
            </w:r>
            <w:r>
              <w:rPr>
                <w:rFonts w:hint="eastAsia" w:cs="Times New Roman"/>
                <w:color w:val="auto"/>
                <w:sz w:val="24"/>
                <w:szCs w:val="24"/>
                <w:highlight w:val="none"/>
                <w:u w:val="single"/>
                <w:lang w:val="en-US" w:eastAsia="zh-CN"/>
              </w:rPr>
              <w:t>1小时平均</w:t>
            </w:r>
            <w:r>
              <w:rPr>
                <w:rFonts w:hint="default" w:ascii="Times New Roman" w:hAnsi="Times New Roman" w:eastAsia="宋体" w:cs="Times New Roman"/>
                <w:color w:val="auto"/>
                <w:sz w:val="24"/>
                <w:szCs w:val="24"/>
                <w:highlight w:val="none"/>
                <w:u w:val="single"/>
              </w:rPr>
              <w:t>最大</w:t>
            </w:r>
            <w:r>
              <w:rPr>
                <w:rFonts w:hint="eastAsia" w:cs="Times New Roman"/>
                <w:color w:val="auto"/>
                <w:sz w:val="24"/>
                <w:szCs w:val="24"/>
                <w:highlight w:val="none"/>
                <w:u w:val="single"/>
                <w:lang w:eastAsia="zh-CN"/>
              </w:rPr>
              <w:t>落地</w:t>
            </w:r>
            <w:r>
              <w:rPr>
                <w:rFonts w:hint="default" w:ascii="Times New Roman" w:hAnsi="Times New Roman" w:eastAsia="宋体" w:cs="Times New Roman"/>
                <w:color w:val="auto"/>
                <w:sz w:val="24"/>
                <w:szCs w:val="24"/>
                <w:highlight w:val="none"/>
                <w:u w:val="single"/>
              </w:rPr>
              <w:t>浓度预测值为</w:t>
            </w:r>
            <w:r>
              <w:rPr>
                <w:rFonts w:hint="eastAsia" w:ascii="Times New Roman" w:hAnsi="Times New Roman" w:eastAsia="宋体" w:cs="Times New Roman"/>
                <w:color w:val="auto"/>
                <w:sz w:val="24"/>
                <w:szCs w:val="24"/>
                <w:highlight w:val="none"/>
                <w:u w:val="single"/>
                <w:lang w:val="en-US" w:eastAsia="zh-CN"/>
              </w:rPr>
              <w:t>0.00888</w:t>
            </w:r>
            <w:r>
              <w:rPr>
                <w:rFonts w:hint="eastAsia" w:eastAsia="宋体"/>
                <w:b w:val="0"/>
                <w:bCs w:val="0"/>
                <w:sz w:val="24"/>
                <w:szCs w:val="24"/>
                <w:u w:val="single"/>
                <w:lang w:val="en-US" w:eastAsia="zh-CN"/>
              </w:rPr>
              <w:t>m</w:t>
            </w:r>
            <w:r>
              <w:rPr>
                <w:rFonts w:hint="eastAsia"/>
                <w:b w:val="0"/>
                <w:bCs w:val="0"/>
                <w:sz w:val="24"/>
                <w:szCs w:val="24"/>
                <w:u w:val="single"/>
              </w:rPr>
              <w:t>g/m</w:t>
            </w:r>
            <w:r>
              <w:rPr>
                <w:rFonts w:hint="eastAsia"/>
                <w:b w:val="0"/>
                <w:bCs w:val="0"/>
                <w:sz w:val="24"/>
                <w:szCs w:val="24"/>
                <w:u w:val="single"/>
                <w:vertAlign w:val="superscript"/>
              </w:rPr>
              <w:t>3</w:t>
            </w:r>
            <w:r>
              <w:rPr>
                <w:rFonts w:hint="eastAsia" w:cs="Times New Roman"/>
                <w:color w:val="auto"/>
                <w:sz w:val="24"/>
                <w:szCs w:val="24"/>
                <w:highlight w:val="none"/>
                <w:u w:val="single"/>
                <w:vertAlign w:val="baseline"/>
                <w:lang w:eastAsia="zh-CN"/>
              </w:rPr>
              <w:t>，离源距离为</w:t>
            </w:r>
            <w:r>
              <w:rPr>
                <w:rFonts w:hint="eastAsia" w:cs="Times New Roman"/>
                <w:color w:val="auto"/>
                <w:sz w:val="24"/>
                <w:szCs w:val="24"/>
                <w:highlight w:val="none"/>
                <w:u w:val="single"/>
                <w:vertAlign w:val="baseline"/>
                <w:lang w:val="en-US" w:eastAsia="zh-CN"/>
              </w:rPr>
              <w:t>127米，</w:t>
            </w:r>
            <w:r>
              <w:rPr>
                <w:rFonts w:hint="default" w:ascii="Times New Roman" w:hAnsi="Times New Roman" w:eastAsia="宋体" w:cs="Times New Roman"/>
                <w:color w:val="auto"/>
                <w:sz w:val="24"/>
                <w:szCs w:val="24"/>
                <w:highlight w:val="none"/>
                <w:u w:val="single"/>
              </w:rPr>
              <w:t>小于</w:t>
            </w:r>
            <w:r>
              <w:rPr>
                <w:rFonts w:hint="eastAsia"/>
                <w:u w:val="single"/>
              </w:rPr>
              <w:t>《大气污染物综合排放标准》(GB16297-1996)中</w:t>
            </w:r>
            <w:r>
              <w:rPr>
                <w:rFonts w:hint="eastAsia"/>
                <w:u w:val="single"/>
                <w:lang w:eastAsia="zh-CN"/>
              </w:rPr>
              <w:t>表</w:t>
            </w:r>
            <w:r>
              <w:rPr>
                <w:rFonts w:hint="eastAsia"/>
                <w:u w:val="single"/>
                <w:lang w:val="en-US" w:eastAsia="zh-CN"/>
              </w:rPr>
              <w:t>2</w:t>
            </w:r>
            <w:r>
              <w:rPr>
                <w:rFonts w:hint="eastAsia"/>
                <w:u w:val="single"/>
              </w:rPr>
              <w:t>标准限值要求</w:t>
            </w:r>
            <w:r>
              <w:rPr>
                <w:rFonts w:hint="eastAsia"/>
                <w:u w:val="single"/>
                <w:lang w:eastAsia="zh-CN"/>
              </w:rPr>
              <w:t>，</w:t>
            </w:r>
            <w:r>
              <w:rPr>
                <w:rFonts w:hint="default" w:ascii="Times New Roman" w:hAnsi="Times New Roman" w:eastAsia="宋体" w:cs="Times New Roman"/>
                <w:color w:val="auto"/>
                <w:sz w:val="24"/>
                <w:szCs w:val="24"/>
                <w:highlight w:val="none"/>
                <w:u w:val="single"/>
              </w:rPr>
              <w:t>最大</w:t>
            </w:r>
            <w:r>
              <w:rPr>
                <w:rFonts w:hint="eastAsia" w:cs="Times New Roman"/>
                <w:color w:val="auto"/>
                <w:sz w:val="24"/>
                <w:szCs w:val="24"/>
                <w:highlight w:val="none"/>
                <w:u w:val="single"/>
                <w:lang w:eastAsia="zh-CN"/>
              </w:rPr>
              <w:t>落地</w:t>
            </w:r>
            <w:r>
              <w:rPr>
                <w:rFonts w:hint="default" w:ascii="Times New Roman" w:hAnsi="Times New Roman" w:eastAsia="宋体" w:cs="Times New Roman"/>
                <w:color w:val="auto"/>
                <w:sz w:val="24"/>
                <w:szCs w:val="24"/>
                <w:highlight w:val="none"/>
                <w:u w:val="single"/>
              </w:rPr>
              <w:t>浓度</w:t>
            </w:r>
            <w:r>
              <w:rPr>
                <w:rFonts w:hint="eastAsia" w:ascii="Times New Roman" w:hAnsi="Times New Roman" w:eastAsia="宋体" w:cs="Times New Roman"/>
                <w:color w:val="auto"/>
                <w:sz w:val="24"/>
                <w:szCs w:val="24"/>
                <w:highlight w:val="none"/>
                <w:u w:val="single"/>
                <w:lang w:eastAsia="zh-CN"/>
              </w:rPr>
              <w:t>占标率为</w:t>
            </w:r>
            <w:r>
              <w:rPr>
                <w:rFonts w:hint="eastAsia" w:ascii="Times New Roman" w:hAnsi="Times New Roman" w:eastAsia="宋体" w:cs="Times New Roman"/>
                <w:color w:val="auto"/>
                <w:sz w:val="24"/>
                <w:szCs w:val="24"/>
                <w:highlight w:val="none"/>
                <w:u w:val="single"/>
                <w:lang w:val="en-US" w:eastAsia="zh-CN"/>
              </w:rPr>
              <w:t>0.22%</w:t>
            </w:r>
            <w:r>
              <w:rPr>
                <w:rFonts w:hint="eastAsia" w:cs="Times New Roman"/>
                <w:color w:val="auto"/>
                <w:sz w:val="24"/>
                <w:szCs w:val="24"/>
                <w:highlight w:val="none"/>
                <w:u w:val="single"/>
                <w:lang w:eastAsia="zh-CN"/>
              </w:rPr>
              <w:t>；</w:t>
            </w:r>
            <w:r>
              <w:rPr>
                <w:rFonts w:hint="eastAsia" w:cs="Times New Roman"/>
                <w:b/>
                <w:bCs/>
                <w:color w:val="auto"/>
                <w:sz w:val="24"/>
                <w:szCs w:val="24"/>
                <w:highlight w:val="none"/>
                <w:u w:val="single"/>
                <w:lang w:eastAsia="zh-CN"/>
              </w:rPr>
              <w:t>氨气</w:t>
            </w:r>
            <w:r>
              <w:rPr>
                <w:rFonts w:hint="eastAsia" w:cs="Times New Roman"/>
                <w:color w:val="auto"/>
                <w:sz w:val="24"/>
                <w:szCs w:val="24"/>
                <w:highlight w:val="none"/>
                <w:u w:val="single"/>
                <w:lang w:val="en-US" w:eastAsia="zh-CN"/>
              </w:rPr>
              <w:t>1小时平均</w:t>
            </w:r>
            <w:r>
              <w:rPr>
                <w:rFonts w:hint="default" w:ascii="Times New Roman" w:hAnsi="Times New Roman" w:eastAsia="宋体" w:cs="Times New Roman"/>
                <w:color w:val="auto"/>
                <w:sz w:val="24"/>
                <w:szCs w:val="24"/>
                <w:highlight w:val="none"/>
                <w:u w:val="single"/>
              </w:rPr>
              <w:t>最大</w:t>
            </w:r>
            <w:r>
              <w:rPr>
                <w:rFonts w:hint="eastAsia" w:cs="Times New Roman"/>
                <w:color w:val="auto"/>
                <w:sz w:val="24"/>
                <w:szCs w:val="24"/>
                <w:highlight w:val="none"/>
                <w:u w:val="single"/>
                <w:lang w:eastAsia="zh-CN"/>
              </w:rPr>
              <w:t>落地</w:t>
            </w:r>
            <w:r>
              <w:rPr>
                <w:rFonts w:hint="default" w:ascii="Times New Roman" w:hAnsi="Times New Roman" w:eastAsia="宋体" w:cs="Times New Roman"/>
                <w:color w:val="auto"/>
                <w:sz w:val="24"/>
                <w:szCs w:val="24"/>
                <w:highlight w:val="none"/>
                <w:u w:val="single"/>
              </w:rPr>
              <w:t>浓度预测值为</w:t>
            </w:r>
            <w:r>
              <w:rPr>
                <w:rFonts w:hint="eastAsia" w:ascii="Times New Roman" w:hAnsi="Times New Roman" w:eastAsia="宋体" w:cs="Times New Roman"/>
                <w:color w:val="auto"/>
                <w:sz w:val="24"/>
                <w:szCs w:val="24"/>
                <w:highlight w:val="none"/>
                <w:u w:val="single"/>
                <w:lang w:val="en-US" w:eastAsia="zh-CN"/>
              </w:rPr>
              <w:t>0.00888</w:t>
            </w:r>
            <w:r>
              <w:rPr>
                <w:rFonts w:hint="eastAsia" w:eastAsia="宋体"/>
                <w:b w:val="0"/>
                <w:bCs w:val="0"/>
                <w:sz w:val="24"/>
                <w:szCs w:val="24"/>
                <w:u w:val="single"/>
                <w:lang w:val="en-US" w:eastAsia="zh-CN"/>
              </w:rPr>
              <w:t>m</w:t>
            </w:r>
            <w:r>
              <w:rPr>
                <w:rFonts w:hint="eastAsia"/>
                <w:b w:val="0"/>
                <w:bCs w:val="0"/>
                <w:sz w:val="24"/>
                <w:szCs w:val="24"/>
                <w:u w:val="single"/>
              </w:rPr>
              <w:t>g/m</w:t>
            </w:r>
            <w:r>
              <w:rPr>
                <w:rFonts w:hint="eastAsia"/>
                <w:b w:val="0"/>
                <w:bCs w:val="0"/>
                <w:sz w:val="24"/>
                <w:szCs w:val="24"/>
                <w:u w:val="single"/>
                <w:vertAlign w:val="superscript"/>
              </w:rPr>
              <w:t>3</w:t>
            </w:r>
            <w:r>
              <w:rPr>
                <w:rFonts w:hint="eastAsia" w:cs="Times New Roman"/>
                <w:color w:val="auto"/>
                <w:sz w:val="24"/>
                <w:szCs w:val="24"/>
                <w:highlight w:val="none"/>
                <w:u w:val="single"/>
                <w:vertAlign w:val="baseline"/>
                <w:lang w:eastAsia="zh-CN"/>
              </w:rPr>
              <w:t>，离源距离为</w:t>
            </w:r>
            <w:r>
              <w:rPr>
                <w:rFonts w:hint="eastAsia" w:cs="Times New Roman"/>
                <w:color w:val="auto"/>
                <w:sz w:val="24"/>
                <w:szCs w:val="24"/>
                <w:highlight w:val="none"/>
                <w:u w:val="single"/>
                <w:vertAlign w:val="baseline"/>
                <w:lang w:val="en-US" w:eastAsia="zh-CN"/>
              </w:rPr>
              <w:t>127米，</w:t>
            </w:r>
            <w:r>
              <w:rPr>
                <w:rFonts w:hint="default" w:ascii="Times New Roman" w:hAnsi="Times New Roman" w:eastAsia="宋体" w:cs="Times New Roman"/>
                <w:color w:val="auto"/>
                <w:sz w:val="24"/>
                <w:szCs w:val="24"/>
                <w:highlight w:val="none"/>
                <w:u w:val="single"/>
              </w:rPr>
              <w:t>小于</w:t>
            </w:r>
            <w:r>
              <w:rPr>
                <w:rFonts w:hint="eastAsia"/>
                <w:u w:val="single"/>
              </w:rPr>
              <w:t>《恶臭污染物排放标准》(GB14554-93)标准限值要求</w:t>
            </w:r>
            <w:r>
              <w:rPr>
                <w:rFonts w:hint="eastAsia"/>
                <w:u w:val="single"/>
                <w:lang w:eastAsia="zh-CN"/>
              </w:rPr>
              <w:t>，</w:t>
            </w:r>
            <w:r>
              <w:rPr>
                <w:rFonts w:hint="default" w:ascii="Times New Roman" w:hAnsi="Times New Roman" w:eastAsia="宋体" w:cs="Times New Roman"/>
                <w:color w:val="auto"/>
                <w:sz w:val="24"/>
                <w:szCs w:val="24"/>
                <w:highlight w:val="none"/>
                <w:u w:val="single"/>
              </w:rPr>
              <w:t>最大</w:t>
            </w:r>
            <w:r>
              <w:rPr>
                <w:rFonts w:hint="eastAsia" w:cs="Times New Roman"/>
                <w:color w:val="auto"/>
                <w:sz w:val="24"/>
                <w:szCs w:val="24"/>
                <w:highlight w:val="none"/>
                <w:u w:val="single"/>
                <w:lang w:eastAsia="zh-CN"/>
              </w:rPr>
              <w:t>落地</w:t>
            </w:r>
            <w:r>
              <w:rPr>
                <w:rFonts w:hint="default" w:ascii="Times New Roman" w:hAnsi="Times New Roman" w:eastAsia="宋体" w:cs="Times New Roman"/>
                <w:color w:val="auto"/>
                <w:sz w:val="24"/>
                <w:szCs w:val="24"/>
                <w:highlight w:val="none"/>
                <w:u w:val="single"/>
              </w:rPr>
              <w:t>浓度</w:t>
            </w:r>
            <w:r>
              <w:rPr>
                <w:rFonts w:hint="eastAsia" w:ascii="Times New Roman" w:hAnsi="Times New Roman" w:eastAsia="宋体" w:cs="Times New Roman"/>
                <w:color w:val="auto"/>
                <w:sz w:val="24"/>
                <w:szCs w:val="24"/>
                <w:highlight w:val="none"/>
                <w:u w:val="single"/>
                <w:lang w:eastAsia="zh-CN"/>
              </w:rPr>
              <w:t>占标率为</w:t>
            </w:r>
            <w:r>
              <w:rPr>
                <w:rFonts w:hint="eastAsia" w:ascii="Times New Roman" w:hAnsi="Times New Roman" w:eastAsia="宋体" w:cs="Times New Roman"/>
                <w:color w:val="auto"/>
                <w:sz w:val="24"/>
                <w:szCs w:val="24"/>
                <w:highlight w:val="none"/>
                <w:u w:val="single"/>
                <w:lang w:val="en-US" w:eastAsia="zh-CN"/>
              </w:rPr>
              <w:t>0.41%</w:t>
            </w:r>
            <w:r>
              <w:rPr>
                <w:rFonts w:hint="eastAsia" w:ascii="Times New Roman" w:hAnsi="Times New Roman" w:eastAsia="宋体" w:cs="Times New Roman"/>
                <w:color w:val="auto"/>
                <w:sz w:val="24"/>
                <w:szCs w:val="24"/>
                <w:highlight w:val="none"/>
                <w:u w:val="single"/>
                <w:lang w:eastAsia="zh-CN"/>
              </w:rPr>
              <w:t>；</w:t>
            </w:r>
            <w:r>
              <w:rPr>
                <w:rFonts w:hint="eastAsia" w:ascii="Times New Roman" w:hAnsi="Times New Roman" w:eastAsia="宋体" w:cs="Times New Roman"/>
                <w:b/>
                <w:bCs/>
                <w:color w:val="auto"/>
                <w:sz w:val="24"/>
                <w:szCs w:val="24"/>
                <w:highlight w:val="none"/>
                <w:u w:val="single"/>
                <w:lang w:eastAsia="zh-CN"/>
              </w:rPr>
              <w:t>硫化氢</w:t>
            </w:r>
            <w:r>
              <w:rPr>
                <w:rFonts w:hint="eastAsia" w:cs="Times New Roman"/>
                <w:color w:val="auto"/>
                <w:sz w:val="24"/>
                <w:szCs w:val="24"/>
                <w:highlight w:val="none"/>
                <w:u w:val="single"/>
                <w:lang w:val="en-US" w:eastAsia="zh-CN"/>
              </w:rPr>
              <w:t>1小时平均</w:t>
            </w:r>
            <w:r>
              <w:rPr>
                <w:rFonts w:hint="default" w:ascii="Times New Roman" w:hAnsi="Times New Roman" w:eastAsia="宋体" w:cs="Times New Roman"/>
                <w:color w:val="auto"/>
                <w:sz w:val="24"/>
                <w:szCs w:val="24"/>
                <w:highlight w:val="none"/>
                <w:u w:val="single"/>
              </w:rPr>
              <w:t>最大</w:t>
            </w:r>
            <w:r>
              <w:rPr>
                <w:rFonts w:hint="eastAsia" w:cs="Times New Roman"/>
                <w:color w:val="auto"/>
                <w:sz w:val="24"/>
                <w:szCs w:val="24"/>
                <w:highlight w:val="none"/>
                <w:u w:val="single"/>
                <w:lang w:eastAsia="zh-CN"/>
              </w:rPr>
              <w:t>落地</w:t>
            </w:r>
            <w:r>
              <w:rPr>
                <w:rFonts w:hint="default" w:ascii="Times New Roman" w:hAnsi="Times New Roman" w:eastAsia="宋体" w:cs="Times New Roman"/>
                <w:color w:val="auto"/>
                <w:sz w:val="24"/>
                <w:szCs w:val="24"/>
                <w:highlight w:val="none"/>
                <w:u w:val="single"/>
              </w:rPr>
              <w:t>浓度预测值为</w:t>
            </w:r>
            <w:r>
              <w:rPr>
                <w:rFonts w:hint="eastAsia" w:ascii="Times New Roman" w:hAnsi="Times New Roman" w:eastAsia="宋体" w:cs="Times New Roman"/>
                <w:color w:val="auto"/>
                <w:sz w:val="24"/>
                <w:szCs w:val="24"/>
                <w:highlight w:val="none"/>
                <w:u w:val="single"/>
                <w:lang w:val="en-US" w:eastAsia="zh-CN"/>
              </w:rPr>
              <w:t>0.0000493</w:t>
            </w:r>
            <w:r>
              <w:rPr>
                <w:rFonts w:hint="eastAsia" w:eastAsia="宋体"/>
                <w:b w:val="0"/>
                <w:bCs w:val="0"/>
                <w:sz w:val="24"/>
                <w:szCs w:val="24"/>
                <w:u w:val="single"/>
                <w:lang w:val="en-US" w:eastAsia="zh-CN"/>
              </w:rPr>
              <w:t>m</w:t>
            </w:r>
            <w:r>
              <w:rPr>
                <w:rFonts w:hint="eastAsia"/>
                <w:b w:val="0"/>
                <w:bCs w:val="0"/>
                <w:sz w:val="24"/>
                <w:szCs w:val="24"/>
                <w:u w:val="single"/>
              </w:rPr>
              <w:t>g/m</w:t>
            </w:r>
            <w:r>
              <w:rPr>
                <w:rFonts w:hint="eastAsia"/>
                <w:b w:val="0"/>
                <w:bCs w:val="0"/>
                <w:sz w:val="24"/>
                <w:szCs w:val="24"/>
                <w:u w:val="single"/>
                <w:vertAlign w:val="superscript"/>
              </w:rPr>
              <w:t>3</w:t>
            </w:r>
            <w:r>
              <w:rPr>
                <w:rFonts w:hint="eastAsia" w:cs="Times New Roman"/>
                <w:color w:val="auto"/>
                <w:sz w:val="24"/>
                <w:szCs w:val="24"/>
                <w:highlight w:val="none"/>
                <w:u w:val="single"/>
                <w:vertAlign w:val="baseline"/>
                <w:lang w:eastAsia="zh-CN"/>
              </w:rPr>
              <w:t>，离源距离为</w:t>
            </w:r>
            <w:r>
              <w:rPr>
                <w:rFonts w:hint="eastAsia" w:cs="Times New Roman"/>
                <w:color w:val="auto"/>
                <w:sz w:val="24"/>
                <w:szCs w:val="24"/>
                <w:highlight w:val="none"/>
                <w:u w:val="single"/>
                <w:vertAlign w:val="baseline"/>
                <w:lang w:val="en-US" w:eastAsia="zh-CN"/>
              </w:rPr>
              <w:t>127米，</w:t>
            </w:r>
            <w:r>
              <w:rPr>
                <w:rFonts w:hint="default" w:ascii="Times New Roman" w:hAnsi="Times New Roman" w:eastAsia="宋体" w:cs="Times New Roman"/>
                <w:color w:val="auto"/>
                <w:sz w:val="24"/>
                <w:szCs w:val="24"/>
                <w:highlight w:val="none"/>
                <w:u w:val="single"/>
              </w:rPr>
              <w:t>小于</w:t>
            </w:r>
            <w:r>
              <w:rPr>
                <w:rFonts w:hint="eastAsia"/>
                <w:u w:val="single"/>
              </w:rPr>
              <w:t>《恶臭污染物排放标准》(GB14554-93)标准限值要求</w:t>
            </w:r>
            <w:r>
              <w:rPr>
                <w:rFonts w:hint="eastAsia"/>
                <w:u w:val="single"/>
                <w:lang w:eastAsia="zh-CN"/>
              </w:rPr>
              <w:t>，</w:t>
            </w:r>
            <w:r>
              <w:rPr>
                <w:rFonts w:hint="default" w:ascii="Times New Roman" w:hAnsi="Times New Roman" w:eastAsia="宋体" w:cs="Times New Roman"/>
                <w:color w:val="auto"/>
                <w:sz w:val="24"/>
                <w:szCs w:val="24"/>
                <w:highlight w:val="none"/>
                <w:u w:val="single"/>
              </w:rPr>
              <w:t>最大</w:t>
            </w:r>
            <w:r>
              <w:rPr>
                <w:rFonts w:hint="eastAsia" w:cs="Times New Roman"/>
                <w:color w:val="auto"/>
                <w:sz w:val="24"/>
                <w:szCs w:val="24"/>
                <w:highlight w:val="none"/>
                <w:u w:val="single"/>
                <w:lang w:eastAsia="zh-CN"/>
              </w:rPr>
              <w:t>落地</w:t>
            </w:r>
            <w:r>
              <w:rPr>
                <w:rFonts w:hint="default" w:ascii="Times New Roman" w:hAnsi="Times New Roman" w:eastAsia="宋体" w:cs="Times New Roman"/>
                <w:color w:val="auto"/>
                <w:sz w:val="24"/>
                <w:szCs w:val="24"/>
                <w:highlight w:val="none"/>
                <w:u w:val="single"/>
              </w:rPr>
              <w:t>浓度</w:t>
            </w:r>
            <w:r>
              <w:rPr>
                <w:rFonts w:hint="eastAsia" w:ascii="Times New Roman" w:hAnsi="Times New Roman" w:eastAsia="宋体" w:cs="Times New Roman"/>
                <w:color w:val="auto"/>
                <w:sz w:val="24"/>
                <w:szCs w:val="24"/>
                <w:highlight w:val="none"/>
                <w:u w:val="single"/>
                <w:lang w:eastAsia="zh-CN"/>
              </w:rPr>
              <w:t>占标率为</w:t>
            </w:r>
            <w:r>
              <w:rPr>
                <w:rFonts w:hint="eastAsia" w:ascii="Times New Roman" w:hAnsi="Times New Roman" w:eastAsia="宋体" w:cs="Times New Roman"/>
                <w:color w:val="auto"/>
                <w:sz w:val="24"/>
                <w:szCs w:val="24"/>
                <w:highlight w:val="none"/>
                <w:u w:val="single"/>
                <w:lang w:val="en-US" w:eastAsia="zh-CN"/>
              </w:rPr>
              <w:t>0.08%</w:t>
            </w:r>
            <w:r>
              <w:rPr>
                <w:rFonts w:hint="eastAsia"/>
                <w:u w:val="single"/>
                <w:lang w:eastAsia="zh-CN"/>
              </w:rPr>
              <w:t>。</w:t>
            </w:r>
          </w:p>
          <w:p w14:paraId="1ADD1695">
            <w:pPr>
              <w:bidi w:val="0"/>
              <w:rPr>
                <w:rFonts w:hint="eastAsia"/>
                <w:b/>
                <w:bCs/>
                <w:u w:val="single"/>
                <w:lang w:val="en-US" w:eastAsia="zh-CN"/>
              </w:rPr>
            </w:pPr>
            <w:r>
              <w:rPr>
                <w:rFonts w:hint="eastAsia"/>
                <w:b/>
                <w:bCs/>
                <w:u w:val="single"/>
                <w:lang w:val="en-US" w:eastAsia="zh-CN"/>
              </w:rPr>
              <w:t>DA002：</w:t>
            </w:r>
          </w:p>
          <w:p w14:paraId="4D5F9592">
            <w:pPr>
              <w:bidi w:val="0"/>
              <w:rPr>
                <w:rFonts w:hint="eastAsia"/>
                <w:u w:val="single"/>
                <w:lang w:val="en-US" w:eastAsia="zh-CN"/>
              </w:rPr>
            </w:pPr>
            <w:r>
              <w:rPr>
                <w:rFonts w:hint="eastAsia"/>
                <w:b/>
                <w:bCs/>
                <w:u w:val="single"/>
                <w:lang w:val="en-US" w:eastAsia="zh-CN"/>
              </w:rPr>
              <w:t>非甲烷总烃</w:t>
            </w:r>
            <w:r>
              <w:rPr>
                <w:rFonts w:hint="eastAsia"/>
                <w:u w:val="single"/>
                <w:lang w:val="en-US" w:eastAsia="zh-CN"/>
              </w:rPr>
              <w:t>1小时平均</w:t>
            </w:r>
            <w:r>
              <w:rPr>
                <w:rFonts w:hint="default"/>
                <w:u w:val="single"/>
                <w:lang w:val="en-US" w:eastAsia="zh-CN"/>
              </w:rPr>
              <w:t>最大</w:t>
            </w:r>
            <w:r>
              <w:rPr>
                <w:rFonts w:hint="eastAsia"/>
                <w:u w:val="single"/>
                <w:lang w:val="en-US" w:eastAsia="zh-CN"/>
              </w:rPr>
              <w:t>落地</w:t>
            </w:r>
            <w:r>
              <w:rPr>
                <w:rFonts w:hint="default"/>
                <w:u w:val="single"/>
                <w:lang w:val="en-US" w:eastAsia="zh-CN"/>
              </w:rPr>
              <w:t>浓度预测值为</w:t>
            </w:r>
            <w:r>
              <w:rPr>
                <w:rFonts w:hint="eastAsia"/>
                <w:u w:val="single"/>
                <w:lang w:val="en-US" w:eastAsia="zh-CN"/>
              </w:rPr>
              <w:t>0.000572mg/m</w:t>
            </w:r>
            <w:r>
              <w:rPr>
                <w:rFonts w:hint="eastAsia"/>
                <w:u w:val="single"/>
                <w:vertAlign w:val="superscript"/>
                <w:lang w:val="en-US" w:eastAsia="zh-CN"/>
              </w:rPr>
              <w:t>3</w:t>
            </w:r>
            <w:r>
              <w:rPr>
                <w:rFonts w:hint="eastAsia"/>
                <w:u w:val="single"/>
                <w:lang w:val="en-US" w:eastAsia="zh-CN"/>
              </w:rPr>
              <w:t>，离源距离为211米，</w:t>
            </w:r>
            <w:r>
              <w:rPr>
                <w:rFonts w:hint="default"/>
                <w:u w:val="single"/>
                <w:lang w:val="en-US" w:eastAsia="zh-CN"/>
              </w:rPr>
              <w:t>小于</w:t>
            </w:r>
            <w:r>
              <w:rPr>
                <w:rFonts w:hint="eastAsia"/>
                <w:u w:val="single"/>
                <w:lang w:val="en-US" w:eastAsia="zh-CN"/>
              </w:rPr>
              <w:t>《大气污染物综合排放标准》(GB16297-1996)中表2标准限值要求，</w:t>
            </w:r>
            <w:r>
              <w:rPr>
                <w:rFonts w:hint="default" w:ascii="Times New Roman" w:hAnsi="Times New Roman" w:eastAsia="宋体" w:cs="Times New Roman"/>
                <w:color w:val="auto"/>
                <w:sz w:val="24"/>
                <w:szCs w:val="24"/>
                <w:highlight w:val="none"/>
                <w:u w:val="single"/>
              </w:rPr>
              <w:t>最大</w:t>
            </w:r>
            <w:r>
              <w:rPr>
                <w:rFonts w:hint="eastAsia" w:cs="Times New Roman"/>
                <w:color w:val="auto"/>
                <w:sz w:val="24"/>
                <w:szCs w:val="24"/>
                <w:highlight w:val="none"/>
                <w:u w:val="single"/>
                <w:lang w:eastAsia="zh-CN"/>
              </w:rPr>
              <w:t>落地</w:t>
            </w:r>
            <w:r>
              <w:rPr>
                <w:rFonts w:hint="default" w:ascii="Times New Roman" w:hAnsi="Times New Roman" w:eastAsia="宋体" w:cs="Times New Roman"/>
                <w:color w:val="auto"/>
                <w:sz w:val="24"/>
                <w:szCs w:val="24"/>
                <w:highlight w:val="none"/>
                <w:u w:val="single"/>
              </w:rPr>
              <w:t>浓度</w:t>
            </w:r>
            <w:r>
              <w:rPr>
                <w:rFonts w:hint="eastAsia" w:ascii="Times New Roman" w:hAnsi="Times New Roman" w:eastAsia="宋体" w:cs="Times New Roman"/>
                <w:color w:val="auto"/>
                <w:sz w:val="24"/>
                <w:szCs w:val="24"/>
                <w:highlight w:val="none"/>
                <w:u w:val="single"/>
                <w:lang w:eastAsia="zh-CN"/>
              </w:rPr>
              <w:t>占标率约为</w:t>
            </w:r>
            <w:r>
              <w:rPr>
                <w:rFonts w:hint="eastAsia" w:ascii="Times New Roman" w:hAnsi="Times New Roman" w:eastAsia="宋体" w:cs="Times New Roman"/>
                <w:color w:val="auto"/>
                <w:sz w:val="24"/>
                <w:szCs w:val="24"/>
                <w:highlight w:val="none"/>
                <w:u w:val="single"/>
                <w:lang w:val="en-US" w:eastAsia="zh-CN"/>
              </w:rPr>
              <w:t>0.0005%</w:t>
            </w:r>
            <w:r>
              <w:rPr>
                <w:rFonts w:hint="eastAsia"/>
                <w:u w:val="single"/>
                <w:lang w:val="en-US" w:eastAsia="zh-CN"/>
              </w:rPr>
              <w:t>；</w:t>
            </w:r>
            <w:r>
              <w:rPr>
                <w:rFonts w:hint="eastAsia"/>
                <w:b/>
                <w:bCs/>
                <w:u w:val="single"/>
                <w:lang w:val="en-US" w:eastAsia="zh-CN"/>
              </w:rPr>
              <w:t>氨气</w:t>
            </w:r>
            <w:r>
              <w:rPr>
                <w:rFonts w:hint="eastAsia"/>
                <w:u w:val="single"/>
                <w:lang w:val="en-US" w:eastAsia="zh-CN"/>
              </w:rPr>
              <w:t>1小时平均</w:t>
            </w:r>
            <w:r>
              <w:rPr>
                <w:rFonts w:hint="default"/>
                <w:u w:val="single"/>
                <w:lang w:val="en-US" w:eastAsia="zh-CN"/>
              </w:rPr>
              <w:t>最大</w:t>
            </w:r>
            <w:r>
              <w:rPr>
                <w:rFonts w:hint="eastAsia"/>
                <w:u w:val="single"/>
                <w:lang w:val="en-US" w:eastAsia="zh-CN"/>
              </w:rPr>
              <w:t>落地</w:t>
            </w:r>
            <w:r>
              <w:rPr>
                <w:rFonts w:hint="default"/>
                <w:u w:val="single"/>
                <w:lang w:val="en-US" w:eastAsia="zh-CN"/>
              </w:rPr>
              <w:t>浓度预测值为</w:t>
            </w:r>
            <w:r>
              <w:rPr>
                <w:rFonts w:hint="eastAsia"/>
                <w:u w:val="single"/>
                <w:lang w:val="en-US" w:eastAsia="zh-CN"/>
              </w:rPr>
              <w:t>0.000686mg/m</w:t>
            </w:r>
            <w:r>
              <w:rPr>
                <w:rFonts w:hint="eastAsia"/>
                <w:u w:val="single"/>
                <w:vertAlign w:val="superscript"/>
                <w:lang w:val="en-US" w:eastAsia="zh-CN"/>
              </w:rPr>
              <w:t>3</w:t>
            </w:r>
            <w:r>
              <w:rPr>
                <w:rFonts w:hint="eastAsia"/>
                <w:u w:val="single"/>
                <w:lang w:val="en-US" w:eastAsia="zh-CN"/>
              </w:rPr>
              <w:t>，离源距离为211米，</w:t>
            </w:r>
            <w:r>
              <w:rPr>
                <w:rFonts w:hint="default"/>
                <w:u w:val="single"/>
                <w:lang w:val="en-US" w:eastAsia="zh-CN"/>
              </w:rPr>
              <w:t>小于</w:t>
            </w:r>
            <w:r>
              <w:rPr>
                <w:rFonts w:hint="eastAsia"/>
                <w:u w:val="single"/>
                <w:lang w:val="en-US" w:eastAsia="zh-CN"/>
              </w:rPr>
              <w:t>《恶臭污染物排放标准》(GB14554-93)标准限值要求，</w:t>
            </w:r>
            <w:r>
              <w:rPr>
                <w:rFonts w:hint="default" w:ascii="Times New Roman" w:hAnsi="Times New Roman" w:eastAsia="宋体" w:cs="Times New Roman"/>
                <w:color w:val="auto"/>
                <w:sz w:val="24"/>
                <w:szCs w:val="24"/>
                <w:highlight w:val="none"/>
                <w:u w:val="single"/>
              </w:rPr>
              <w:t>最大</w:t>
            </w:r>
            <w:r>
              <w:rPr>
                <w:rFonts w:hint="eastAsia" w:cs="Times New Roman"/>
                <w:color w:val="auto"/>
                <w:sz w:val="24"/>
                <w:szCs w:val="24"/>
                <w:highlight w:val="none"/>
                <w:u w:val="single"/>
                <w:lang w:eastAsia="zh-CN"/>
              </w:rPr>
              <w:t>落地</w:t>
            </w:r>
            <w:r>
              <w:rPr>
                <w:rFonts w:hint="default" w:ascii="Times New Roman" w:hAnsi="Times New Roman" w:eastAsia="宋体" w:cs="Times New Roman"/>
                <w:color w:val="auto"/>
                <w:sz w:val="24"/>
                <w:szCs w:val="24"/>
                <w:highlight w:val="none"/>
                <w:u w:val="single"/>
              </w:rPr>
              <w:t>浓度</w:t>
            </w:r>
            <w:r>
              <w:rPr>
                <w:rFonts w:hint="eastAsia" w:ascii="Times New Roman" w:hAnsi="Times New Roman" w:eastAsia="宋体" w:cs="Times New Roman"/>
                <w:color w:val="auto"/>
                <w:sz w:val="24"/>
                <w:szCs w:val="24"/>
                <w:highlight w:val="none"/>
                <w:u w:val="single"/>
                <w:lang w:eastAsia="zh-CN"/>
              </w:rPr>
              <w:t>占标率约为</w:t>
            </w:r>
            <w:r>
              <w:rPr>
                <w:rFonts w:hint="eastAsia" w:ascii="Times New Roman" w:hAnsi="Times New Roman" w:eastAsia="宋体" w:cs="Times New Roman"/>
                <w:color w:val="auto"/>
                <w:sz w:val="24"/>
                <w:szCs w:val="24"/>
                <w:highlight w:val="none"/>
                <w:u w:val="single"/>
                <w:lang w:val="en-US" w:eastAsia="zh-CN"/>
              </w:rPr>
              <w:t>0.05%</w:t>
            </w:r>
            <w:r>
              <w:rPr>
                <w:rFonts w:hint="eastAsia"/>
                <w:u w:val="single"/>
                <w:lang w:val="en-US" w:eastAsia="zh-CN"/>
              </w:rPr>
              <w:t>；</w:t>
            </w:r>
            <w:r>
              <w:rPr>
                <w:rFonts w:hint="eastAsia"/>
                <w:b/>
                <w:bCs/>
                <w:u w:val="single"/>
                <w:lang w:val="en-US" w:eastAsia="zh-CN"/>
              </w:rPr>
              <w:t>硫化氢</w:t>
            </w:r>
            <w:r>
              <w:rPr>
                <w:rFonts w:hint="eastAsia"/>
                <w:u w:val="single"/>
                <w:lang w:val="en-US" w:eastAsia="zh-CN"/>
              </w:rPr>
              <w:t>1小时平均</w:t>
            </w:r>
            <w:r>
              <w:rPr>
                <w:rFonts w:hint="default"/>
                <w:u w:val="single"/>
                <w:lang w:val="en-US" w:eastAsia="zh-CN"/>
              </w:rPr>
              <w:t>最大</w:t>
            </w:r>
            <w:r>
              <w:rPr>
                <w:rFonts w:hint="eastAsia"/>
                <w:u w:val="single"/>
                <w:lang w:val="en-US" w:eastAsia="zh-CN"/>
              </w:rPr>
              <w:t>落地</w:t>
            </w:r>
            <w:r>
              <w:rPr>
                <w:rFonts w:hint="default"/>
                <w:u w:val="single"/>
                <w:lang w:val="en-US" w:eastAsia="zh-CN"/>
              </w:rPr>
              <w:t>浓度预测值为</w:t>
            </w:r>
            <w:r>
              <w:rPr>
                <w:rFonts w:hint="eastAsia"/>
                <w:u w:val="single"/>
                <w:lang w:val="en-US" w:eastAsia="zh-CN"/>
              </w:rPr>
              <w:t>0.0000143mg/m</w:t>
            </w:r>
            <w:r>
              <w:rPr>
                <w:rFonts w:hint="eastAsia"/>
                <w:u w:val="single"/>
                <w:vertAlign w:val="superscript"/>
                <w:lang w:val="en-US" w:eastAsia="zh-CN"/>
              </w:rPr>
              <w:t>3</w:t>
            </w:r>
            <w:r>
              <w:rPr>
                <w:rFonts w:hint="eastAsia"/>
                <w:u w:val="single"/>
                <w:lang w:val="en-US" w:eastAsia="zh-CN"/>
              </w:rPr>
              <w:t>，离源距离为211米，</w:t>
            </w:r>
            <w:r>
              <w:rPr>
                <w:rFonts w:hint="default"/>
                <w:u w:val="single"/>
                <w:lang w:val="en-US" w:eastAsia="zh-CN"/>
              </w:rPr>
              <w:t>小于</w:t>
            </w:r>
            <w:r>
              <w:rPr>
                <w:rFonts w:hint="eastAsia"/>
                <w:u w:val="single"/>
                <w:lang w:val="en-US" w:eastAsia="zh-CN"/>
              </w:rPr>
              <w:t>《恶臭污染物排放标准》(GB14554-93)标准限值要求，</w:t>
            </w:r>
            <w:r>
              <w:rPr>
                <w:rFonts w:hint="default" w:ascii="Times New Roman" w:hAnsi="Times New Roman" w:eastAsia="宋体" w:cs="Times New Roman"/>
                <w:color w:val="auto"/>
                <w:sz w:val="24"/>
                <w:szCs w:val="24"/>
                <w:highlight w:val="none"/>
                <w:u w:val="single"/>
              </w:rPr>
              <w:t>最大</w:t>
            </w:r>
            <w:r>
              <w:rPr>
                <w:rFonts w:hint="eastAsia" w:cs="Times New Roman"/>
                <w:color w:val="auto"/>
                <w:sz w:val="24"/>
                <w:szCs w:val="24"/>
                <w:highlight w:val="none"/>
                <w:u w:val="single"/>
                <w:lang w:eastAsia="zh-CN"/>
              </w:rPr>
              <w:t>落地</w:t>
            </w:r>
            <w:r>
              <w:rPr>
                <w:rFonts w:hint="default" w:ascii="Times New Roman" w:hAnsi="Times New Roman" w:eastAsia="宋体" w:cs="Times New Roman"/>
                <w:color w:val="auto"/>
                <w:sz w:val="24"/>
                <w:szCs w:val="24"/>
                <w:highlight w:val="none"/>
                <w:u w:val="single"/>
              </w:rPr>
              <w:t>浓度</w:t>
            </w:r>
            <w:r>
              <w:rPr>
                <w:rFonts w:hint="eastAsia" w:ascii="Times New Roman" w:hAnsi="Times New Roman" w:eastAsia="宋体" w:cs="Times New Roman"/>
                <w:color w:val="auto"/>
                <w:sz w:val="24"/>
                <w:szCs w:val="24"/>
                <w:highlight w:val="none"/>
                <w:u w:val="single"/>
                <w:lang w:eastAsia="zh-CN"/>
              </w:rPr>
              <w:t>占标率约为</w:t>
            </w:r>
            <w:r>
              <w:rPr>
                <w:rFonts w:hint="eastAsia" w:ascii="Times New Roman" w:hAnsi="Times New Roman" w:eastAsia="宋体" w:cs="Times New Roman"/>
                <w:color w:val="auto"/>
                <w:sz w:val="24"/>
                <w:szCs w:val="24"/>
                <w:highlight w:val="none"/>
                <w:u w:val="single"/>
                <w:lang w:val="en-US" w:eastAsia="zh-CN"/>
              </w:rPr>
              <w:t>0.02%</w:t>
            </w:r>
            <w:r>
              <w:rPr>
                <w:rFonts w:hint="eastAsia"/>
                <w:u w:val="single"/>
                <w:lang w:val="en-US" w:eastAsia="zh-CN"/>
              </w:rPr>
              <w:t>。</w:t>
            </w:r>
          </w:p>
          <w:p w14:paraId="7C56BD09">
            <w:pPr>
              <w:bidi w:val="0"/>
              <w:ind w:left="0" w:leftChars="0" w:firstLine="480" w:firstLineChars="200"/>
              <w:rPr>
                <w:rFonts w:hint="eastAsia" w:ascii="Times New Roman" w:hAnsi="Times New Roman" w:eastAsia="宋体" w:cs="Times New Roman"/>
                <w:b/>
                <w:bCs/>
                <w:color w:val="auto"/>
                <w:sz w:val="24"/>
                <w:szCs w:val="24"/>
                <w:highlight w:val="none"/>
                <w:u w:val="single"/>
                <w:lang w:eastAsia="zh-CN"/>
              </w:rPr>
            </w:pPr>
            <w:r>
              <w:rPr>
                <w:rFonts w:hint="default" w:ascii="Times New Roman" w:hAnsi="Times New Roman" w:eastAsia="宋体" w:cs="Times New Roman"/>
                <w:b/>
                <w:bCs/>
                <w:color w:val="auto"/>
                <w:sz w:val="24"/>
                <w:szCs w:val="24"/>
                <w:highlight w:val="none"/>
                <w:u w:val="single"/>
              </w:rPr>
              <w:t>无组织</w:t>
            </w:r>
            <w:r>
              <w:rPr>
                <w:rFonts w:hint="eastAsia" w:ascii="Times New Roman" w:hAnsi="Times New Roman" w:eastAsia="宋体" w:cs="Times New Roman"/>
                <w:b/>
                <w:bCs/>
                <w:color w:val="auto"/>
                <w:sz w:val="24"/>
                <w:szCs w:val="24"/>
                <w:highlight w:val="none"/>
                <w:u w:val="single"/>
                <w:lang w:eastAsia="zh-CN"/>
              </w:rPr>
              <w:t>：</w:t>
            </w:r>
          </w:p>
          <w:p w14:paraId="69097266">
            <w:pPr>
              <w:bidi w:val="0"/>
              <w:ind w:left="0" w:leftChars="0" w:firstLine="480" w:firstLineChars="200"/>
              <w:rPr>
                <w:rFonts w:hint="eastAsia"/>
                <w:u w:val="single"/>
                <w:lang w:val="en-US" w:eastAsia="zh-CN"/>
              </w:rPr>
            </w:pPr>
            <w:r>
              <w:rPr>
                <w:rFonts w:hint="eastAsia" w:cs="Times New Roman"/>
                <w:b/>
                <w:bCs/>
                <w:color w:val="auto"/>
                <w:sz w:val="24"/>
                <w:szCs w:val="24"/>
                <w:highlight w:val="none"/>
                <w:u w:val="single"/>
                <w:lang w:eastAsia="zh-CN"/>
              </w:rPr>
              <w:t>非甲烷总烃</w:t>
            </w:r>
            <w:r>
              <w:rPr>
                <w:rFonts w:hint="eastAsia" w:cs="Times New Roman"/>
                <w:color w:val="auto"/>
                <w:sz w:val="24"/>
                <w:szCs w:val="24"/>
                <w:highlight w:val="none"/>
                <w:u w:val="single"/>
                <w:lang w:val="en-US" w:eastAsia="zh-CN"/>
              </w:rPr>
              <w:t>1小时平均</w:t>
            </w:r>
            <w:r>
              <w:rPr>
                <w:rFonts w:hint="default" w:ascii="Times New Roman" w:hAnsi="Times New Roman" w:eastAsia="宋体" w:cs="Times New Roman"/>
                <w:color w:val="auto"/>
                <w:sz w:val="24"/>
                <w:szCs w:val="24"/>
                <w:highlight w:val="none"/>
                <w:u w:val="single"/>
              </w:rPr>
              <w:t>最大</w:t>
            </w:r>
            <w:r>
              <w:rPr>
                <w:rFonts w:hint="eastAsia" w:cs="Times New Roman"/>
                <w:color w:val="auto"/>
                <w:sz w:val="24"/>
                <w:szCs w:val="24"/>
                <w:highlight w:val="none"/>
                <w:u w:val="single"/>
                <w:lang w:eastAsia="zh-CN"/>
              </w:rPr>
              <w:t>落地</w:t>
            </w:r>
            <w:r>
              <w:rPr>
                <w:rFonts w:hint="default" w:ascii="Times New Roman" w:hAnsi="Times New Roman" w:eastAsia="宋体" w:cs="Times New Roman"/>
                <w:color w:val="auto"/>
                <w:sz w:val="24"/>
                <w:szCs w:val="24"/>
                <w:highlight w:val="none"/>
                <w:u w:val="single"/>
              </w:rPr>
              <w:t>浓度预测值为</w:t>
            </w:r>
            <w:r>
              <w:rPr>
                <w:rFonts w:hint="eastAsia" w:cs="Times New Roman"/>
                <w:color w:val="auto"/>
                <w:sz w:val="24"/>
                <w:szCs w:val="24"/>
                <w:highlight w:val="none"/>
                <w:u w:val="single"/>
                <w:lang w:val="en-US" w:eastAsia="zh-CN"/>
              </w:rPr>
              <w:t>0.0178m</w:t>
            </w:r>
            <w:r>
              <w:rPr>
                <w:rFonts w:hint="default" w:ascii="Times New Roman" w:hAnsi="Times New Roman" w:eastAsia="宋体" w:cs="Times New Roman"/>
                <w:color w:val="auto"/>
                <w:sz w:val="24"/>
                <w:szCs w:val="24"/>
                <w:highlight w:val="none"/>
                <w:u w:val="single"/>
              </w:rPr>
              <w:t>g/m</w:t>
            </w:r>
            <w:r>
              <w:rPr>
                <w:rFonts w:hint="default" w:ascii="Times New Roman" w:hAnsi="Times New Roman" w:eastAsia="宋体" w:cs="Times New Roman"/>
                <w:color w:val="auto"/>
                <w:sz w:val="24"/>
                <w:szCs w:val="24"/>
                <w:highlight w:val="none"/>
                <w:u w:val="single"/>
                <w:vertAlign w:val="superscript"/>
              </w:rPr>
              <w:t>3</w:t>
            </w:r>
            <w:r>
              <w:rPr>
                <w:rFonts w:hint="eastAsia" w:cs="Times New Roman"/>
                <w:color w:val="auto"/>
                <w:sz w:val="24"/>
                <w:szCs w:val="24"/>
                <w:highlight w:val="none"/>
                <w:u w:val="single"/>
                <w:vertAlign w:val="baseline"/>
                <w:lang w:eastAsia="zh-CN"/>
              </w:rPr>
              <w:t>，离源距离为</w:t>
            </w:r>
            <w:r>
              <w:rPr>
                <w:rFonts w:hint="eastAsia" w:cs="Times New Roman"/>
                <w:color w:val="auto"/>
                <w:sz w:val="24"/>
                <w:szCs w:val="24"/>
                <w:highlight w:val="none"/>
                <w:u w:val="single"/>
                <w:vertAlign w:val="baseline"/>
                <w:lang w:val="en-US" w:eastAsia="zh-CN"/>
              </w:rPr>
              <w:t>28米，</w:t>
            </w:r>
            <w:r>
              <w:rPr>
                <w:rFonts w:hint="default" w:ascii="Times New Roman" w:hAnsi="Times New Roman" w:eastAsia="宋体" w:cs="Times New Roman"/>
                <w:color w:val="auto"/>
                <w:sz w:val="24"/>
                <w:szCs w:val="24"/>
                <w:highlight w:val="none"/>
                <w:u w:val="single"/>
              </w:rPr>
              <w:t>小于《大气污染物综合排放标准》（GB16297-1996）中无组织排放限值</w:t>
            </w:r>
            <w:r>
              <w:rPr>
                <w:rFonts w:hint="eastAsia" w:ascii="Times New Roman" w:hAnsi="Times New Roman" w:eastAsia="宋体"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u w:val="single"/>
              </w:rPr>
              <w:t>最大</w:t>
            </w:r>
            <w:r>
              <w:rPr>
                <w:rFonts w:hint="eastAsia" w:cs="Times New Roman"/>
                <w:color w:val="auto"/>
                <w:sz w:val="24"/>
                <w:szCs w:val="24"/>
                <w:highlight w:val="none"/>
                <w:u w:val="single"/>
                <w:lang w:eastAsia="zh-CN"/>
              </w:rPr>
              <w:t>落地</w:t>
            </w:r>
            <w:r>
              <w:rPr>
                <w:rFonts w:hint="default" w:ascii="Times New Roman" w:hAnsi="Times New Roman" w:eastAsia="宋体" w:cs="Times New Roman"/>
                <w:color w:val="auto"/>
                <w:sz w:val="24"/>
                <w:szCs w:val="24"/>
                <w:highlight w:val="none"/>
                <w:u w:val="single"/>
              </w:rPr>
              <w:t>浓度</w:t>
            </w:r>
            <w:r>
              <w:rPr>
                <w:rFonts w:hint="eastAsia" w:ascii="Times New Roman" w:hAnsi="Times New Roman" w:eastAsia="宋体" w:cs="Times New Roman"/>
                <w:color w:val="auto"/>
                <w:sz w:val="24"/>
                <w:szCs w:val="24"/>
                <w:highlight w:val="none"/>
                <w:u w:val="single"/>
                <w:lang w:eastAsia="zh-CN"/>
              </w:rPr>
              <w:t>占标率约为</w:t>
            </w:r>
            <w:r>
              <w:rPr>
                <w:rFonts w:hint="eastAsia" w:ascii="Times New Roman" w:hAnsi="Times New Roman" w:eastAsia="宋体" w:cs="Times New Roman"/>
                <w:color w:val="auto"/>
                <w:sz w:val="24"/>
                <w:szCs w:val="24"/>
                <w:highlight w:val="none"/>
                <w:u w:val="single"/>
                <w:lang w:val="en-US" w:eastAsia="zh-CN"/>
              </w:rPr>
              <w:t>0.3%</w:t>
            </w:r>
            <w:r>
              <w:rPr>
                <w:rFonts w:hint="eastAsia" w:ascii="Times New Roman" w:hAnsi="Times New Roman" w:eastAsia="宋体" w:cs="Times New Roman"/>
                <w:color w:val="auto"/>
                <w:sz w:val="24"/>
                <w:szCs w:val="24"/>
                <w:highlight w:val="none"/>
                <w:u w:val="single"/>
                <w:lang w:eastAsia="zh-CN"/>
              </w:rPr>
              <w:t>；</w:t>
            </w:r>
            <w:r>
              <w:rPr>
                <w:rFonts w:hint="eastAsia" w:cs="Times New Roman"/>
                <w:b/>
                <w:bCs/>
                <w:color w:val="auto"/>
                <w:sz w:val="24"/>
                <w:szCs w:val="24"/>
                <w:highlight w:val="none"/>
                <w:u w:val="single"/>
                <w:lang w:eastAsia="zh-CN"/>
              </w:rPr>
              <w:t>氨气</w:t>
            </w:r>
            <w:r>
              <w:rPr>
                <w:rFonts w:hint="eastAsia" w:cs="Times New Roman"/>
                <w:color w:val="auto"/>
                <w:sz w:val="24"/>
                <w:szCs w:val="24"/>
                <w:highlight w:val="none"/>
                <w:u w:val="single"/>
                <w:lang w:val="en-US" w:eastAsia="zh-CN"/>
              </w:rPr>
              <w:t>1小时平均</w:t>
            </w:r>
            <w:r>
              <w:rPr>
                <w:rFonts w:hint="default" w:ascii="Times New Roman" w:hAnsi="Times New Roman" w:eastAsia="宋体" w:cs="Times New Roman"/>
                <w:color w:val="auto"/>
                <w:sz w:val="24"/>
                <w:szCs w:val="24"/>
                <w:highlight w:val="none"/>
                <w:u w:val="single"/>
              </w:rPr>
              <w:t>最大</w:t>
            </w:r>
            <w:r>
              <w:rPr>
                <w:rFonts w:hint="eastAsia" w:cs="Times New Roman"/>
                <w:color w:val="auto"/>
                <w:sz w:val="24"/>
                <w:szCs w:val="24"/>
                <w:highlight w:val="none"/>
                <w:u w:val="single"/>
                <w:lang w:eastAsia="zh-CN"/>
              </w:rPr>
              <w:t>落地</w:t>
            </w:r>
            <w:r>
              <w:rPr>
                <w:rFonts w:hint="default" w:ascii="Times New Roman" w:hAnsi="Times New Roman" w:eastAsia="宋体" w:cs="Times New Roman"/>
                <w:color w:val="auto"/>
                <w:sz w:val="24"/>
                <w:szCs w:val="24"/>
                <w:highlight w:val="none"/>
                <w:u w:val="single"/>
              </w:rPr>
              <w:t>浓度预测值为</w:t>
            </w:r>
            <w:r>
              <w:rPr>
                <w:rFonts w:hint="eastAsia" w:cs="Times New Roman"/>
                <w:color w:val="auto"/>
                <w:sz w:val="24"/>
                <w:szCs w:val="24"/>
                <w:highlight w:val="none"/>
                <w:u w:val="single"/>
                <w:lang w:val="en-US" w:eastAsia="zh-CN"/>
              </w:rPr>
              <w:t>0.0222m</w:t>
            </w:r>
            <w:r>
              <w:rPr>
                <w:rFonts w:hint="default" w:ascii="Times New Roman" w:hAnsi="Times New Roman" w:eastAsia="宋体" w:cs="Times New Roman"/>
                <w:color w:val="auto"/>
                <w:sz w:val="24"/>
                <w:szCs w:val="24"/>
                <w:highlight w:val="none"/>
                <w:u w:val="single"/>
              </w:rPr>
              <w:t>g/m</w:t>
            </w:r>
            <w:r>
              <w:rPr>
                <w:rFonts w:hint="default" w:ascii="Times New Roman" w:hAnsi="Times New Roman" w:eastAsia="宋体" w:cs="Times New Roman"/>
                <w:color w:val="auto"/>
                <w:sz w:val="24"/>
                <w:szCs w:val="24"/>
                <w:highlight w:val="none"/>
                <w:u w:val="single"/>
                <w:vertAlign w:val="superscript"/>
              </w:rPr>
              <w:t>3</w:t>
            </w:r>
            <w:r>
              <w:rPr>
                <w:rFonts w:hint="eastAsia" w:cs="Times New Roman"/>
                <w:color w:val="auto"/>
                <w:sz w:val="24"/>
                <w:szCs w:val="24"/>
                <w:highlight w:val="none"/>
                <w:u w:val="single"/>
                <w:vertAlign w:val="baseline"/>
                <w:lang w:eastAsia="zh-CN"/>
              </w:rPr>
              <w:t>，离源距离为</w:t>
            </w:r>
            <w:r>
              <w:rPr>
                <w:rFonts w:hint="eastAsia" w:cs="Times New Roman"/>
                <w:color w:val="auto"/>
                <w:sz w:val="24"/>
                <w:szCs w:val="24"/>
                <w:highlight w:val="none"/>
                <w:u w:val="single"/>
                <w:vertAlign w:val="baseline"/>
                <w:lang w:val="en-US" w:eastAsia="zh-CN"/>
              </w:rPr>
              <w:t>28米，</w:t>
            </w:r>
            <w:r>
              <w:rPr>
                <w:rFonts w:hint="default" w:ascii="Times New Roman" w:hAnsi="Times New Roman" w:eastAsia="宋体" w:cs="Times New Roman"/>
                <w:color w:val="auto"/>
                <w:sz w:val="24"/>
                <w:szCs w:val="24"/>
                <w:highlight w:val="none"/>
                <w:u w:val="single"/>
              </w:rPr>
              <w:t>小于</w:t>
            </w:r>
            <w:r>
              <w:rPr>
                <w:rFonts w:hint="eastAsia"/>
                <w:u w:val="single"/>
                <w:lang w:val="en-US" w:eastAsia="zh-CN"/>
              </w:rPr>
              <w:t>《恶臭污染物排放标准》(GB14554-93)标准限值要求，</w:t>
            </w:r>
            <w:r>
              <w:rPr>
                <w:rFonts w:hint="default" w:ascii="Times New Roman" w:hAnsi="Times New Roman" w:eastAsia="宋体" w:cs="Times New Roman"/>
                <w:color w:val="auto"/>
                <w:sz w:val="24"/>
                <w:szCs w:val="24"/>
                <w:highlight w:val="none"/>
                <w:u w:val="single"/>
              </w:rPr>
              <w:t>最大</w:t>
            </w:r>
            <w:r>
              <w:rPr>
                <w:rFonts w:hint="eastAsia" w:cs="Times New Roman"/>
                <w:color w:val="auto"/>
                <w:sz w:val="24"/>
                <w:szCs w:val="24"/>
                <w:highlight w:val="none"/>
                <w:u w:val="single"/>
                <w:lang w:eastAsia="zh-CN"/>
              </w:rPr>
              <w:t>落地</w:t>
            </w:r>
            <w:r>
              <w:rPr>
                <w:rFonts w:hint="default" w:ascii="Times New Roman" w:hAnsi="Times New Roman" w:eastAsia="宋体" w:cs="Times New Roman"/>
                <w:color w:val="auto"/>
                <w:sz w:val="24"/>
                <w:szCs w:val="24"/>
                <w:highlight w:val="none"/>
                <w:u w:val="single"/>
              </w:rPr>
              <w:t>浓度</w:t>
            </w:r>
            <w:r>
              <w:rPr>
                <w:rFonts w:hint="eastAsia" w:ascii="Times New Roman" w:hAnsi="Times New Roman" w:eastAsia="宋体" w:cs="Times New Roman"/>
                <w:color w:val="auto"/>
                <w:sz w:val="24"/>
                <w:szCs w:val="24"/>
                <w:highlight w:val="none"/>
                <w:u w:val="single"/>
                <w:lang w:eastAsia="zh-CN"/>
              </w:rPr>
              <w:t>占标率约为</w:t>
            </w:r>
            <w:r>
              <w:rPr>
                <w:rFonts w:hint="eastAsia" w:ascii="Times New Roman" w:hAnsi="Times New Roman" w:eastAsia="宋体" w:cs="Times New Roman"/>
                <w:color w:val="auto"/>
                <w:sz w:val="24"/>
                <w:szCs w:val="24"/>
                <w:highlight w:val="none"/>
                <w:u w:val="single"/>
                <w:lang w:val="en-US" w:eastAsia="zh-CN"/>
              </w:rPr>
              <w:t>1.48%</w:t>
            </w:r>
            <w:r>
              <w:rPr>
                <w:rFonts w:hint="eastAsia"/>
                <w:u w:val="single"/>
                <w:lang w:val="en-US" w:eastAsia="zh-CN"/>
              </w:rPr>
              <w:t>；</w:t>
            </w:r>
            <w:r>
              <w:rPr>
                <w:rFonts w:hint="eastAsia"/>
                <w:b/>
                <w:bCs/>
                <w:u w:val="single"/>
                <w:lang w:val="en-US" w:eastAsia="zh-CN"/>
              </w:rPr>
              <w:t>硫化氢</w:t>
            </w:r>
            <w:r>
              <w:rPr>
                <w:rFonts w:hint="eastAsia"/>
                <w:u w:val="single"/>
                <w:lang w:val="en-US" w:eastAsia="zh-CN"/>
              </w:rPr>
              <w:t>1小时平均</w:t>
            </w:r>
            <w:r>
              <w:rPr>
                <w:rFonts w:hint="default"/>
                <w:u w:val="single"/>
                <w:lang w:val="en-US" w:eastAsia="zh-CN"/>
              </w:rPr>
              <w:t>最大</w:t>
            </w:r>
            <w:r>
              <w:rPr>
                <w:rFonts w:hint="eastAsia"/>
                <w:u w:val="single"/>
                <w:lang w:val="en-US" w:eastAsia="zh-CN"/>
              </w:rPr>
              <w:t>落地</w:t>
            </w:r>
            <w:r>
              <w:rPr>
                <w:rFonts w:hint="default"/>
                <w:u w:val="single"/>
                <w:lang w:val="en-US" w:eastAsia="zh-CN"/>
              </w:rPr>
              <w:t>浓度预测值为</w:t>
            </w:r>
            <w:r>
              <w:rPr>
                <w:rFonts w:hint="eastAsia"/>
                <w:u w:val="single"/>
                <w:lang w:val="en-US" w:eastAsia="zh-CN"/>
              </w:rPr>
              <w:t>0.000443mg/m</w:t>
            </w:r>
            <w:r>
              <w:rPr>
                <w:rFonts w:hint="eastAsia"/>
                <w:u w:val="single"/>
                <w:vertAlign w:val="superscript"/>
                <w:lang w:val="en-US" w:eastAsia="zh-CN"/>
              </w:rPr>
              <w:t>3</w:t>
            </w:r>
            <w:r>
              <w:rPr>
                <w:rFonts w:hint="eastAsia"/>
                <w:u w:val="single"/>
                <w:lang w:val="en-US" w:eastAsia="zh-CN"/>
              </w:rPr>
              <w:t>，离源距离为28米，</w:t>
            </w:r>
            <w:r>
              <w:rPr>
                <w:rFonts w:hint="default"/>
                <w:u w:val="single"/>
                <w:lang w:val="en-US" w:eastAsia="zh-CN"/>
              </w:rPr>
              <w:t>小于</w:t>
            </w:r>
            <w:r>
              <w:rPr>
                <w:rFonts w:hint="eastAsia"/>
                <w:u w:val="single"/>
                <w:lang w:val="en-US" w:eastAsia="zh-CN"/>
              </w:rPr>
              <w:t>《恶臭污染物排放标准》(GB14554-93)标准限值要求，</w:t>
            </w:r>
            <w:r>
              <w:rPr>
                <w:rFonts w:hint="default" w:ascii="Times New Roman" w:hAnsi="Times New Roman" w:eastAsia="宋体" w:cs="Times New Roman"/>
                <w:color w:val="auto"/>
                <w:sz w:val="24"/>
                <w:szCs w:val="24"/>
                <w:highlight w:val="none"/>
                <w:u w:val="single"/>
              </w:rPr>
              <w:t>最大</w:t>
            </w:r>
            <w:r>
              <w:rPr>
                <w:rFonts w:hint="eastAsia" w:cs="Times New Roman"/>
                <w:color w:val="auto"/>
                <w:sz w:val="24"/>
                <w:szCs w:val="24"/>
                <w:highlight w:val="none"/>
                <w:u w:val="single"/>
                <w:lang w:eastAsia="zh-CN"/>
              </w:rPr>
              <w:t>落地</w:t>
            </w:r>
            <w:r>
              <w:rPr>
                <w:rFonts w:hint="default" w:ascii="Times New Roman" w:hAnsi="Times New Roman" w:eastAsia="宋体" w:cs="Times New Roman"/>
                <w:color w:val="auto"/>
                <w:sz w:val="24"/>
                <w:szCs w:val="24"/>
                <w:highlight w:val="none"/>
                <w:u w:val="single"/>
              </w:rPr>
              <w:t>浓度</w:t>
            </w:r>
            <w:r>
              <w:rPr>
                <w:rFonts w:hint="eastAsia" w:ascii="Times New Roman" w:hAnsi="Times New Roman" w:eastAsia="宋体" w:cs="Times New Roman"/>
                <w:color w:val="auto"/>
                <w:sz w:val="24"/>
                <w:szCs w:val="24"/>
                <w:highlight w:val="none"/>
                <w:u w:val="single"/>
                <w:lang w:eastAsia="zh-CN"/>
              </w:rPr>
              <w:t>占标率约为</w:t>
            </w:r>
            <w:r>
              <w:rPr>
                <w:rFonts w:hint="eastAsia" w:ascii="Times New Roman" w:hAnsi="Times New Roman" w:eastAsia="宋体" w:cs="Times New Roman"/>
                <w:color w:val="auto"/>
                <w:sz w:val="24"/>
                <w:szCs w:val="24"/>
                <w:highlight w:val="none"/>
                <w:u w:val="single"/>
                <w:lang w:val="en-US" w:eastAsia="zh-CN"/>
              </w:rPr>
              <w:t>0.74%</w:t>
            </w:r>
            <w:r>
              <w:rPr>
                <w:rFonts w:hint="eastAsia"/>
                <w:u w:val="single"/>
                <w:lang w:val="en-US" w:eastAsia="zh-CN"/>
              </w:rPr>
              <w:t>。</w:t>
            </w:r>
          </w:p>
          <w:p w14:paraId="0903A579">
            <w:pPr>
              <w:ind w:firstLine="480"/>
              <w:rPr>
                <w:rFonts w:hint="eastAsia"/>
                <w:u w:val="single"/>
              </w:rPr>
            </w:pPr>
            <w:r>
              <w:rPr>
                <w:rFonts w:hint="default" w:ascii="Times New Roman" w:hAnsi="Times New Roman" w:eastAsia="宋体" w:cs="Times New Roman"/>
                <w:color w:val="auto"/>
                <w:sz w:val="24"/>
                <w:szCs w:val="24"/>
                <w:highlight w:val="none"/>
                <w:u w:val="single"/>
              </w:rPr>
              <w:t>综上，</w:t>
            </w:r>
            <w:r>
              <w:rPr>
                <w:rFonts w:hint="eastAsia"/>
                <w:bCs/>
                <w:sz w:val="24"/>
                <w:szCs w:val="24"/>
                <w:u w:val="single"/>
                <w:lang w:eastAsia="zh-CN"/>
              </w:rPr>
              <w:t>Pmax值为</w:t>
            </w:r>
            <w:r>
              <w:rPr>
                <w:rFonts w:hint="eastAsia"/>
                <w:bCs/>
                <w:sz w:val="24"/>
                <w:szCs w:val="24"/>
                <w:u w:val="single"/>
                <w:lang w:val="en-US" w:eastAsia="zh-CN"/>
              </w:rPr>
              <w:t>0.41，评价等级为三级，</w:t>
            </w:r>
            <w:r>
              <w:rPr>
                <w:rFonts w:hint="default" w:ascii="Times New Roman" w:hAnsi="Times New Roman" w:eastAsia="宋体" w:cs="Times New Roman"/>
                <w:color w:val="auto"/>
                <w:sz w:val="24"/>
                <w:szCs w:val="24"/>
                <w:highlight w:val="none"/>
                <w:u w:val="single"/>
              </w:rPr>
              <w:t>本评价初步判定本项目废气排放量较小且都能达标排放，</w:t>
            </w:r>
            <w:r>
              <w:rPr>
                <w:rFonts w:hint="eastAsia" w:cs="Times New Roman"/>
                <w:color w:val="auto"/>
                <w:sz w:val="24"/>
                <w:szCs w:val="24"/>
                <w:highlight w:val="none"/>
                <w:u w:val="single"/>
                <w:lang w:eastAsia="zh-CN"/>
              </w:rPr>
              <w:t>对周边敏感目标影响不大，</w:t>
            </w:r>
            <w:r>
              <w:rPr>
                <w:rFonts w:hint="default" w:ascii="Times New Roman" w:hAnsi="Times New Roman" w:eastAsia="宋体" w:cs="Times New Roman"/>
                <w:color w:val="auto"/>
                <w:sz w:val="24"/>
                <w:szCs w:val="24"/>
                <w:highlight w:val="none"/>
                <w:u w:val="single"/>
              </w:rPr>
              <w:t>本项目大气环境影响可接受。</w:t>
            </w:r>
          </w:p>
          <w:p w14:paraId="0DAA015C">
            <w:pPr>
              <w:ind w:firstLine="480"/>
            </w:pPr>
            <w:r>
              <w:rPr>
                <w:rFonts w:hint="eastAsia"/>
                <w:u w:val="single"/>
              </w:rPr>
              <w:t>综上，大气污染物经治理后可长期稳定达标排放。</w:t>
            </w:r>
          </w:p>
          <w:p w14:paraId="7171F746">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4.5.4、</w:t>
            </w:r>
            <w:r>
              <w:rPr>
                <w:rFonts w:hint="eastAsia"/>
              </w:rPr>
              <w:t>大气污染物排放量核算</w:t>
            </w:r>
          </w:p>
          <w:p w14:paraId="3C2821B4">
            <w:pPr>
              <w:pStyle w:val="8"/>
              <w:numPr>
                <w:ilvl w:val="5"/>
                <w:numId w:val="0"/>
              </w:numPr>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表4-14</w:t>
            </w:r>
            <w:r>
              <w:rPr>
                <w:rFonts w:hint="eastAsia"/>
                <w:lang w:eastAsia="zh-CN"/>
              </w:rPr>
              <w:t>本项目</w:t>
            </w:r>
            <w:r>
              <w:rPr>
                <w:rFonts w:hint="eastAsia"/>
              </w:rPr>
              <w:t>大气污染物有组织排放量核算表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944"/>
              <w:gridCol w:w="1337"/>
              <w:gridCol w:w="2132"/>
              <w:gridCol w:w="1947"/>
              <w:gridCol w:w="1799"/>
            </w:tblGrid>
            <w:tr w14:paraId="380E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6AA1D82B">
                  <w:pPr>
                    <w:pStyle w:val="42"/>
                    <w:jc w:val="center"/>
                    <w:rPr>
                      <w:sz w:val="21"/>
                      <w:szCs w:val="21"/>
                    </w:rPr>
                  </w:pPr>
                  <w:r>
                    <w:rPr>
                      <w:rFonts w:hint="eastAsia"/>
                      <w:sz w:val="21"/>
                      <w:szCs w:val="21"/>
                    </w:rPr>
                    <w:t>序号</w:t>
                  </w:r>
                </w:p>
              </w:tc>
              <w:tc>
                <w:tcPr>
                  <w:tcW w:w="944" w:type="dxa"/>
                  <w:vAlign w:val="center"/>
                </w:tcPr>
                <w:p w14:paraId="5DEEEB65">
                  <w:pPr>
                    <w:pStyle w:val="42"/>
                    <w:jc w:val="center"/>
                    <w:rPr>
                      <w:sz w:val="21"/>
                      <w:szCs w:val="21"/>
                    </w:rPr>
                  </w:pPr>
                  <w:r>
                    <w:rPr>
                      <w:rFonts w:hint="eastAsia"/>
                      <w:sz w:val="21"/>
                      <w:szCs w:val="21"/>
                    </w:rPr>
                    <w:t>排放口编号</w:t>
                  </w:r>
                </w:p>
              </w:tc>
              <w:tc>
                <w:tcPr>
                  <w:tcW w:w="1337" w:type="dxa"/>
                  <w:vAlign w:val="center"/>
                </w:tcPr>
                <w:p w14:paraId="31C9729C">
                  <w:pPr>
                    <w:pStyle w:val="42"/>
                    <w:jc w:val="center"/>
                    <w:rPr>
                      <w:sz w:val="21"/>
                      <w:szCs w:val="21"/>
                    </w:rPr>
                  </w:pPr>
                  <w:r>
                    <w:rPr>
                      <w:rFonts w:hint="eastAsia"/>
                      <w:sz w:val="21"/>
                      <w:szCs w:val="21"/>
                    </w:rPr>
                    <w:t>污染物</w:t>
                  </w:r>
                </w:p>
              </w:tc>
              <w:tc>
                <w:tcPr>
                  <w:tcW w:w="2132" w:type="dxa"/>
                  <w:vAlign w:val="center"/>
                </w:tcPr>
                <w:p w14:paraId="183E9A40">
                  <w:pPr>
                    <w:pStyle w:val="42"/>
                    <w:jc w:val="center"/>
                    <w:rPr>
                      <w:sz w:val="21"/>
                      <w:szCs w:val="21"/>
                    </w:rPr>
                  </w:pPr>
                  <w:r>
                    <w:rPr>
                      <w:rFonts w:hint="eastAsia"/>
                      <w:sz w:val="21"/>
                      <w:szCs w:val="21"/>
                    </w:rPr>
                    <w:t>核算排放浓度/（m</w:t>
                  </w:r>
                  <w:r>
                    <w:rPr>
                      <w:sz w:val="21"/>
                      <w:szCs w:val="21"/>
                    </w:rPr>
                    <w:t>g/m</w:t>
                  </w:r>
                  <w:r>
                    <w:rPr>
                      <w:sz w:val="21"/>
                      <w:szCs w:val="21"/>
                      <w:vertAlign w:val="superscript"/>
                    </w:rPr>
                    <w:t>3</w:t>
                  </w:r>
                  <w:r>
                    <w:rPr>
                      <w:rFonts w:hint="eastAsia"/>
                      <w:sz w:val="21"/>
                      <w:szCs w:val="21"/>
                    </w:rPr>
                    <w:t>）</w:t>
                  </w:r>
                </w:p>
              </w:tc>
              <w:tc>
                <w:tcPr>
                  <w:tcW w:w="1947" w:type="dxa"/>
                  <w:vAlign w:val="center"/>
                </w:tcPr>
                <w:p w14:paraId="34B038FB">
                  <w:pPr>
                    <w:pStyle w:val="42"/>
                    <w:jc w:val="center"/>
                    <w:rPr>
                      <w:sz w:val="21"/>
                      <w:szCs w:val="21"/>
                    </w:rPr>
                  </w:pPr>
                  <w:r>
                    <w:rPr>
                      <w:rFonts w:hint="eastAsia"/>
                      <w:sz w:val="21"/>
                      <w:szCs w:val="21"/>
                    </w:rPr>
                    <w:t>核算排放速率/（k</w:t>
                  </w:r>
                  <w:r>
                    <w:rPr>
                      <w:sz w:val="21"/>
                      <w:szCs w:val="21"/>
                    </w:rPr>
                    <w:t>g/h</w:t>
                  </w:r>
                  <w:r>
                    <w:rPr>
                      <w:rFonts w:hint="eastAsia"/>
                      <w:sz w:val="21"/>
                      <w:szCs w:val="21"/>
                    </w:rPr>
                    <w:t>）</w:t>
                  </w:r>
                </w:p>
              </w:tc>
              <w:tc>
                <w:tcPr>
                  <w:tcW w:w="1799" w:type="dxa"/>
                  <w:vAlign w:val="center"/>
                </w:tcPr>
                <w:p w14:paraId="6786C3B5">
                  <w:pPr>
                    <w:pStyle w:val="42"/>
                    <w:jc w:val="center"/>
                    <w:rPr>
                      <w:sz w:val="21"/>
                      <w:szCs w:val="21"/>
                    </w:rPr>
                  </w:pPr>
                  <w:r>
                    <w:rPr>
                      <w:rFonts w:hint="eastAsia"/>
                      <w:sz w:val="21"/>
                      <w:szCs w:val="21"/>
                    </w:rPr>
                    <w:t>核算年排放量/（t</w:t>
                  </w:r>
                  <w:r>
                    <w:rPr>
                      <w:sz w:val="21"/>
                      <w:szCs w:val="21"/>
                    </w:rPr>
                    <w:t>/a</w:t>
                  </w:r>
                  <w:r>
                    <w:rPr>
                      <w:rFonts w:hint="eastAsia"/>
                      <w:sz w:val="21"/>
                      <w:szCs w:val="21"/>
                    </w:rPr>
                    <w:t>）</w:t>
                  </w:r>
                </w:p>
              </w:tc>
            </w:tr>
            <w:tr w14:paraId="257A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6" w:type="dxa"/>
                  <w:gridSpan w:val="6"/>
                  <w:vAlign w:val="center"/>
                </w:tcPr>
                <w:p w14:paraId="2D761119">
                  <w:pPr>
                    <w:pStyle w:val="42"/>
                    <w:jc w:val="center"/>
                    <w:rPr>
                      <w:sz w:val="21"/>
                      <w:szCs w:val="21"/>
                    </w:rPr>
                  </w:pPr>
                  <w:r>
                    <w:rPr>
                      <w:rFonts w:hint="eastAsia"/>
                      <w:sz w:val="21"/>
                      <w:szCs w:val="21"/>
                    </w:rPr>
                    <w:t>一般排放口</w:t>
                  </w:r>
                </w:p>
              </w:tc>
            </w:tr>
            <w:tr w14:paraId="6658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Merge w:val="restart"/>
                  <w:vAlign w:val="center"/>
                </w:tcPr>
                <w:p w14:paraId="6D8FB3E0">
                  <w:pPr>
                    <w:pStyle w:val="42"/>
                    <w:jc w:val="center"/>
                    <w:rPr>
                      <w:sz w:val="21"/>
                      <w:szCs w:val="21"/>
                    </w:rPr>
                  </w:pPr>
                  <w:r>
                    <w:rPr>
                      <w:rFonts w:hint="eastAsia"/>
                      <w:sz w:val="21"/>
                      <w:szCs w:val="21"/>
                    </w:rPr>
                    <w:t>1</w:t>
                  </w:r>
                </w:p>
              </w:tc>
              <w:tc>
                <w:tcPr>
                  <w:tcW w:w="944" w:type="dxa"/>
                  <w:vMerge w:val="restart"/>
                  <w:vAlign w:val="center"/>
                </w:tcPr>
                <w:p w14:paraId="3CF48EB0">
                  <w:pPr>
                    <w:pStyle w:val="42"/>
                    <w:jc w:val="center"/>
                    <w:rPr>
                      <w:rFonts w:hint="default" w:eastAsia="宋体"/>
                      <w:sz w:val="21"/>
                      <w:szCs w:val="21"/>
                      <w:lang w:val="en-US" w:eastAsia="zh-CN"/>
                    </w:rPr>
                  </w:pPr>
                  <w:r>
                    <w:rPr>
                      <w:rFonts w:hint="eastAsia"/>
                      <w:sz w:val="21"/>
                      <w:szCs w:val="21"/>
                      <w:lang w:val="en-US" w:eastAsia="zh-CN"/>
                    </w:rPr>
                    <w:t>DA001</w:t>
                  </w:r>
                </w:p>
              </w:tc>
              <w:tc>
                <w:tcPr>
                  <w:tcW w:w="1337" w:type="dxa"/>
                  <w:vAlign w:val="center"/>
                </w:tcPr>
                <w:p w14:paraId="0D12C896">
                  <w:pPr>
                    <w:pStyle w:val="42"/>
                    <w:jc w:val="center"/>
                    <w:rPr>
                      <w:rFonts w:hint="default" w:eastAsia="宋体"/>
                      <w:sz w:val="21"/>
                      <w:szCs w:val="21"/>
                      <w:lang w:val="en-US" w:eastAsia="zh-CN"/>
                    </w:rPr>
                  </w:pPr>
                  <w:r>
                    <w:rPr>
                      <w:rFonts w:hint="eastAsia"/>
                      <w:sz w:val="21"/>
                      <w:szCs w:val="21"/>
                      <w:lang w:val="en-US" w:eastAsia="zh-CN"/>
                    </w:rPr>
                    <w:t>TSP</w:t>
                  </w:r>
                </w:p>
              </w:tc>
              <w:tc>
                <w:tcPr>
                  <w:tcW w:w="2132" w:type="dxa"/>
                  <w:vAlign w:val="center"/>
                </w:tcPr>
                <w:p w14:paraId="24A5E362">
                  <w:pPr>
                    <w:pStyle w:val="42"/>
                    <w:bidi w:val="0"/>
                    <w:ind w:firstLine="0" w:firstLineChars="0"/>
                    <w:jc w:val="center"/>
                    <w:rPr>
                      <w:rFonts w:hint="default"/>
                      <w:sz w:val="21"/>
                      <w:szCs w:val="21"/>
                      <w:lang w:val="en-US"/>
                    </w:rPr>
                  </w:pPr>
                  <w:r>
                    <w:rPr>
                      <w:rFonts w:hint="eastAsia"/>
                      <w:lang w:val="en-US" w:eastAsia="zh-CN"/>
                    </w:rPr>
                    <w:t>0.5</w:t>
                  </w:r>
                </w:p>
              </w:tc>
              <w:tc>
                <w:tcPr>
                  <w:tcW w:w="1947" w:type="dxa"/>
                  <w:vAlign w:val="center"/>
                </w:tcPr>
                <w:p w14:paraId="0B10E59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sz w:val="21"/>
                      <w:szCs w:val="21"/>
                      <w:lang w:val="en-US"/>
                    </w:rPr>
                  </w:pPr>
                  <w:r>
                    <w:rPr>
                      <w:rFonts w:hint="eastAsia"/>
                      <w:lang w:val="en-US" w:eastAsia="zh-CN"/>
                    </w:rPr>
                    <w:t>0.0075</w:t>
                  </w:r>
                </w:p>
              </w:tc>
              <w:tc>
                <w:tcPr>
                  <w:tcW w:w="1799" w:type="dxa"/>
                  <w:vAlign w:val="center"/>
                </w:tcPr>
                <w:p w14:paraId="2245AF0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sz w:val="21"/>
                      <w:szCs w:val="21"/>
                      <w:lang w:val="en-US"/>
                    </w:rPr>
                  </w:pPr>
                  <w:r>
                    <w:rPr>
                      <w:rFonts w:hint="eastAsia"/>
                      <w:lang w:val="en-US" w:eastAsia="zh-CN"/>
                    </w:rPr>
                    <w:t>0.018</w:t>
                  </w:r>
                </w:p>
              </w:tc>
            </w:tr>
            <w:tr w14:paraId="507A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Merge w:val="continue"/>
                  <w:vAlign w:val="center"/>
                </w:tcPr>
                <w:p w14:paraId="6DF047A0">
                  <w:pPr>
                    <w:pStyle w:val="42"/>
                    <w:jc w:val="center"/>
                    <w:rPr>
                      <w:rFonts w:hint="eastAsia"/>
                      <w:sz w:val="21"/>
                      <w:szCs w:val="21"/>
                    </w:rPr>
                  </w:pPr>
                </w:p>
              </w:tc>
              <w:tc>
                <w:tcPr>
                  <w:tcW w:w="944" w:type="dxa"/>
                  <w:vMerge w:val="continue"/>
                  <w:vAlign w:val="center"/>
                </w:tcPr>
                <w:p w14:paraId="6BCF0702">
                  <w:pPr>
                    <w:pStyle w:val="42"/>
                    <w:jc w:val="center"/>
                    <w:rPr>
                      <w:rFonts w:hint="eastAsia"/>
                      <w:sz w:val="21"/>
                      <w:szCs w:val="21"/>
                      <w:lang w:val="en-US" w:eastAsia="zh-CN"/>
                    </w:rPr>
                  </w:pPr>
                </w:p>
              </w:tc>
              <w:tc>
                <w:tcPr>
                  <w:tcW w:w="1337" w:type="dxa"/>
                  <w:vAlign w:val="center"/>
                </w:tcPr>
                <w:p w14:paraId="0611691E">
                  <w:pPr>
                    <w:pStyle w:val="42"/>
                    <w:bidi w:val="0"/>
                    <w:ind w:firstLine="0" w:firstLineChars="0"/>
                    <w:jc w:val="center"/>
                    <w:rPr>
                      <w:rFonts w:hint="eastAsia"/>
                      <w:sz w:val="21"/>
                      <w:szCs w:val="21"/>
                      <w:lang w:val="en-US" w:eastAsia="zh-CN"/>
                    </w:rPr>
                  </w:pPr>
                  <w:r>
                    <w:rPr>
                      <w:rFonts w:hint="eastAsia"/>
                      <w:lang w:val="en-US" w:eastAsia="zh-CN"/>
                    </w:rPr>
                    <w:t>SO</w:t>
                  </w:r>
                  <w:r>
                    <w:rPr>
                      <w:rFonts w:hint="eastAsia"/>
                      <w:vertAlign w:val="subscript"/>
                      <w:lang w:val="en-US" w:eastAsia="zh-CN"/>
                    </w:rPr>
                    <w:t>2</w:t>
                  </w:r>
                </w:p>
              </w:tc>
              <w:tc>
                <w:tcPr>
                  <w:tcW w:w="2132" w:type="dxa"/>
                  <w:vAlign w:val="center"/>
                </w:tcPr>
                <w:p w14:paraId="0BCB89F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34.08</w:t>
                  </w:r>
                </w:p>
              </w:tc>
              <w:tc>
                <w:tcPr>
                  <w:tcW w:w="1947" w:type="dxa"/>
                  <w:vAlign w:val="center"/>
                </w:tcPr>
                <w:p w14:paraId="278B224C">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0.5112</w:t>
                  </w:r>
                </w:p>
              </w:tc>
              <w:tc>
                <w:tcPr>
                  <w:tcW w:w="1799" w:type="dxa"/>
                  <w:vAlign w:val="center"/>
                </w:tcPr>
                <w:p w14:paraId="622D1EE8">
                  <w:pPr>
                    <w:pStyle w:val="42"/>
                    <w:bidi w:val="0"/>
                    <w:ind w:firstLine="0" w:firstLineChars="0"/>
                    <w:jc w:val="center"/>
                    <w:rPr>
                      <w:rFonts w:hint="default"/>
                      <w:lang w:val="en-US" w:eastAsia="zh-CN"/>
                    </w:rPr>
                  </w:pPr>
                  <w:r>
                    <w:rPr>
                      <w:rFonts w:hint="eastAsia"/>
                      <w:lang w:val="en-US" w:eastAsia="zh-CN"/>
                    </w:rPr>
                    <w:t>1.2269</w:t>
                  </w:r>
                </w:p>
              </w:tc>
            </w:tr>
            <w:tr w14:paraId="411C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Merge w:val="continue"/>
                  <w:vAlign w:val="center"/>
                </w:tcPr>
                <w:p w14:paraId="0650BAA3">
                  <w:pPr>
                    <w:pStyle w:val="42"/>
                    <w:jc w:val="center"/>
                    <w:rPr>
                      <w:rFonts w:hint="eastAsia"/>
                      <w:sz w:val="21"/>
                      <w:szCs w:val="21"/>
                    </w:rPr>
                  </w:pPr>
                </w:p>
              </w:tc>
              <w:tc>
                <w:tcPr>
                  <w:tcW w:w="944" w:type="dxa"/>
                  <w:vMerge w:val="continue"/>
                  <w:vAlign w:val="center"/>
                </w:tcPr>
                <w:p w14:paraId="0A529AFD">
                  <w:pPr>
                    <w:pStyle w:val="42"/>
                    <w:jc w:val="center"/>
                    <w:rPr>
                      <w:rFonts w:hint="eastAsia"/>
                      <w:sz w:val="21"/>
                      <w:szCs w:val="21"/>
                      <w:lang w:val="en-US" w:eastAsia="zh-CN"/>
                    </w:rPr>
                  </w:pPr>
                </w:p>
              </w:tc>
              <w:tc>
                <w:tcPr>
                  <w:tcW w:w="1337" w:type="dxa"/>
                  <w:vAlign w:val="center"/>
                </w:tcPr>
                <w:p w14:paraId="2947AAF7">
                  <w:pPr>
                    <w:pStyle w:val="42"/>
                    <w:bidi w:val="0"/>
                    <w:ind w:firstLine="0" w:firstLineChars="0"/>
                    <w:jc w:val="center"/>
                    <w:rPr>
                      <w:rFonts w:hint="eastAsia"/>
                      <w:sz w:val="21"/>
                      <w:szCs w:val="21"/>
                      <w:lang w:val="en-US" w:eastAsia="zh-CN"/>
                    </w:rPr>
                  </w:pPr>
                  <w:r>
                    <w:rPr>
                      <w:rFonts w:hint="eastAsia"/>
                      <w:lang w:val="en-US" w:eastAsia="zh-CN"/>
                    </w:rPr>
                    <w:t>NOx</w:t>
                  </w:r>
                </w:p>
              </w:tc>
              <w:tc>
                <w:tcPr>
                  <w:tcW w:w="2132" w:type="dxa"/>
                  <w:vAlign w:val="center"/>
                </w:tcPr>
                <w:p w14:paraId="33ECA61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65.13</w:t>
                  </w:r>
                </w:p>
              </w:tc>
              <w:tc>
                <w:tcPr>
                  <w:tcW w:w="1947" w:type="dxa"/>
                  <w:vAlign w:val="center"/>
                </w:tcPr>
                <w:p w14:paraId="44EC71D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0.977</w:t>
                  </w:r>
                </w:p>
              </w:tc>
              <w:tc>
                <w:tcPr>
                  <w:tcW w:w="1799" w:type="dxa"/>
                  <w:vAlign w:val="center"/>
                </w:tcPr>
                <w:p w14:paraId="29B6BF52">
                  <w:pPr>
                    <w:pStyle w:val="42"/>
                    <w:bidi w:val="0"/>
                    <w:ind w:firstLine="0" w:firstLineChars="0"/>
                    <w:jc w:val="center"/>
                    <w:rPr>
                      <w:rFonts w:hint="default"/>
                      <w:lang w:val="en-US" w:eastAsia="zh-CN"/>
                    </w:rPr>
                  </w:pPr>
                  <w:r>
                    <w:rPr>
                      <w:rFonts w:hint="eastAsia"/>
                      <w:lang w:val="en-US" w:eastAsia="zh-CN"/>
                    </w:rPr>
                    <w:t>2.344</w:t>
                  </w:r>
                </w:p>
              </w:tc>
            </w:tr>
            <w:tr w14:paraId="1A4C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Merge w:val="continue"/>
                  <w:vAlign w:val="center"/>
                </w:tcPr>
                <w:p w14:paraId="0C49CEA4">
                  <w:pPr>
                    <w:pStyle w:val="42"/>
                    <w:jc w:val="center"/>
                    <w:rPr>
                      <w:rFonts w:hint="eastAsia"/>
                      <w:sz w:val="21"/>
                      <w:szCs w:val="21"/>
                    </w:rPr>
                  </w:pPr>
                </w:p>
              </w:tc>
              <w:tc>
                <w:tcPr>
                  <w:tcW w:w="944" w:type="dxa"/>
                  <w:vMerge w:val="continue"/>
                  <w:vAlign w:val="center"/>
                </w:tcPr>
                <w:p w14:paraId="7DB25940">
                  <w:pPr>
                    <w:pStyle w:val="42"/>
                    <w:jc w:val="center"/>
                    <w:rPr>
                      <w:rFonts w:hint="eastAsia"/>
                      <w:sz w:val="21"/>
                      <w:szCs w:val="21"/>
                    </w:rPr>
                  </w:pPr>
                </w:p>
              </w:tc>
              <w:tc>
                <w:tcPr>
                  <w:tcW w:w="1337" w:type="dxa"/>
                  <w:vAlign w:val="center"/>
                </w:tcPr>
                <w:p w14:paraId="716E4724">
                  <w:pPr>
                    <w:pStyle w:val="42"/>
                    <w:jc w:val="center"/>
                    <w:rPr>
                      <w:rFonts w:hint="default" w:eastAsia="宋体"/>
                      <w:sz w:val="21"/>
                      <w:szCs w:val="21"/>
                      <w:lang w:val="en-US" w:eastAsia="zh-CN"/>
                    </w:rPr>
                  </w:pPr>
                  <w:r>
                    <w:rPr>
                      <w:rFonts w:hint="eastAsia"/>
                      <w:sz w:val="21"/>
                      <w:szCs w:val="21"/>
                      <w:lang w:val="en-US" w:eastAsia="zh-CN"/>
                    </w:rPr>
                    <w:t>非甲烷总烃</w:t>
                  </w:r>
                </w:p>
              </w:tc>
              <w:tc>
                <w:tcPr>
                  <w:tcW w:w="2132" w:type="dxa"/>
                  <w:vAlign w:val="center"/>
                </w:tcPr>
                <w:p w14:paraId="51895F6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sz w:val="21"/>
                      <w:szCs w:val="21"/>
                    </w:rPr>
                  </w:pPr>
                  <w:r>
                    <w:rPr>
                      <w:rFonts w:hint="eastAsia"/>
                      <w:lang w:val="en-US" w:eastAsia="zh-CN"/>
                    </w:rPr>
                    <w:t>4.8</w:t>
                  </w:r>
                </w:p>
              </w:tc>
              <w:tc>
                <w:tcPr>
                  <w:tcW w:w="1947" w:type="dxa"/>
                  <w:vAlign w:val="center"/>
                </w:tcPr>
                <w:p w14:paraId="40E2A7B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sz w:val="21"/>
                      <w:szCs w:val="21"/>
                    </w:rPr>
                  </w:pPr>
                  <w:r>
                    <w:rPr>
                      <w:rFonts w:hint="eastAsia"/>
                      <w:lang w:val="en-US" w:eastAsia="zh-CN"/>
                    </w:rPr>
                    <w:t>0.072</w:t>
                  </w:r>
                </w:p>
              </w:tc>
              <w:tc>
                <w:tcPr>
                  <w:tcW w:w="1799" w:type="dxa"/>
                  <w:vAlign w:val="center"/>
                </w:tcPr>
                <w:p w14:paraId="1F54B6A4">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sz w:val="21"/>
                      <w:szCs w:val="21"/>
                    </w:rPr>
                  </w:pPr>
                  <w:r>
                    <w:rPr>
                      <w:rFonts w:hint="eastAsia"/>
                      <w:lang w:val="en-US" w:eastAsia="zh-CN"/>
                    </w:rPr>
                    <w:t>0.174</w:t>
                  </w:r>
                </w:p>
              </w:tc>
            </w:tr>
            <w:tr w14:paraId="6304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Merge w:val="continue"/>
                  <w:vAlign w:val="center"/>
                </w:tcPr>
                <w:p w14:paraId="230EA4AF">
                  <w:pPr>
                    <w:pStyle w:val="42"/>
                    <w:jc w:val="center"/>
                    <w:rPr>
                      <w:rFonts w:hint="eastAsia"/>
                      <w:sz w:val="21"/>
                      <w:szCs w:val="21"/>
                    </w:rPr>
                  </w:pPr>
                </w:p>
              </w:tc>
              <w:tc>
                <w:tcPr>
                  <w:tcW w:w="944" w:type="dxa"/>
                  <w:vMerge w:val="continue"/>
                  <w:vAlign w:val="center"/>
                </w:tcPr>
                <w:p w14:paraId="39709DBD">
                  <w:pPr>
                    <w:pStyle w:val="42"/>
                    <w:jc w:val="center"/>
                    <w:rPr>
                      <w:rFonts w:hint="eastAsia"/>
                      <w:sz w:val="21"/>
                      <w:szCs w:val="21"/>
                    </w:rPr>
                  </w:pPr>
                </w:p>
              </w:tc>
              <w:tc>
                <w:tcPr>
                  <w:tcW w:w="1337" w:type="dxa"/>
                  <w:vAlign w:val="center"/>
                </w:tcPr>
                <w:p w14:paraId="46A90612">
                  <w:pPr>
                    <w:pStyle w:val="42"/>
                    <w:jc w:val="center"/>
                    <w:rPr>
                      <w:rFonts w:hint="default" w:eastAsia="宋体"/>
                      <w:sz w:val="21"/>
                      <w:szCs w:val="21"/>
                      <w:lang w:val="en-US" w:eastAsia="zh-CN"/>
                    </w:rPr>
                  </w:pPr>
                  <w:r>
                    <w:rPr>
                      <w:rFonts w:hint="eastAsia"/>
                      <w:sz w:val="21"/>
                      <w:szCs w:val="21"/>
                      <w:lang w:val="en-US" w:eastAsia="zh-CN"/>
                    </w:rPr>
                    <w:t>NH</w:t>
                  </w:r>
                  <w:r>
                    <w:rPr>
                      <w:rFonts w:hint="eastAsia"/>
                      <w:sz w:val="21"/>
                      <w:szCs w:val="21"/>
                      <w:vertAlign w:val="subscript"/>
                      <w:lang w:val="en-US" w:eastAsia="zh-CN"/>
                    </w:rPr>
                    <w:t>3</w:t>
                  </w:r>
                </w:p>
              </w:tc>
              <w:tc>
                <w:tcPr>
                  <w:tcW w:w="2132" w:type="dxa"/>
                  <w:vAlign w:val="center"/>
                </w:tcPr>
                <w:p w14:paraId="76F0D36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sz w:val="21"/>
                      <w:szCs w:val="21"/>
                    </w:rPr>
                  </w:pPr>
                  <w:r>
                    <w:rPr>
                      <w:rFonts w:hint="eastAsia"/>
                      <w:lang w:val="en-US" w:eastAsia="zh-CN"/>
                    </w:rPr>
                    <w:t>3.48</w:t>
                  </w:r>
                </w:p>
              </w:tc>
              <w:tc>
                <w:tcPr>
                  <w:tcW w:w="1947" w:type="dxa"/>
                  <w:vAlign w:val="center"/>
                </w:tcPr>
                <w:p w14:paraId="02572BC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sz w:val="21"/>
                      <w:szCs w:val="21"/>
                    </w:rPr>
                  </w:pPr>
                  <w:r>
                    <w:rPr>
                      <w:rFonts w:hint="eastAsia"/>
                      <w:lang w:val="en-US" w:eastAsia="zh-CN"/>
                    </w:rPr>
                    <w:t>0.052</w:t>
                  </w:r>
                </w:p>
              </w:tc>
              <w:tc>
                <w:tcPr>
                  <w:tcW w:w="1799" w:type="dxa"/>
                  <w:vAlign w:val="center"/>
                </w:tcPr>
                <w:p w14:paraId="2A77AB5D">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sz w:val="21"/>
                      <w:szCs w:val="21"/>
                    </w:rPr>
                  </w:pPr>
                  <w:r>
                    <w:rPr>
                      <w:rFonts w:hint="eastAsia"/>
                      <w:lang w:val="en-US" w:eastAsia="zh-CN"/>
                    </w:rPr>
                    <w:t>0.125</w:t>
                  </w:r>
                </w:p>
              </w:tc>
            </w:tr>
            <w:tr w14:paraId="06E1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Merge w:val="continue"/>
                  <w:vAlign w:val="center"/>
                </w:tcPr>
                <w:p w14:paraId="0BB5FD0F">
                  <w:pPr>
                    <w:pStyle w:val="42"/>
                    <w:jc w:val="center"/>
                    <w:rPr>
                      <w:rFonts w:hint="eastAsia"/>
                      <w:sz w:val="21"/>
                      <w:szCs w:val="21"/>
                    </w:rPr>
                  </w:pPr>
                </w:p>
              </w:tc>
              <w:tc>
                <w:tcPr>
                  <w:tcW w:w="944" w:type="dxa"/>
                  <w:vMerge w:val="continue"/>
                  <w:vAlign w:val="center"/>
                </w:tcPr>
                <w:p w14:paraId="5C8B6B1C">
                  <w:pPr>
                    <w:pStyle w:val="42"/>
                    <w:jc w:val="center"/>
                    <w:rPr>
                      <w:rFonts w:hint="eastAsia"/>
                      <w:sz w:val="21"/>
                      <w:szCs w:val="21"/>
                    </w:rPr>
                  </w:pPr>
                </w:p>
              </w:tc>
              <w:tc>
                <w:tcPr>
                  <w:tcW w:w="1337" w:type="dxa"/>
                  <w:vAlign w:val="center"/>
                </w:tcPr>
                <w:p w14:paraId="7F7E0371">
                  <w:pPr>
                    <w:pStyle w:val="42"/>
                    <w:jc w:val="center"/>
                    <w:rPr>
                      <w:rFonts w:hint="default" w:eastAsia="宋体"/>
                      <w:sz w:val="21"/>
                      <w:szCs w:val="21"/>
                      <w:lang w:val="en-US" w:eastAsia="zh-CN"/>
                    </w:rPr>
                  </w:pPr>
                  <w:r>
                    <w:rPr>
                      <w:rFonts w:hint="eastAsia"/>
                      <w:sz w:val="21"/>
                      <w:szCs w:val="21"/>
                      <w:lang w:val="en-US" w:eastAsia="zh-CN"/>
                    </w:rPr>
                    <w:t>H</w:t>
                  </w:r>
                  <w:r>
                    <w:rPr>
                      <w:rFonts w:hint="eastAsia"/>
                      <w:sz w:val="21"/>
                      <w:szCs w:val="21"/>
                      <w:vertAlign w:val="subscript"/>
                      <w:lang w:val="en-US" w:eastAsia="zh-CN"/>
                    </w:rPr>
                    <w:t>2</w:t>
                  </w:r>
                  <w:r>
                    <w:rPr>
                      <w:rFonts w:hint="eastAsia"/>
                      <w:sz w:val="21"/>
                      <w:szCs w:val="21"/>
                      <w:lang w:val="en-US" w:eastAsia="zh-CN"/>
                    </w:rPr>
                    <w:t>S</w:t>
                  </w:r>
                </w:p>
              </w:tc>
              <w:tc>
                <w:tcPr>
                  <w:tcW w:w="2132" w:type="dxa"/>
                  <w:vAlign w:val="center"/>
                </w:tcPr>
                <w:p w14:paraId="6EED20A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sz w:val="21"/>
                      <w:szCs w:val="21"/>
                    </w:rPr>
                  </w:pPr>
                  <w:r>
                    <w:rPr>
                      <w:rFonts w:hint="eastAsia"/>
                      <w:lang w:val="en-US" w:eastAsia="zh-CN"/>
                    </w:rPr>
                    <w:t>0.028</w:t>
                  </w:r>
                </w:p>
              </w:tc>
              <w:tc>
                <w:tcPr>
                  <w:tcW w:w="1947" w:type="dxa"/>
                  <w:vAlign w:val="center"/>
                </w:tcPr>
                <w:p w14:paraId="4788E36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sz w:val="21"/>
                      <w:szCs w:val="21"/>
                    </w:rPr>
                  </w:pPr>
                  <w:r>
                    <w:rPr>
                      <w:rFonts w:hint="eastAsia"/>
                      <w:lang w:val="en-US" w:eastAsia="zh-CN"/>
                    </w:rPr>
                    <w:t>0.0004</w:t>
                  </w:r>
                </w:p>
              </w:tc>
              <w:tc>
                <w:tcPr>
                  <w:tcW w:w="1799" w:type="dxa"/>
                  <w:vAlign w:val="center"/>
                </w:tcPr>
                <w:p w14:paraId="3FE32DB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sz w:val="21"/>
                      <w:szCs w:val="21"/>
                    </w:rPr>
                  </w:pPr>
                  <w:r>
                    <w:rPr>
                      <w:rFonts w:hint="eastAsia"/>
                      <w:lang w:val="en-US" w:eastAsia="zh-CN"/>
                    </w:rPr>
                    <w:t>0.001</w:t>
                  </w:r>
                </w:p>
              </w:tc>
            </w:tr>
            <w:tr w14:paraId="7D08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Merge w:val="restart"/>
                  <w:vAlign w:val="center"/>
                </w:tcPr>
                <w:p w14:paraId="351F082B">
                  <w:pPr>
                    <w:pStyle w:val="42"/>
                    <w:jc w:val="center"/>
                    <w:rPr>
                      <w:rFonts w:hint="eastAsia" w:eastAsia="宋体"/>
                      <w:sz w:val="21"/>
                      <w:szCs w:val="21"/>
                      <w:lang w:val="en-US" w:eastAsia="zh-CN"/>
                    </w:rPr>
                  </w:pPr>
                  <w:r>
                    <w:rPr>
                      <w:rFonts w:hint="eastAsia"/>
                      <w:sz w:val="21"/>
                      <w:szCs w:val="21"/>
                      <w:lang w:val="en-US" w:eastAsia="zh-CN"/>
                    </w:rPr>
                    <w:t>2</w:t>
                  </w:r>
                </w:p>
              </w:tc>
              <w:tc>
                <w:tcPr>
                  <w:tcW w:w="944" w:type="dxa"/>
                  <w:vMerge w:val="restart"/>
                  <w:vAlign w:val="center"/>
                </w:tcPr>
                <w:p w14:paraId="167F457E">
                  <w:pPr>
                    <w:pStyle w:val="42"/>
                    <w:jc w:val="center"/>
                    <w:rPr>
                      <w:rFonts w:hint="default"/>
                      <w:sz w:val="21"/>
                      <w:szCs w:val="21"/>
                      <w:lang w:val="en-US"/>
                    </w:rPr>
                  </w:pPr>
                  <w:r>
                    <w:rPr>
                      <w:rFonts w:hint="eastAsia"/>
                      <w:sz w:val="21"/>
                      <w:szCs w:val="21"/>
                      <w:lang w:val="en-US" w:eastAsia="zh-CN"/>
                    </w:rPr>
                    <w:t>DA002</w:t>
                  </w:r>
                </w:p>
              </w:tc>
              <w:tc>
                <w:tcPr>
                  <w:tcW w:w="1337" w:type="dxa"/>
                  <w:vAlign w:val="center"/>
                </w:tcPr>
                <w:p w14:paraId="2ED08311">
                  <w:pPr>
                    <w:pStyle w:val="42"/>
                    <w:ind w:firstLine="0" w:firstLineChars="0"/>
                    <w:jc w:val="center"/>
                    <w:rPr>
                      <w:rFonts w:hint="eastAsia"/>
                      <w:sz w:val="21"/>
                      <w:szCs w:val="21"/>
                      <w:lang w:val="en-US" w:eastAsia="zh-CN"/>
                    </w:rPr>
                  </w:pPr>
                  <w:r>
                    <w:rPr>
                      <w:rFonts w:hint="eastAsia"/>
                      <w:sz w:val="21"/>
                      <w:szCs w:val="21"/>
                      <w:lang w:val="en-US" w:eastAsia="zh-CN"/>
                    </w:rPr>
                    <w:t>非甲烷总烃</w:t>
                  </w:r>
                </w:p>
              </w:tc>
              <w:tc>
                <w:tcPr>
                  <w:tcW w:w="2132" w:type="dxa"/>
                  <w:vAlign w:val="center"/>
                </w:tcPr>
                <w:p w14:paraId="01059579">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lang w:val="en-US" w:eastAsia="zh-CN"/>
                    </w:rPr>
                    <w:t>0.28</w:t>
                  </w:r>
                </w:p>
              </w:tc>
              <w:tc>
                <w:tcPr>
                  <w:tcW w:w="1947" w:type="dxa"/>
                  <w:vAlign w:val="center"/>
                </w:tcPr>
                <w:p w14:paraId="7849228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lang w:val="en-US" w:eastAsia="zh-CN"/>
                    </w:rPr>
                    <w:t>0.01</w:t>
                  </w:r>
                </w:p>
              </w:tc>
              <w:tc>
                <w:tcPr>
                  <w:tcW w:w="1799" w:type="dxa"/>
                  <w:vAlign w:val="center"/>
                </w:tcPr>
                <w:p w14:paraId="3B7EEAE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lang w:val="en-US" w:eastAsia="zh-CN"/>
                    </w:rPr>
                    <w:t>0.024</w:t>
                  </w:r>
                </w:p>
              </w:tc>
            </w:tr>
            <w:tr w14:paraId="3506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Merge w:val="continue"/>
                  <w:vAlign w:val="center"/>
                </w:tcPr>
                <w:p w14:paraId="4F6A7A96">
                  <w:pPr>
                    <w:pStyle w:val="42"/>
                    <w:jc w:val="center"/>
                    <w:rPr>
                      <w:rFonts w:hint="eastAsia"/>
                      <w:sz w:val="21"/>
                      <w:szCs w:val="21"/>
                    </w:rPr>
                  </w:pPr>
                </w:p>
              </w:tc>
              <w:tc>
                <w:tcPr>
                  <w:tcW w:w="944" w:type="dxa"/>
                  <w:vMerge w:val="continue"/>
                  <w:vAlign w:val="center"/>
                </w:tcPr>
                <w:p w14:paraId="26E3627D">
                  <w:pPr>
                    <w:pStyle w:val="42"/>
                    <w:jc w:val="center"/>
                    <w:rPr>
                      <w:rFonts w:hint="eastAsia"/>
                      <w:sz w:val="21"/>
                      <w:szCs w:val="21"/>
                    </w:rPr>
                  </w:pPr>
                </w:p>
              </w:tc>
              <w:tc>
                <w:tcPr>
                  <w:tcW w:w="1337" w:type="dxa"/>
                  <w:vAlign w:val="center"/>
                </w:tcPr>
                <w:p w14:paraId="6A11C37F">
                  <w:pPr>
                    <w:pStyle w:val="42"/>
                    <w:ind w:firstLine="0" w:firstLineChars="0"/>
                    <w:jc w:val="center"/>
                    <w:rPr>
                      <w:rFonts w:hint="eastAsia"/>
                      <w:sz w:val="21"/>
                      <w:szCs w:val="21"/>
                      <w:lang w:val="en-US" w:eastAsia="zh-CN"/>
                    </w:rPr>
                  </w:pPr>
                  <w:r>
                    <w:rPr>
                      <w:rFonts w:hint="eastAsia"/>
                      <w:sz w:val="21"/>
                      <w:szCs w:val="21"/>
                      <w:lang w:val="en-US" w:eastAsia="zh-CN"/>
                    </w:rPr>
                    <w:t>NH</w:t>
                  </w:r>
                  <w:r>
                    <w:rPr>
                      <w:rFonts w:hint="eastAsia"/>
                      <w:sz w:val="21"/>
                      <w:szCs w:val="21"/>
                      <w:vertAlign w:val="subscript"/>
                      <w:lang w:val="en-US" w:eastAsia="zh-CN"/>
                    </w:rPr>
                    <w:t>3</w:t>
                  </w:r>
                </w:p>
              </w:tc>
              <w:tc>
                <w:tcPr>
                  <w:tcW w:w="2132" w:type="dxa"/>
                  <w:vAlign w:val="center"/>
                </w:tcPr>
                <w:p w14:paraId="31EE2EC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lang w:val="en-US" w:eastAsia="zh-CN"/>
                    </w:rPr>
                    <w:t>0.34</w:t>
                  </w:r>
                </w:p>
              </w:tc>
              <w:tc>
                <w:tcPr>
                  <w:tcW w:w="1947" w:type="dxa"/>
                  <w:vAlign w:val="center"/>
                </w:tcPr>
                <w:p w14:paraId="717588EA">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lang w:val="en-US" w:eastAsia="zh-CN"/>
                    </w:rPr>
                    <w:t>0.012</w:t>
                  </w:r>
                </w:p>
              </w:tc>
              <w:tc>
                <w:tcPr>
                  <w:tcW w:w="1799" w:type="dxa"/>
                  <w:vAlign w:val="center"/>
                </w:tcPr>
                <w:p w14:paraId="030FD201">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lang w:val="en-US" w:eastAsia="zh-CN"/>
                    </w:rPr>
                    <w:t>0.029</w:t>
                  </w:r>
                </w:p>
              </w:tc>
            </w:tr>
            <w:tr w14:paraId="00D8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Merge w:val="continue"/>
                  <w:vAlign w:val="center"/>
                </w:tcPr>
                <w:p w14:paraId="6F5825E9">
                  <w:pPr>
                    <w:pStyle w:val="42"/>
                    <w:jc w:val="center"/>
                    <w:rPr>
                      <w:rFonts w:hint="eastAsia"/>
                      <w:sz w:val="21"/>
                      <w:szCs w:val="21"/>
                    </w:rPr>
                  </w:pPr>
                </w:p>
              </w:tc>
              <w:tc>
                <w:tcPr>
                  <w:tcW w:w="944" w:type="dxa"/>
                  <w:vMerge w:val="continue"/>
                  <w:vAlign w:val="center"/>
                </w:tcPr>
                <w:p w14:paraId="793F6038">
                  <w:pPr>
                    <w:pStyle w:val="42"/>
                    <w:jc w:val="center"/>
                    <w:rPr>
                      <w:rFonts w:hint="eastAsia"/>
                      <w:sz w:val="21"/>
                      <w:szCs w:val="21"/>
                    </w:rPr>
                  </w:pPr>
                </w:p>
              </w:tc>
              <w:tc>
                <w:tcPr>
                  <w:tcW w:w="1337" w:type="dxa"/>
                  <w:vAlign w:val="center"/>
                </w:tcPr>
                <w:p w14:paraId="39F42828">
                  <w:pPr>
                    <w:pStyle w:val="42"/>
                    <w:ind w:firstLine="0" w:firstLineChars="0"/>
                    <w:jc w:val="center"/>
                    <w:rPr>
                      <w:rFonts w:hint="eastAsia"/>
                      <w:sz w:val="21"/>
                      <w:szCs w:val="21"/>
                      <w:lang w:val="en-US" w:eastAsia="zh-CN"/>
                    </w:rPr>
                  </w:pPr>
                  <w:r>
                    <w:rPr>
                      <w:rFonts w:hint="eastAsia"/>
                      <w:sz w:val="21"/>
                      <w:szCs w:val="21"/>
                      <w:lang w:val="en-US" w:eastAsia="zh-CN"/>
                    </w:rPr>
                    <w:t>H</w:t>
                  </w:r>
                  <w:r>
                    <w:rPr>
                      <w:rFonts w:hint="eastAsia"/>
                      <w:sz w:val="21"/>
                      <w:szCs w:val="21"/>
                      <w:vertAlign w:val="subscript"/>
                      <w:lang w:val="en-US" w:eastAsia="zh-CN"/>
                    </w:rPr>
                    <w:t>2</w:t>
                  </w:r>
                  <w:r>
                    <w:rPr>
                      <w:rFonts w:hint="eastAsia"/>
                      <w:sz w:val="21"/>
                      <w:szCs w:val="21"/>
                      <w:lang w:val="en-US" w:eastAsia="zh-CN"/>
                    </w:rPr>
                    <w:t>S</w:t>
                  </w:r>
                </w:p>
              </w:tc>
              <w:tc>
                <w:tcPr>
                  <w:tcW w:w="2132" w:type="dxa"/>
                  <w:vAlign w:val="center"/>
                </w:tcPr>
                <w:p w14:paraId="2B6E995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lang w:val="en-US" w:eastAsia="zh-CN"/>
                    </w:rPr>
                    <w:t>0.0071</w:t>
                  </w:r>
                </w:p>
              </w:tc>
              <w:tc>
                <w:tcPr>
                  <w:tcW w:w="1947" w:type="dxa"/>
                  <w:vAlign w:val="center"/>
                </w:tcPr>
                <w:p w14:paraId="35D607C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lang w:val="en-US" w:eastAsia="zh-CN"/>
                    </w:rPr>
                    <w:t>0.00025</w:t>
                  </w:r>
                </w:p>
              </w:tc>
              <w:tc>
                <w:tcPr>
                  <w:tcW w:w="1799" w:type="dxa"/>
                  <w:vAlign w:val="center"/>
                </w:tcPr>
                <w:p w14:paraId="1A8F59E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lang w:val="en-US" w:eastAsia="zh-CN"/>
                    </w:rPr>
                    <w:t>0.0006</w:t>
                  </w:r>
                </w:p>
              </w:tc>
            </w:tr>
            <w:tr w14:paraId="2619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0961DEEF">
                  <w:pPr>
                    <w:pStyle w:val="42"/>
                    <w:jc w:val="center"/>
                    <w:rPr>
                      <w:rFonts w:hint="eastAsia" w:eastAsia="宋体"/>
                      <w:sz w:val="21"/>
                      <w:szCs w:val="21"/>
                      <w:lang w:val="en-US" w:eastAsia="zh-CN"/>
                    </w:rPr>
                  </w:pPr>
                  <w:r>
                    <w:rPr>
                      <w:rFonts w:hint="eastAsia"/>
                      <w:sz w:val="21"/>
                      <w:szCs w:val="21"/>
                      <w:lang w:val="en-US" w:eastAsia="zh-CN"/>
                    </w:rPr>
                    <w:t>6</w:t>
                  </w:r>
                </w:p>
              </w:tc>
              <w:tc>
                <w:tcPr>
                  <w:tcW w:w="944" w:type="dxa"/>
                  <w:vAlign w:val="center"/>
                </w:tcPr>
                <w:p w14:paraId="6611ECC6">
                  <w:pPr>
                    <w:pStyle w:val="42"/>
                    <w:jc w:val="center"/>
                    <w:rPr>
                      <w:rFonts w:hint="eastAsia" w:eastAsia="宋体"/>
                      <w:sz w:val="21"/>
                      <w:szCs w:val="21"/>
                      <w:lang w:eastAsia="zh-CN"/>
                    </w:rPr>
                  </w:pPr>
                  <w:r>
                    <w:rPr>
                      <w:rFonts w:hint="eastAsia"/>
                      <w:sz w:val="21"/>
                      <w:szCs w:val="21"/>
                      <w:lang w:eastAsia="zh-CN"/>
                    </w:rPr>
                    <w:t>食堂油烟排气筒</w:t>
                  </w:r>
                </w:p>
              </w:tc>
              <w:tc>
                <w:tcPr>
                  <w:tcW w:w="1337" w:type="dxa"/>
                  <w:vAlign w:val="center"/>
                </w:tcPr>
                <w:p w14:paraId="565FF6C1">
                  <w:pPr>
                    <w:pStyle w:val="42"/>
                    <w:ind w:firstLine="0" w:firstLineChars="0"/>
                    <w:jc w:val="center"/>
                    <w:rPr>
                      <w:rFonts w:hint="eastAsia"/>
                      <w:sz w:val="21"/>
                      <w:szCs w:val="21"/>
                      <w:lang w:val="en-US" w:eastAsia="zh-CN"/>
                    </w:rPr>
                  </w:pPr>
                  <w:r>
                    <w:rPr>
                      <w:rFonts w:hint="eastAsia"/>
                      <w:sz w:val="21"/>
                      <w:szCs w:val="21"/>
                      <w:lang w:val="en-US" w:eastAsia="zh-CN"/>
                    </w:rPr>
                    <w:t>油烟</w:t>
                  </w:r>
                </w:p>
              </w:tc>
              <w:tc>
                <w:tcPr>
                  <w:tcW w:w="2132" w:type="dxa"/>
                  <w:vAlign w:val="center"/>
                </w:tcPr>
                <w:p w14:paraId="35E159C0">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eastAsia="宋体"/>
                      <w:sz w:val="21"/>
                      <w:szCs w:val="21"/>
                      <w:lang w:val="en-US" w:eastAsia="zh-CN"/>
                    </w:rPr>
                  </w:pPr>
                  <w:r>
                    <w:rPr>
                      <w:rFonts w:hint="eastAsia"/>
                      <w:lang w:val="en-US" w:eastAsia="zh-CN"/>
                    </w:rPr>
                    <w:t>0.049</w:t>
                  </w:r>
                </w:p>
              </w:tc>
              <w:tc>
                <w:tcPr>
                  <w:tcW w:w="1947" w:type="dxa"/>
                  <w:vAlign w:val="center"/>
                </w:tcPr>
                <w:p w14:paraId="64AA560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eastAsia="宋体"/>
                      <w:sz w:val="21"/>
                      <w:szCs w:val="21"/>
                      <w:lang w:val="en-US" w:eastAsia="zh-CN"/>
                    </w:rPr>
                  </w:pPr>
                  <w:r>
                    <w:rPr>
                      <w:rFonts w:hint="eastAsia"/>
                      <w:lang w:val="en-US" w:eastAsia="zh-CN"/>
                    </w:rPr>
                    <w:t>0.00017</w:t>
                  </w:r>
                </w:p>
              </w:tc>
              <w:tc>
                <w:tcPr>
                  <w:tcW w:w="1799" w:type="dxa"/>
                  <w:vAlign w:val="center"/>
                </w:tcPr>
                <w:p w14:paraId="18A9B93D">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eastAsia="宋体"/>
                      <w:sz w:val="21"/>
                      <w:szCs w:val="21"/>
                      <w:lang w:val="en-US" w:eastAsia="zh-CN"/>
                    </w:rPr>
                  </w:pPr>
                  <w:r>
                    <w:rPr>
                      <w:rFonts w:hint="eastAsia"/>
                      <w:lang w:val="en-US" w:eastAsia="zh-CN"/>
                    </w:rPr>
                    <w:t>0.000255</w:t>
                  </w:r>
                </w:p>
              </w:tc>
            </w:tr>
            <w:tr w14:paraId="3888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gridSpan w:val="2"/>
                  <w:vMerge w:val="restart"/>
                  <w:vAlign w:val="center"/>
                </w:tcPr>
                <w:p w14:paraId="62455D37">
                  <w:pPr>
                    <w:pStyle w:val="42"/>
                    <w:jc w:val="center"/>
                    <w:rPr>
                      <w:rFonts w:hint="eastAsia" w:eastAsia="宋体"/>
                      <w:sz w:val="21"/>
                      <w:szCs w:val="21"/>
                      <w:lang w:eastAsia="zh-CN"/>
                    </w:rPr>
                  </w:pPr>
                  <w:r>
                    <w:rPr>
                      <w:rFonts w:hint="eastAsia"/>
                      <w:sz w:val="21"/>
                      <w:szCs w:val="21"/>
                    </w:rPr>
                    <w:t>一般排放口</w:t>
                  </w:r>
                  <w:r>
                    <w:rPr>
                      <w:rFonts w:hint="eastAsia"/>
                      <w:sz w:val="21"/>
                      <w:szCs w:val="21"/>
                      <w:lang w:eastAsia="zh-CN"/>
                    </w:rPr>
                    <w:t>合计</w:t>
                  </w:r>
                </w:p>
              </w:tc>
              <w:tc>
                <w:tcPr>
                  <w:tcW w:w="5416" w:type="dxa"/>
                  <w:gridSpan w:val="3"/>
                  <w:vAlign w:val="center"/>
                </w:tcPr>
                <w:p w14:paraId="1A15F3DB">
                  <w:pPr>
                    <w:pStyle w:val="42"/>
                    <w:jc w:val="center"/>
                    <w:rPr>
                      <w:rFonts w:hint="default" w:eastAsia="宋体"/>
                      <w:sz w:val="21"/>
                      <w:szCs w:val="21"/>
                      <w:lang w:val="en-US" w:eastAsia="zh-CN"/>
                    </w:rPr>
                  </w:pPr>
                  <w:r>
                    <w:rPr>
                      <w:rFonts w:hint="eastAsia"/>
                      <w:sz w:val="21"/>
                      <w:szCs w:val="21"/>
                      <w:lang w:val="en-US" w:eastAsia="zh-CN"/>
                    </w:rPr>
                    <w:t>TSP</w:t>
                  </w:r>
                </w:p>
              </w:tc>
              <w:tc>
                <w:tcPr>
                  <w:tcW w:w="1799" w:type="dxa"/>
                  <w:vAlign w:val="center"/>
                </w:tcPr>
                <w:p w14:paraId="5738C91C">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sz w:val="21"/>
                      <w:szCs w:val="21"/>
                      <w:lang w:val="en-US"/>
                    </w:rPr>
                  </w:pPr>
                  <w:r>
                    <w:rPr>
                      <w:rFonts w:hint="eastAsia"/>
                      <w:lang w:val="en-US" w:eastAsia="zh-CN"/>
                    </w:rPr>
                    <w:t>0.018</w:t>
                  </w:r>
                </w:p>
              </w:tc>
            </w:tr>
            <w:tr w14:paraId="09FA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gridSpan w:val="2"/>
                  <w:vMerge w:val="continue"/>
                  <w:vAlign w:val="center"/>
                </w:tcPr>
                <w:p w14:paraId="2C3BC437">
                  <w:pPr>
                    <w:pStyle w:val="42"/>
                    <w:jc w:val="center"/>
                    <w:rPr>
                      <w:rFonts w:hint="eastAsia"/>
                      <w:sz w:val="21"/>
                      <w:szCs w:val="21"/>
                    </w:rPr>
                  </w:pPr>
                </w:p>
              </w:tc>
              <w:tc>
                <w:tcPr>
                  <w:tcW w:w="5416" w:type="dxa"/>
                  <w:gridSpan w:val="3"/>
                  <w:vAlign w:val="center"/>
                </w:tcPr>
                <w:p w14:paraId="2E949BB6">
                  <w:pPr>
                    <w:pStyle w:val="42"/>
                    <w:bidi w:val="0"/>
                    <w:ind w:firstLine="0" w:firstLineChars="0"/>
                    <w:jc w:val="center"/>
                    <w:rPr>
                      <w:rFonts w:hint="eastAsia"/>
                      <w:sz w:val="21"/>
                      <w:szCs w:val="21"/>
                      <w:lang w:val="en-US" w:eastAsia="zh-CN"/>
                    </w:rPr>
                  </w:pPr>
                  <w:r>
                    <w:rPr>
                      <w:rFonts w:hint="eastAsia"/>
                      <w:lang w:val="en-US" w:eastAsia="zh-CN"/>
                    </w:rPr>
                    <w:t>SO</w:t>
                  </w:r>
                  <w:r>
                    <w:rPr>
                      <w:rFonts w:hint="eastAsia"/>
                      <w:vertAlign w:val="subscript"/>
                      <w:lang w:val="en-US" w:eastAsia="zh-CN"/>
                    </w:rPr>
                    <w:t>2</w:t>
                  </w:r>
                </w:p>
              </w:tc>
              <w:tc>
                <w:tcPr>
                  <w:tcW w:w="1799" w:type="dxa"/>
                  <w:vAlign w:val="center"/>
                </w:tcPr>
                <w:p w14:paraId="300579CB">
                  <w:pPr>
                    <w:pStyle w:val="42"/>
                    <w:bidi w:val="0"/>
                    <w:ind w:firstLine="0" w:firstLineChars="0"/>
                    <w:jc w:val="center"/>
                    <w:rPr>
                      <w:rFonts w:hint="eastAsia"/>
                      <w:lang w:val="en-US" w:eastAsia="zh-CN"/>
                    </w:rPr>
                  </w:pPr>
                  <w:r>
                    <w:rPr>
                      <w:rFonts w:hint="eastAsia"/>
                      <w:lang w:val="en-US" w:eastAsia="zh-CN"/>
                    </w:rPr>
                    <w:t>1.2269</w:t>
                  </w:r>
                </w:p>
              </w:tc>
            </w:tr>
            <w:tr w14:paraId="2CD5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gridSpan w:val="2"/>
                  <w:vMerge w:val="continue"/>
                  <w:vAlign w:val="center"/>
                </w:tcPr>
                <w:p w14:paraId="44F2D3E6">
                  <w:pPr>
                    <w:pStyle w:val="42"/>
                    <w:jc w:val="center"/>
                    <w:rPr>
                      <w:rFonts w:hint="eastAsia"/>
                      <w:sz w:val="21"/>
                      <w:szCs w:val="21"/>
                    </w:rPr>
                  </w:pPr>
                </w:p>
              </w:tc>
              <w:tc>
                <w:tcPr>
                  <w:tcW w:w="5416" w:type="dxa"/>
                  <w:gridSpan w:val="3"/>
                  <w:vAlign w:val="center"/>
                </w:tcPr>
                <w:p w14:paraId="5658D791">
                  <w:pPr>
                    <w:pStyle w:val="42"/>
                    <w:bidi w:val="0"/>
                    <w:ind w:firstLine="0" w:firstLineChars="0"/>
                    <w:jc w:val="center"/>
                    <w:rPr>
                      <w:rFonts w:hint="eastAsia"/>
                      <w:sz w:val="21"/>
                      <w:szCs w:val="21"/>
                      <w:lang w:val="en-US" w:eastAsia="zh-CN"/>
                    </w:rPr>
                  </w:pPr>
                  <w:r>
                    <w:rPr>
                      <w:rFonts w:hint="eastAsia"/>
                      <w:lang w:val="en-US" w:eastAsia="zh-CN"/>
                    </w:rPr>
                    <w:t>NOx</w:t>
                  </w:r>
                </w:p>
              </w:tc>
              <w:tc>
                <w:tcPr>
                  <w:tcW w:w="1799" w:type="dxa"/>
                  <w:vAlign w:val="center"/>
                </w:tcPr>
                <w:p w14:paraId="666EE281">
                  <w:pPr>
                    <w:pStyle w:val="42"/>
                    <w:bidi w:val="0"/>
                    <w:ind w:firstLine="0" w:firstLineChars="0"/>
                    <w:jc w:val="center"/>
                    <w:rPr>
                      <w:rFonts w:hint="eastAsia"/>
                      <w:lang w:val="en-US" w:eastAsia="zh-CN"/>
                    </w:rPr>
                  </w:pPr>
                  <w:r>
                    <w:rPr>
                      <w:rFonts w:hint="eastAsia"/>
                      <w:lang w:val="en-US" w:eastAsia="zh-CN"/>
                    </w:rPr>
                    <w:t>2.344</w:t>
                  </w:r>
                </w:p>
              </w:tc>
            </w:tr>
            <w:tr w14:paraId="1C8E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gridSpan w:val="2"/>
                  <w:vMerge w:val="continue"/>
                  <w:vAlign w:val="center"/>
                </w:tcPr>
                <w:p w14:paraId="32B5CD77">
                  <w:pPr>
                    <w:pStyle w:val="42"/>
                    <w:jc w:val="center"/>
                    <w:rPr>
                      <w:rFonts w:hint="eastAsia"/>
                      <w:sz w:val="21"/>
                      <w:szCs w:val="21"/>
                    </w:rPr>
                  </w:pPr>
                </w:p>
              </w:tc>
              <w:tc>
                <w:tcPr>
                  <w:tcW w:w="5416" w:type="dxa"/>
                  <w:gridSpan w:val="3"/>
                  <w:vAlign w:val="center"/>
                </w:tcPr>
                <w:p w14:paraId="74E60570">
                  <w:pPr>
                    <w:pStyle w:val="42"/>
                    <w:ind w:firstLine="0" w:firstLineChars="0"/>
                    <w:jc w:val="center"/>
                    <w:rPr>
                      <w:rFonts w:hint="eastAsia"/>
                      <w:sz w:val="21"/>
                      <w:szCs w:val="21"/>
                    </w:rPr>
                  </w:pPr>
                  <w:r>
                    <w:rPr>
                      <w:rFonts w:hint="eastAsia"/>
                      <w:sz w:val="21"/>
                      <w:szCs w:val="21"/>
                      <w:lang w:val="en-US" w:eastAsia="zh-CN"/>
                    </w:rPr>
                    <w:t>非甲烷总烃</w:t>
                  </w:r>
                </w:p>
              </w:tc>
              <w:tc>
                <w:tcPr>
                  <w:tcW w:w="1799" w:type="dxa"/>
                  <w:vAlign w:val="center"/>
                </w:tcPr>
                <w:p w14:paraId="4233B212">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0.198</w:t>
                  </w:r>
                </w:p>
              </w:tc>
            </w:tr>
            <w:tr w14:paraId="5D68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gridSpan w:val="2"/>
                  <w:vMerge w:val="continue"/>
                  <w:vAlign w:val="center"/>
                </w:tcPr>
                <w:p w14:paraId="6FCA32EF">
                  <w:pPr>
                    <w:pStyle w:val="42"/>
                    <w:jc w:val="center"/>
                    <w:rPr>
                      <w:rFonts w:hint="eastAsia"/>
                      <w:sz w:val="21"/>
                      <w:szCs w:val="21"/>
                    </w:rPr>
                  </w:pPr>
                </w:p>
              </w:tc>
              <w:tc>
                <w:tcPr>
                  <w:tcW w:w="5416" w:type="dxa"/>
                  <w:gridSpan w:val="3"/>
                  <w:vAlign w:val="center"/>
                </w:tcPr>
                <w:p w14:paraId="38DE7DCB">
                  <w:pPr>
                    <w:pStyle w:val="42"/>
                    <w:ind w:firstLine="0" w:firstLineChars="0"/>
                    <w:jc w:val="center"/>
                    <w:rPr>
                      <w:rFonts w:hint="eastAsia"/>
                      <w:sz w:val="21"/>
                      <w:szCs w:val="21"/>
                    </w:rPr>
                  </w:pPr>
                  <w:r>
                    <w:rPr>
                      <w:rFonts w:hint="eastAsia"/>
                      <w:sz w:val="21"/>
                      <w:szCs w:val="21"/>
                      <w:lang w:val="en-US" w:eastAsia="zh-CN"/>
                    </w:rPr>
                    <w:t>NH</w:t>
                  </w:r>
                  <w:r>
                    <w:rPr>
                      <w:rFonts w:hint="eastAsia"/>
                      <w:sz w:val="21"/>
                      <w:szCs w:val="21"/>
                      <w:vertAlign w:val="subscript"/>
                      <w:lang w:val="en-US" w:eastAsia="zh-CN"/>
                    </w:rPr>
                    <w:t>3</w:t>
                  </w:r>
                </w:p>
              </w:tc>
              <w:tc>
                <w:tcPr>
                  <w:tcW w:w="1799" w:type="dxa"/>
                  <w:vAlign w:val="center"/>
                </w:tcPr>
                <w:p w14:paraId="4A64D97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0.154</w:t>
                  </w:r>
                </w:p>
              </w:tc>
            </w:tr>
            <w:tr w14:paraId="3797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gridSpan w:val="2"/>
                  <w:vMerge w:val="continue"/>
                  <w:vAlign w:val="center"/>
                </w:tcPr>
                <w:p w14:paraId="08B6C729">
                  <w:pPr>
                    <w:pStyle w:val="42"/>
                    <w:jc w:val="center"/>
                    <w:rPr>
                      <w:rFonts w:hint="eastAsia"/>
                      <w:sz w:val="21"/>
                      <w:szCs w:val="21"/>
                    </w:rPr>
                  </w:pPr>
                </w:p>
              </w:tc>
              <w:tc>
                <w:tcPr>
                  <w:tcW w:w="5416" w:type="dxa"/>
                  <w:gridSpan w:val="3"/>
                  <w:vAlign w:val="center"/>
                </w:tcPr>
                <w:p w14:paraId="3BFA7174">
                  <w:pPr>
                    <w:pStyle w:val="42"/>
                    <w:ind w:firstLine="0" w:firstLineChars="0"/>
                    <w:jc w:val="center"/>
                    <w:rPr>
                      <w:rFonts w:hint="eastAsia"/>
                      <w:sz w:val="21"/>
                      <w:szCs w:val="21"/>
                    </w:rPr>
                  </w:pPr>
                  <w:r>
                    <w:rPr>
                      <w:rFonts w:hint="eastAsia"/>
                      <w:sz w:val="21"/>
                      <w:szCs w:val="21"/>
                      <w:lang w:val="en-US" w:eastAsia="zh-CN"/>
                    </w:rPr>
                    <w:t>H</w:t>
                  </w:r>
                  <w:r>
                    <w:rPr>
                      <w:rFonts w:hint="eastAsia"/>
                      <w:sz w:val="21"/>
                      <w:szCs w:val="21"/>
                      <w:vertAlign w:val="subscript"/>
                      <w:lang w:val="en-US" w:eastAsia="zh-CN"/>
                    </w:rPr>
                    <w:t>2</w:t>
                  </w:r>
                  <w:r>
                    <w:rPr>
                      <w:rFonts w:hint="eastAsia"/>
                      <w:sz w:val="21"/>
                      <w:szCs w:val="21"/>
                      <w:lang w:val="en-US" w:eastAsia="zh-CN"/>
                    </w:rPr>
                    <w:t>S</w:t>
                  </w:r>
                </w:p>
              </w:tc>
              <w:tc>
                <w:tcPr>
                  <w:tcW w:w="1799" w:type="dxa"/>
                  <w:vAlign w:val="center"/>
                </w:tcPr>
                <w:p w14:paraId="13294B7B">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0.0016</w:t>
                  </w:r>
                </w:p>
              </w:tc>
            </w:tr>
            <w:tr w14:paraId="4F66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gridSpan w:val="2"/>
                  <w:vMerge w:val="continue"/>
                  <w:vAlign w:val="center"/>
                </w:tcPr>
                <w:p w14:paraId="31F4D844">
                  <w:pPr>
                    <w:pStyle w:val="42"/>
                    <w:jc w:val="center"/>
                    <w:rPr>
                      <w:rFonts w:hint="eastAsia"/>
                      <w:sz w:val="21"/>
                      <w:szCs w:val="21"/>
                    </w:rPr>
                  </w:pPr>
                </w:p>
              </w:tc>
              <w:tc>
                <w:tcPr>
                  <w:tcW w:w="5416" w:type="dxa"/>
                  <w:gridSpan w:val="3"/>
                  <w:vAlign w:val="center"/>
                </w:tcPr>
                <w:p w14:paraId="0A30810A">
                  <w:pPr>
                    <w:pStyle w:val="42"/>
                    <w:jc w:val="center"/>
                    <w:rPr>
                      <w:rFonts w:hint="eastAsia" w:eastAsia="宋体"/>
                      <w:sz w:val="21"/>
                      <w:szCs w:val="21"/>
                      <w:lang w:eastAsia="zh-CN"/>
                    </w:rPr>
                  </w:pPr>
                  <w:r>
                    <w:rPr>
                      <w:rFonts w:hint="eastAsia"/>
                      <w:sz w:val="21"/>
                      <w:szCs w:val="21"/>
                      <w:lang w:eastAsia="zh-CN"/>
                    </w:rPr>
                    <w:t>油烟</w:t>
                  </w:r>
                </w:p>
              </w:tc>
              <w:tc>
                <w:tcPr>
                  <w:tcW w:w="1799" w:type="dxa"/>
                  <w:vAlign w:val="center"/>
                </w:tcPr>
                <w:p w14:paraId="19573BB4">
                  <w:pPr>
                    <w:pStyle w:val="42"/>
                    <w:jc w:val="center"/>
                    <w:rPr>
                      <w:rFonts w:hint="default"/>
                      <w:sz w:val="21"/>
                      <w:szCs w:val="21"/>
                      <w:lang w:val="en-US"/>
                    </w:rPr>
                  </w:pPr>
                  <w:r>
                    <w:rPr>
                      <w:rFonts w:hint="eastAsia"/>
                      <w:lang w:val="en-US" w:eastAsia="zh-CN"/>
                    </w:rPr>
                    <w:t>0.000255</w:t>
                  </w:r>
                </w:p>
              </w:tc>
            </w:tr>
            <w:tr w14:paraId="007B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6" w:type="dxa"/>
                  <w:gridSpan w:val="6"/>
                  <w:vAlign w:val="center"/>
                </w:tcPr>
                <w:p w14:paraId="5B0C4334">
                  <w:pPr>
                    <w:pStyle w:val="42"/>
                    <w:jc w:val="center"/>
                    <w:rPr>
                      <w:sz w:val="21"/>
                      <w:szCs w:val="21"/>
                    </w:rPr>
                  </w:pPr>
                  <w:r>
                    <w:rPr>
                      <w:rFonts w:hint="eastAsia"/>
                      <w:sz w:val="21"/>
                      <w:szCs w:val="21"/>
                    </w:rPr>
                    <w:t>有组织排放总计</w:t>
                  </w:r>
                </w:p>
              </w:tc>
            </w:tr>
            <w:tr w14:paraId="1065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gridSpan w:val="2"/>
                  <w:vMerge w:val="restart"/>
                  <w:vAlign w:val="center"/>
                </w:tcPr>
                <w:p w14:paraId="0AE9B1A9">
                  <w:pPr>
                    <w:pStyle w:val="42"/>
                    <w:jc w:val="center"/>
                    <w:rPr>
                      <w:sz w:val="21"/>
                      <w:szCs w:val="21"/>
                    </w:rPr>
                  </w:pPr>
                  <w:r>
                    <w:rPr>
                      <w:rFonts w:hint="eastAsia"/>
                      <w:sz w:val="21"/>
                      <w:szCs w:val="21"/>
                    </w:rPr>
                    <w:t>有组织排放总计</w:t>
                  </w:r>
                </w:p>
              </w:tc>
              <w:tc>
                <w:tcPr>
                  <w:tcW w:w="5416" w:type="dxa"/>
                  <w:gridSpan w:val="3"/>
                  <w:vAlign w:val="center"/>
                </w:tcPr>
                <w:p w14:paraId="425143FD">
                  <w:pPr>
                    <w:pStyle w:val="42"/>
                    <w:ind w:firstLine="0" w:firstLineChars="0"/>
                    <w:jc w:val="center"/>
                    <w:rPr>
                      <w:sz w:val="21"/>
                      <w:szCs w:val="21"/>
                    </w:rPr>
                  </w:pPr>
                  <w:r>
                    <w:rPr>
                      <w:rFonts w:hint="eastAsia"/>
                      <w:sz w:val="21"/>
                      <w:szCs w:val="21"/>
                      <w:lang w:val="en-US" w:eastAsia="zh-CN"/>
                    </w:rPr>
                    <w:t>TSP</w:t>
                  </w:r>
                </w:p>
              </w:tc>
              <w:tc>
                <w:tcPr>
                  <w:tcW w:w="1799" w:type="dxa"/>
                  <w:vAlign w:val="center"/>
                </w:tcPr>
                <w:p w14:paraId="42AA0A9A">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sz w:val="21"/>
                      <w:szCs w:val="21"/>
                      <w:lang w:val="en-US"/>
                    </w:rPr>
                  </w:pPr>
                  <w:r>
                    <w:rPr>
                      <w:rFonts w:hint="eastAsia"/>
                      <w:lang w:val="en-US" w:eastAsia="zh-CN"/>
                    </w:rPr>
                    <w:t>0.018</w:t>
                  </w:r>
                </w:p>
              </w:tc>
            </w:tr>
            <w:tr w14:paraId="6B3D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gridSpan w:val="2"/>
                  <w:vMerge w:val="continue"/>
                  <w:vAlign w:val="center"/>
                </w:tcPr>
                <w:p w14:paraId="23AE7616">
                  <w:pPr>
                    <w:pStyle w:val="42"/>
                    <w:jc w:val="center"/>
                    <w:rPr>
                      <w:rFonts w:hint="eastAsia"/>
                      <w:sz w:val="21"/>
                      <w:szCs w:val="21"/>
                    </w:rPr>
                  </w:pPr>
                </w:p>
              </w:tc>
              <w:tc>
                <w:tcPr>
                  <w:tcW w:w="5416" w:type="dxa"/>
                  <w:gridSpan w:val="3"/>
                  <w:vAlign w:val="center"/>
                </w:tcPr>
                <w:p w14:paraId="18E67B95">
                  <w:pPr>
                    <w:pStyle w:val="42"/>
                    <w:bidi w:val="0"/>
                    <w:ind w:firstLine="0" w:firstLineChars="0"/>
                    <w:jc w:val="center"/>
                    <w:rPr>
                      <w:rFonts w:hint="eastAsia"/>
                      <w:sz w:val="21"/>
                      <w:szCs w:val="21"/>
                      <w:lang w:val="en-US" w:eastAsia="zh-CN"/>
                    </w:rPr>
                  </w:pPr>
                  <w:r>
                    <w:rPr>
                      <w:rFonts w:hint="eastAsia"/>
                      <w:lang w:val="en-US" w:eastAsia="zh-CN"/>
                    </w:rPr>
                    <w:t>SO</w:t>
                  </w:r>
                  <w:r>
                    <w:rPr>
                      <w:rFonts w:hint="eastAsia"/>
                      <w:vertAlign w:val="subscript"/>
                      <w:lang w:val="en-US" w:eastAsia="zh-CN"/>
                    </w:rPr>
                    <w:t>2</w:t>
                  </w:r>
                </w:p>
              </w:tc>
              <w:tc>
                <w:tcPr>
                  <w:tcW w:w="1799" w:type="dxa"/>
                  <w:vAlign w:val="center"/>
                </w:tcPr>
                <w:p w14:paraId="0438CF70">
                  <w:pPr>
                    <w:pStyle w:val="42"/>
                    <w:bidi w:val="0"/>
                    <w:ind w:firstLine="0" w:firstLineChars="0"/>
                    <w:jc w:val="center"/>
                    <w:rPr>
                      <w:rFonts w:hint="eastAsia"/>
                      <w:lang w:val="en-US" w:eastAsia="zh-CN"/>
                    </w:rPr>
                  </w:pPr>
                  <w:r>
                    <w:rPr>
                      <w:rFonts w:hint="eastAsia"/>
                      <w:lang w:val="en-US" w:eastAsia="zh-CN"/>
                    </w:rPr>
                    <w:t>1.2269</w:t>
                  </w:r>
                </w:p>
              </w:tc>
            </w:tr>
            <w:tr w14:paraId="4375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gridSpan w:val="2"/>
                  <w:vMerge w:val="continue"/>
                  <w:vAlign w:val="center"/>
                </w:tcPr>
                <w:p w14:paraId="77D46E6A">
                  <w:pPr>
                    <w:pStyle w:val="42"/>
                    <w:jc w:val="center"/>
                    <w:rPr>
                      <w:rFonts w:hint="eastAsia"/>
                      <w:sz w:val="21"/>
                      <w:szCs w:val="21"/>
                    </w:rPr>
                  </w:pPr>
                </w:p>
              </w:tc>
              <w:tc>
                <w:tcPr>
                  <w:tcW w:w="5416" w:type="dxa"/>
                  <w:gridSpan w:val="3"/>
                  <w:vAlign w:val="center"/>
                </w:tcPr>
                <w:p w14:paraId="336B445A">
                  <w:pPr>
                    <w:pStyle w:val="42"/>
                    <w:bidi w:val="0"/>
                    <w:ind w:firstLine="0" w:firstLineChars="0"/>
                    <w:jc w:val="center"/>
                    <w:rPr>
                      <w:rFonts w:hint="eastAsia"/>
                      <w:sz w:val="21"/>
                      <w:szCs w:val="21"/>
                      <w:lang w:val="en-US" w:eastAsia="zh-CN"/>
                    </w:rPr>
                  </w:pPr>
                  <w:r>
                    <w:rPr>
                      <w:rFonts w:hint="eastAsia"/>
                      <w:lang w:val="en-US" w:eastAsia="zh-CN"/>
                    </w:rPr>
                    <w:t>NOx</w:t>
                  </w:r>
                </w:p>
              </w:tc>
              <w:tc>
                <w:tcPr>
                  <w:tcW w:w="1799" w:type="dxa"/>
                  <w:vAlign w:val="center"/>
                </w:tcPr>
                <w:p w14:paraId="3E9E4A27">
                  <w:pPr>
                    <w:pStyle w:val="42"/>
                    <w:bidi w:val="0"/>
                    <w:ind w:firstLine="0" w:firstLineChars="0"/>
                    <w:jc w:val="center"/>
                    <w:rPr>
                      <w:rFonts w:hint="eastAsia"/>
                      <w:lang w:val="en-US" w:eastAsia="zh-CN"/>
                    </w:rPr>
                  </w:pPr>
                  <w:r>
                    <w:rPr>
                      <w:rFonts w:hint="eastAsia"/>
                      <w:lang w:val="en-US" w:eastAsia="zh-CN"/>
                    </w:rPr>
                    <w:t>2.344</w:t>
                  </w:r>
                </w:p>
              </w:tc>
            </w:tr>
            <w:tr w14:paraId="2086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gridSpan w:val="2"/>
                  <w:vMerge w:val="continue"/>
                  <w:vAlign w:val="center"/>
                </w:tcPr>
                <w:p w14:paraId="14B1CFB3">
                  <w:pPr>
                    <w:pStyle w:val="42"/>
                    <w:jc w:val="center"/>
                    <w:rPr>
                      <w:rFonts w:hint="eastAsia"/>
                      <w:sz w:val="21"/>
                      <w:szCs w:val="21"/>
                    </w:rPr>
                  </w:pPr>
                </w:p>
              </w:tc>
              <w:tc>
                <w:tcPr>
                  <w:tcW w:w="5416" w:type="dxa"/>
                  <w:gridSpan w:val="3"/>
                  <w:vAlign w:val="center"/>
                </w:tcPr>
                <w:p w14:paraId="7F8397F7">
                  <w:pPr>
                    <w:pStyle w:val="42"/>
                    <w:ind w:firstLine="0" w:firstLineChars="0"/>
                    <w:jc w:val="center"/>
                    <w:rPr>
                      <w:rFonts w:hint="eastAsia"/>
                      <w:sz w:val="21"/>
                      <w:szCs w:val="21"/>
                    </w:rPr>
                  </w:pPr>
                  <w:r>
                    <w:rPr>
                      <w:rFonts w:hint="eastAsia"/>
                      <w:sz w:val="21"/>
                      <w:szCs w:val="21"/>
                      <w:lang w:val="en-US" w:eastAsia="zh-CN"/>
                    </w:rPr>
                    <w:t>非甲烷总烃</w:t>
                  </w:r>
                </w:p>
              </w:tc>
              <w:tc>
                <w:tcPr>
                  <w:tcW w:w="1799" w:type="dxa"/>
                  <w:vAlign w:val="center"/>
                </w:tcPr>
                <w:p w14:paraId="1E45B0E1">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sz w:val="21"/>
                      <w:szCs w:val="21"/>
                      <w:lang w:val="en-US"/>
                    </w:rPr>
                  </w:pPr>
                  <w:r>
                    <w:rPr>
                      <w:rFonts w:hint="eastAsia"/>
                      <w:sz w:val="21"/>
                      <w:szCs w:val="21"/>
                      <w:lang w:val="en-US" w:eastAsia="zh-CN"/>
                    </w:rPr>
                    <w:t>0.198</w:t>
                  </w:r>
                </w:p>
              </w:tc>
            </w:tr>
            <w:tr w14:paraId="36E0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gridSpan w:val="2"/>
                  <w:vMerge w:val="continue"/>
                  <w:vAlign w:val="center"/>
                </w:tcPr>
                <w:p w14:paraId="14D1587C">
                  <w:pPr>
                    <w:pStyle w:val="42"/>
                    <w:jc w:val="center"/>
                    <w:rPr>
                      <w:rFonts w:hint="eastAsia"/>
                      <w:sz w:val="21"/>
                      <w:szCs w:val="21"/>
                    </w:rPr>
                  </w:pPr>
                </w:p>
              </w:tc>
              <w:tc>
                <w:tcPr>
                  <w:tcW w:w="5416" w:type="dxa"/>
                  <w:gridSpan w:val="3"/>
                  <w:vAlign w:val="center"/>
                </w:tcPr>
                <w:p w14:paraId="39F905D7">
                  <w:pPr>
                    <w:pStyle w:val="42"/>
                    <w:ind w:firstLine="0" w:firstLineChars="0"/>
                    <w:jc w:val="center"/>
                    <w:rPr>
                      <w:rFonts w:hint="eastAsia"/>
                      <w:sz w:val="21"/>
                      <w:szCs w:val="21"/>
                    </w:rPr>
                  </w:pPr>
                  <w:r>
                    <w:rPr>
                      <w:rFonts w:hint="eastAsia"/>
                      <w:sz w:val="21"/>
                      <w:szCs w:val="21"/>
                      <w:lang w:val="en-US" w:eastAsia="zh-CN"/>
                    </w:rPr>
                    <w:t>NH</w:t>
                  </w:r>
                  <w:r>
                    <w:rPr>
                      <w:rFonts w:hint="eastAsia"/>
                      <w:sz w:val="21"/>
                      <w:szCs w:val="21"/>
                      <w:vertAlign w:val="subscript"/>
                      <w:lang w:val="en-US" w:eastAsia="zh-CN"/>
                    </w:rPr>
                    <w:t>3</w:t>
                  </w:r>
                </w:p>
              </w:tc>
              <w:tc>
                <w:tcPr>
                  <w:tcW w:w="1799" w:type="dxa"/>
                  <w:vAlign w:val="center"/>
                </w:tcPr>
                <w:p w14:paraId="4F7F194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sz w:val="21"/>
                      <w:szCs w:val="21"/>
                    </w:rPr>
                  </w:pPr>
                  <w:r>
                    <w:rPr>
                      <w:rFonts w:hint="eastAsia"/>
                      <w:sz w:val="21"/>
                      <w:szCs w:val="21"/>
                      <w:lang w:val="en-US" w:eastAsia="zh-CN"/>
                    </w:rPr>
                    <w:t>0.154</w:t>
                  </w:r>
                </w:p>
              </w:tc>
            </w:tr>
            <w:tr w14:paraId="7033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gridSpan w:val="2"/>
                  <w:vMerge w:val="continue"/>
                  <w:vAlign w:val="center"/>
                </w:tcPr>
                <w:p w14:paraId="0E277012">
                  <w:pPr>
                    <w:pStyle w:val="42"/>
                    <w:jc w:val="center"/>
                    <w:rPr>
                      <w:rFonts w:hint="eastAsia"/>
                      <w:sz w:val="21"/>
                      <w:szCs w:val="21"/>
                    </w:rPr>
                  </w:pPr>
                </w:p>
              </w:tc>
              <w:tc>
                <w:tcPr>
                  <w:tcW w:w="5416" w:type="dxa"/>
                  <w:gridSpan w:val="3"/>
                  <w:vAlign w:val="center"/>
                </w:tcPr>
                <w:p w14:paraId="3A66AA5D">
                  <w:pPr>
                    <w:pStyle w:val="42"/>
                    <w:ind w:firstLine="0" w:firstLineChars="0"/>
                    <w:jc w:val="center"/>
                    <w:rPr>
                      <w:rFonts w:hint="eastAsia"/>
                      <w:sz w:val="21"/>
                      <w:szCs w:val="21"/>
                    </w:rPr>
                  </w:pPr>
                  <w:r>
                    <w:rPr>
                      <w:rFonts w:hint="eastAsia"/>
                      <w:sz w:val="21"/>
                      <w:szCs w:val="21"/>
                      <w:lang w:val="en-US" w:eastAsia="zh-CN"/>
                    </w:rPr>
                    <w:t>H</w:t>
                  </w:r>
                  <w:r>
                    <w:rPr>
                      <w:rFonts w:hint="eastAsia"/>
                      <w:sz w:val="21"/>
                      <w:szCs w:val="21"/>
                      <w:vertAlign w:val="subscript"/>
                      <w:lang w:val="en-US" w:eastAsia="zh-CN"/>
                    </w:rPr>
                    <w:t>2</w:t>
                  </w:r>
                  <w:r>
                    <w:rPr>
                      <w:rFonts w:hint="eastAsia"/>
                      <w:sz w:val="21"/>
                      <w:szCs w:val="21"/>
                      <w:lang w:val="en-US" w:eastAsia="zh-CN"/>
                    </w:rPr>
                    <w:t>S</w:t>
                  </w:r>
                </w:p>
              </w:tc>
              <w:tc>
                <w:tcPr>
                  <w:tcW w:w="1799" w:type="dxa"/>
                  <w:vAlign w:val="center"/>
                </w:tcPr>
                <w:p w14:paraId="3C690E8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sz w:val="21"/>
                      <w:szCs w:val="21"/>
                    </w:rPr>
                  </w:pPr>
                  <w:r>
                    <w:rPr>
                      <w:rFonts w:hint="eastAsia"/>
                      <w:sz w:val="21"/>
                      <w:szCs w:val="21"/>
                      <w:lang w:val="en-US" w:eastAsia="zh-CN"/>
                    </w:rPr>
                    <w:t>0.0016</w:t>
                  </w:r>
                </w:p>
              </w:tc>
            </w:tr>
            <w:tr w14:paraId="7F53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gridSpan w:val="2"/>
                  <w:vMerge w:val="continue"/>
                  <w:vAlign w:val="center"/>
                </w:tcPr>
                <w:p w14:paraId="4C5228C8">
                  <w:pPr>
                    <w:pStyle w:val="42"/>
                    <w:jc w:val="center"/>
                    <w:rPr>
                      <w:rFonts w:hint="eastAsia"/>
                      <w:sz w:val="21"/>
                      <w:szCs w:val="21"/>
                    </w:rPr>
                  </w:pPr>
                </w:p>
              </w:tc>
              <w:tc>
                <w:tcPr>
                  <w:tcW w:w="5416" w:type="dxa"/>
                  <w:gridSpan w:val="3"/>
                  <w:vAlign w:val="center"/>
                </w:tcPr>
                <w:p w14:paraId="131DD564">
                  <w:pPr>
                    <w:pStyle w:val="42"/>
                    <w:ind w:firstLine="0" w:firstLineChars="0"/>
                    <w:jc w:val="center"/>
                    <w:rPr>
                      <w:rFonts w:hint="eastAsia"/>
                      <w:sz w:val="21"/>
                      <w:szCs w:val="21"/>
                    </w:rPr>
                  </w:pPr>
                  <w:r>
                    <w:rPr>
                      <w:rFonts w:hint="eastAsia"/>
                      <w:sz w:val="21"/>
                      <w:szCs w:val="21"/>
                      <w:lang w:eastAsia="zh-CN"/>
                    </w:rPr>
                    <w:t>油烟</w:t>
                  </w:r>
                </w:p>
              </w:tc>
              <w:tc>
                <w:tcPr>
                  <w:tcW w:w="1799" w:type="dxa"/>
                  <w:vAlign w:val="center"/>
                </w:tcPr>
                <w:p w14:paraId="5980EA04">
                  <w:pPr>
                    <w:pStyle w:val="42"/>
                    <w:ind w:firstLine="0" w:firstLineChars="0"/>
                    <w:jc w:val="center"/>
                    <w:rPr>
                      <w:rFonts w:hint="eastAsia"/>
                      <w:sz w:val="21"/>
                      <w:szCs w:val="21"/>
                    </w:rPr>
                  </w:pPr>
                  <w:r>
                    <w:rPr>
                      <w:rFonts w:hint="eastAsia"/>
                      <w:lang w:val="en-US" w:eastAsia="zh-CN"/>
                    </w:rPr>
                    <w:t>0.000255</w:t>
                  </w:r>
                </w:p>
              </w:tc>
            </w:tr>
          </w:tbl>
          <w:p w14:paraId="241BBA41">
            <w:pPr>
              <w:pStyle w:val="8"/>
              <w:numPr>
                <w:ilvl w:val="5"/>
                <w:numId w:val="0"/>
              </w:numPr>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表4-15</w:t>
            </w:r>
            <w:r>
              <w:rPr>
                <w:rFonts w:hint="eastAsia"/>
                <w:lang w:eastAsia="zh-CN"/>
              </w:rPr>
              <w:t>本项目</w:t>
            </w:r>
            <w:r>
              <w:rPr>
                <w:rFonts w:hint="eastAsia"/>
              </w:rPr>
              <w:t>大气污染物无组织排放量核算表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713"/>
              <w:gridCol w:w="785"/>
              <w:gridCol w:w="820"/>
              <w:gridCol w:w="969"/>
              <w:gridCol w:w="2642"/>
              <w:gridCol w:w="1201"/>
              <w:gridCol w:w="1002"/>
            </w:tblGrid>
            <w:tr w14:paraId="7F71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vAlign w:val="center"/>
                </w:tcPr>
                <w:p w14:paraId="56C508B5">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r>
                    <w:rPr>
                      <w:sz w:val="21"/>
                      <w:szCs w:val="21"/>
                    </w:rPr>
                    <w:t>序号</w:t>
                  </w:r>
                </w:p>
              </w:tc>
              <w:tc>
                <w:tcPr>
                  <w:tcW w:w="0" w:type="auto"/>
                  <w:vMerge w:val="restart"/>
                  <w:vAlign w:val="center"/>
                </w:tcPr>
                <w:p w14:paraId="5FEBF154">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排放口编号</w:t>
                  </w:r>
                </w:p>
              </w:tc>
              <w:tc>
                <w:tcPr>
                  <w:tcW w:w="0" w:type="auto"/>
                  <w:vMerge w:val="restart"/>
                  <w:vAlign w:val="center"/>
                </w:tcPr>
                <w:p w14:paraId="7995FABB">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r>
                    <w:rPr>
                      <w:sz w:val="21"/>
                      <w:szCs w:val="21"/>
                    </w:rPr>
                    <w:t>产污环节</w:t>
                  </w:r>
                </w:p>
              </w:tc>
              <w:tc>
                <w:tcPr>
                  <w:tcW w:w="0" w:type="auto"/>
                  <w:vMerge w:val="restart"/>
                  <w:vAlign w:val="center"/>
                </w:tcPr>
                <w:p w14:paraId="09C0C243">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r>
                    <w:rPr>
                      <w:sz w:val="21"/>
                      <w:szCs w:val="21"/>
                    </w:rPr>
                    <w:t>污染物</w:t>
                  </w:r>
                </w:p>
              </w:tc>
              <w:tc>
                <w:tcPr>
                  <w:tcW w:w="0" w:type="auto"/>
                  <w:vMerge w:val="restart"/>
                  <w:vAlign w:val="center"/>
                </w:tcPr>
                <w:p w14:paraId="42E92E3A">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r>
                    <w:rPr>
                      <w:sz w:val="21"/>
                      <w:szCs w:val="21"/>
                    </w:rPr>
                    <w:t>主要污染防治措施</w:t>
                  </w:r>
                </w:p>
              </w:tc>
              <w:tc>
                <w:tcPr>
                  <w:tcW w:w="0" w:type="auto"/>
                  <w:gridSpan w:val="2"/>
                  <w:vAlign w:val="center"/>
                </w:tcPr>
                <w:p w14:paraId="069F2F28">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r>
                    <w:rPr>
                      <w:sz w:val="21"/>
                      <w:szCs w:val="21"/>
                    </w:rPr>
                    <w:t>国家污染物排放标准</w:t>
                  </w:r>
                </w:p>
              </w:tc>
              <w:tc>
                <w:tcPr>
                  <w:tcW w:w="0" w:type="auto"/>
                  <w:vMerge w:val="restart"/>
                  <w:vAlign w:val="center"/>
                </w:tcPr>
                <w:p w14:paraId="23E0BAF8">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年</w:t>
                  </w:r>
                  <w:r>
                    <w:rPr>
                      <w:sz w:val="21"/>
                      <w:szCs w:val="21"/>
                    </w:rPr>
                    <w:t>排放</w:t>
                  </w:r>
                  <w:r>
                    <w:rPr>
                      <w:rFonts w:hint="eastAsia"/>
                      <w:sz w:val="21"/>
                      <w:szCs w:val="21"/>
                    </w:rPr>
                    <w:t>量</w:t>
                  </w:r>
                  <w:r>
                    <w:rPr>
                      <w:sz w:val="21"/>
                      <w:szCs w:val="21"/>
                    </w:rPr>
                    <w:t>(t/a)</w:t>
                  </w:r>
                </w:p>
              </w:tc>
            </w:tr>
            <w:tr w14:paraId="1C34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40644818">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p>
              </w:tc>
              <w:tc>
                <w:tcPr>
                  <w:tcW w:w="0" w:type="auto"/>
                  <w:vMerge w:val="continue"/>
                  <w:vAlign w:val="center"/>
                </w:tcPr>
                <w:p w14:paraId="622EA98B">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p>
              </w:tc>
              <w:tc>
                <w:tcPr>
                  <w:tcW w:w="0" w:type="auto"/>
                  <w:vMerge w:val="continue"/>
                  <w:vAlign w:val="center"/>
                </w:tcPr>
                <w:p w14:paraId="332B17C2">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p>
              </w:tc>
              <w:tc>
                <w:tcPr>
                  <w:tcW w:w="0" w:type="auto"/>
                  <w:vMerge w:val="continue"/>
                  <w:vAlign w:val="center"/>
                </w:tcPr>
                <w:p w14:paraId="173B3449">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p>
              </w:tc>
              <w:tc>
                <w:tcPr>
                  <w:tcW w:w="0" w:type="auto"/>
                  <w:vMerge w:val="continue"/>
                  <w:vAlign w:val="center"/>
                </w:tcPr>
                <w:p w14:paraId="5551A0F2">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p>
              </w:tc>
              <w:tc>
                <w:tcPr>
                  <w:tcW w:w="0" w:type="auto"/>
                  <w:vAlign w:val="center"/>
                </w:tcPr>
                <w:p w14:paraId="3798483E">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r>
                    <w:rPr>
                      <w:sz w:val="21"/>
                      <w:szCs w:val="21"/>
                    </w:rPr>
                    <w:t>标准名称</w:t>
                  </w:r>
                </w:p>
              </w:tc>
              <w:tc>
                <w:tcPr>
                  <w:tcW w:w="0" w:type="auto"/>
                  <w:vAlign w:val="center"/>
                </w:tcPr>
                <w:p w14:paraId="681854AD">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r>
                    <w:rPr>
                      <w:sz w:val="21"/>
                      <w:szCs w:val="21"/>
                    </w:rPr>
                    <w:t>浓度限值(</w:t>
                  </w:r>
                  <w:r>
                    <w:rPr>
                      <w:rFonts w:hint="eastAsia"/>
                      <w:sz w:val="21"/>
                      <w:szCs w:val="21"/>
                    </w:rPr>
                    <w:t>m</w:t>
                  </w:r>
                  <w:r>
                    <w:rPr>
                      <w:sz w:val="21"/>
                      <w:szCs w:val="21"/>
                    </w:rPr>
                    <w:t>g/m</w:t>
                  </w:r>
                  <w:r>
                    <w:rPr>
                      <w:sz w:val="21"/>
                      <w:szCs w:val="21"/>
                      <w:vertAlign w:val="superscript"/>
                    </w:rPr>
                    <w:t>3</w:t>
                  </w:r>
                  <w:r>
                    <w:rPr>
                      <w:sz w:val="21"/>
                      <w:szCs w:val="21"/>
                    </w:rPr>
                    <w:t>)</w:t>
                  </w:r>
                </w:p>
              </w:tc>
              <w:tc>
                <w:tcPr>
                  <w:tcW w:w="0" w:type="auto"/>
                  <w:vMerge w:val="continue"/>
                  <w:vAlign w:val="center"/>
                </w:tcPr>
                <w:p w14:paraId="08756F1B">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p>
              </w:tc>
            </w:tr>
            <w:tr w14:paraId="4211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0" w:type="auto"/>
                  <w:vMerge w:val="restart"/>
                  <w:vAlign w:val="center"/>
                </w:tcPr>
                <w:p w14:paraId="150D27ED">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r>
                    <w:rPr>
                      <w:sz w:val="21"/>
                      <w:szCs w:val="21"/>
                    </w:rPr>
                    <w:t>1</w:t>
                  </w:r>
                </w:p>
              </w:tc>
              <w:tc>
                <w:tcPr>
                  <w:tcW w:w="0" w:type="auto"/>
                  <w:vMerge w:val="restart"/>
                  <w:vAlign w:val="center"/>
                </w:tcPr>
                <w:p w14:paraId="34C17395">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w:t>
                  </w:r>
                </w:p>
              </w:tc>
              <w:tc>
                <w:tcPr>
                  <w:tcW w:w="0" w:type="auto"/>
                  <w:vMerge w:val="restart"/>
                  <w:vAlign w:val="center"/>
                </w:tcPr>
                <w:p w14:paraId="183E34F8">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rFonts w:hint="eastAsia" w:eastAsia="宋体"/>
                      <w:sz w:val="21"/>
                      <w:szCs w:val="21"/>
                      <w:lang w:eastAsia="zh-CN"/>
                    </w:rPr>
                  </w:pPr>
                  <w:r>
                    <w:rPr>
                      <w:rFonts w:hint="eastAsia"/>
                      <w:sz w:val="21"/>
                      <w:szCs w:val="21"/>
                      <w:lang w:eastAsia="zh-CN"/>
                    </w:rPr>
                    <w:t>厂房生产车间</w:t>
                  </w:r>
                </w:p>
              </w:tc>
              <w:tc>
                <w:tcPr>
                  <w:tcW w:w="0" w:type="auto"/>
                  <w:vAlign w:val="center"/>
                </w:tcPr>
                <w:p w14:paraId="77CBFBD5">
                  <w:pPr>
                    <w:pStyle w:val="42"/>
                    <w:keepNext w:val="0"/>
                    <w:keepLines w:val="0"/>
                    <w:pageBreakBefore w:val="0"/>
                    <w:kinsoku/>
                    <w:wordWrap/>
                    <w:overflowPunct w:val="0"/>
                    <w:topLinePunct w:val="0"/>
                    <w:autoSpaceDE/>
                    <w:autoSpaceDN/>
                    <w:bidi w:val="0"/>
                    <w:adjustRightInd/>
                    <w:snapToGrid/>
                    <w:spacing w:line="240" w:lineRule="auto"/>
                    <w:ind w:firstLine="0" w:firstLineChars="0"/>
                    <w:jc w:val="both"/>
                    <w:textAlignment w:val="auto"/>
                    <w:rPr>
                      <w:sz w:val="21"/>
                      <w:szCs w:val="21"/>
                    </w:rPr>
                  </w:pPr>
                  <w:r>
                    <w:rPr>
                      <w:rFonts w:hint="eastAsia"/>
                      <w:sz w:val="21"/>
                      <w:szCs w:val="21"/>
                      <w:lang w:val="en-US" w:eastAsia="zh-CN"/>
                    </w:rPr>
                    <w:t>非甲烷总烃</w:t>
                  </w:r>
                </w:p>
              </w:tc>
              <w:tc>
                <w:tcPr>
                  <w:tcW w:w="0" w:type="auto"/>
                  <w:vMerge w:val="restart"/>
                  <w:vAlign w:val="center"/>
                </w:tcPr>
                <w:p w14:paraId="58E2386E">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rFonts w:hint="default"/>
                      <w:sz w:val="21"/>
                      <w:szCs w:val="21"/>
                      <w:lang w:val="en-US"/>
                    </w:rPr>
                  </w:pPr>
                  <w:r>
                    <w:rPr>
                      <w:rFonts w:hint="eastAsia"/>
                      <w:lang w:eastAsia="zh-CN"/>
                    </w:rPr>
                    <w:t>车间通风</w:t>
                  </w:r>
                  <w:r>
                    <w:rPr>
                      <w:rFonts w:hint="eastAsia"/>
                      <w:lang w:val="en-US" w:eastAsia="zh-CN"/>
                    </w:rPr>
                    <w:t>+厂区绿化</w:t>
                  </w:r>
                </w:p>
              </w:tc>
              <w:tc>
                <w:tcPr>
                  <w:tcW w:w="0" w:type="auto"/>
                  <w:vMerge w:val="restart"/>
                  <w:vAlign w:val="center"/>
                </w:tcPr>
                <w:p w14:paraId="3D064FF4">
                  <w:pPr>
                    <w:keepNext w:val="0"/>
                    <w:keepLines w:val="0"/>
                    <w:pageBreakBefore w:val="0"/>
                    <w:widowControl/>
                    <w:suppressLineNumbers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《大气污染物综合排放标准》(GB16297-1996)</w:t>
                  </w:r>
                </w:p>
              </w:tc>
              <w:tc>
                <w:tcPr>
                  <w:tcW w:w="0" w:type="auto"/>
                  <w:vAlign w:val="center"/>
                </w:tcPr>
                <w:p w14:paraId="08880054">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cs="Times New Roman"/>
                      <w:sz w:val="21"/>
                      <w:szCs w:val="21"/>
                      <w:lang w:val="en-US" w:eastAsia="zh-CN"/>
                    </w:rPr>
                    <w:t>4（</w:t>
                  </w:r>
                  <w:r>
                    <w:rPr>
                      <w:rFonts w:hint="default" w:ascii="Times New Roman" w:hAnsi="Times New Roman" w:eastAsia="宋体" w:cs="Times New Roman"/>
                      <w:color w:val="000000"/>
                      <w:kern w:val="0"/>
                      <w:sz w:val="21"/>
                      <w:szCs w:val="21"/>
                      <w:lang w:val="en-US" w:eastAsia="zh-CN" w:bidi="ar"/>
                    </w:rPr>
                    <w:t>周界外浓度</w:t>
                  </w:r>
                </w:p>
                <w:p w14:paraId="1CA1833B">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kern w:val="0"/>
                      <w:sz w:val="21"/>
                      <w:szCs w:val="21"/>
                      <w:lang w:val="en-US" w:eastAsia="zh-CN" w:bidi="ar"/>
                    </w:rPr>
                    <w:t>最高点</w:t>
                  </w:r>
                  <w:r>
                    <w:rPr>
                      <w:rFonts w:hint="eastAsia" w:cs="Times New Roman"/>
                      <w:sz w:val="21"/>
                      <w:szCs w:val="21"/>
                      <w:lang w:val="en-US" w:eastAsia="zh-CN"/>
                    </w:rPr>
                    <w:t>）</w:t>
                  </w:r>
                </w:p>
              </w:tc>
              <w:tc>
                <w:tcPr>
                  <w:tcW w:w="1003" w:type="dxa"/>
                  <w:vAlign w:val="center"/>
                </w:tcPr>
                <w:p w14:paraId="14CC8AF1">
                  <w:pPr>
                    <w:pStyle w:val="42"/>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lang w:val="en-US" w:eastAsia="zh-CN"/>
                    </w:rPr>
                    <w:t>0.027</w:t>
                  </w:r>
                </w:p>
              </w:tc>
            </w:tr>
            <w:tr w14:paraId="0B67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0" w:type="auto"/>
                  <w:vMerge w:val="continue"/>
                  <w:vAlign w:val="center"/>
                </w:tcPr>
                <w:p w14:paraId="48681243">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p>
              </w:tc>
              <w:tc>
                <w:tcPr>
                  <w:tcW w:w="0" w:type="auto"/>
                  <w:vMerge w:val="continue"/>
                  <w:vAlign w:val="center"/>
                </w:tcPr>
                <w:p w14:paraId="2E76ED5A">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p>
              </w:tc>
              <w:tc>
                <w:tcPr>
                  <w:tcW w:w="0" w:type="auto"/>
                  <w:vMerge w:val="continue"/>
                  <w:vAlign w:val="center"/>
                </w:tcPr>
                <w:p w14:paraId="589CB2B6">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p>
              </w:tc>
              <w:tc>
                <w:tcPr>
                  <w:tcW w:w="0" w:type="auto"/>
                  <w:vAlign w:val="center"/>
                </w:tcPr>
                <w:p w14:paraId="5FCD8EAE">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NH</w:t>
                  </w:r>
                  <w:r>
                    <w:rPr>
                      <w:rFonts w:hint="eastAsia"/>
                      <w:sz w:val="21"/>
                      <w:szCs w:val="21"/>
                      <w:vertAlign w:val="subscript"/>
                      <w:lang w:val="en-US" w:eastAsia="zh-CN"/>
                    </w:rPr>
                    <w:t>3</w:t>
                  </w:r>
                </w:p>
              </w:tc>
              <w:tc>
                <w:tcPr>
                  <w:tcW w:w="0" w:type="auto"/>
                  <w:vMerge w:val="continue"/>
                  <w:vAlign w:val="center"/>
                </w:tcPr>
                <w:p w14:paraId="79F60E8D">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p>
              </w:tc>
              <w:tc>
                <w:tcPr>
                  <w:tcW w:w="0" w:type="auto"/>
                  <w:vMerge w:val="restart"/>
                  <w:vAlign w:val="center"/>
                </w:tcPr>
                <w:p w14:paraId="3FD05463">
                  <w:pPr>
                    <w:keepNext w:val="0"/>
                    <w:keepLines w:val="0"/>
                    <w:pageBreakBefore w:val="0"/>
                    <w:widowControl/>
                    <w:suppressLineNumbers w:val="0"/>
                    <w:kinsoku/>
                    <w:wordWrap/>
                    <w:overflowPunct w:val="0"/>
                    <w:topLinePunct w:val="0"/>
                    <w:autoSpaceDE/>
                    <w:autoSpaceDN/>
                    <w:bidi w:val="0"/>
                    <w:adjustRightInd/>
                    <w:snapToGrid/>
                    <w:spacing w:line="240" w:lineRule="auto"/>
                    <w:ind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《恶臭污染物排放标准》</w:t>
                  </w:r>
                </w:p>
                <w:p w14:paraId="216E29D0">
                  <w:pPr>
                    <w:keepNext w:val="0"/>
                    <w:keepLines w:val="0"/>
                    <w:pageBreakBefore w:val="0"/>
                    <w:widowControl/>
                    <w:suppressLineNumbers w:val="0"/>
                    <w:kinsoku/>
                    <w:wordWrap/>
                    <w:overflowPunct w:val="0"/>
                    <w:topLinePunct w:val="0"/>
                    <w:autoSpaceDE/>
                    <w:autoSpaceDN/>
                    <w:bidi w:val="0"/>
                    <w:adjustRightInd/>
                    <w:snapToGrid/>
                    <w:spacing w:line="240" w:lineRule="auto"/>
                    <w:ind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GB14554-93</w:t>
                  </w:r>
                  <w:r>
                    <w:rPr>
                      <w:rFonts w:hint="eastAsia" w:ascii="宋体" w:hAnsi="宋体" w:eastAsia="宋体" w:cs="宋体"/>
                      <w:color w:val="000000"/>
                      <w:kern w:val="0"/>
                      <w:sz w:val="21"/>
                      <w:szCs w:val="21"/>
                      <w:lang w:val="en-US" w:eastAsia="zh-CN" w:bidi="ar"/>
                    </w:rPr>
                    <w:t>）</w:t>
                  </w:r>
                </w:p>
              </w:tc>
              <w:tc>
                <w:tcPr>
                  <w:tcW w:w="0" w:type="auto"/>
                  <w:vAlign w:val="center"/>
                </w:tcPr>
                <w:p w14:paraId="6CBCD027">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1.5</w:t>
                  </w:r>
                </w:p>
              </w:tc>
              <w:tc>
                <w:tcPr>
                  <w:tcW w:w="1003" w:type="dxa"/>
                  <w:vAlign w:val="center"/>
                </w:tcPr>
                <w:p w14:paraId="22968D8B">
                  <w:pPr>
                    <w:pStyle w:val="42"/>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sz w:val="21"/>
                      <w:szCs w:val="21"/>
                      <w:lang w:val="en-US"/>
                    </w:rPr>
                  </w:pPr>
                  <w:r>
                    <w:rPr>
                      <w:rFonts w:hint="eastAsia"/>
                      <w:lang w:val="en-US" w:eastAsia="zh-CN"/>
                    </w:rPr>
                    <w:t>0.033</w:t>
                  </w:r>
                </w:p>
              </w:tc>
            </w:tr>
            <w:tr w14:paraId="75F4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0" w:type="auto"/>
                  <w:vMerge w:val="continue"/>
                  <w:vAlign w:val="center"/>
                </w:tcPr>
                <w:p w14:paraId="7D5310CE">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p>
              </w:tc>
              <w:tc>
                <w:tcPr>
                  <w:tcW w:w="0" w:type="auto"/>
                  <w:vMerge w:val="continue"/>
                  <w:vAlign w:val="center"/>
                </w:tcPr>
                <w:p w14:paraId="2FE52F40">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p>
              </w:tc>
              <w:tc>
                <w:tcPr>
                  <w:tcW w:w="0" w:type="auto"/>
                  <w:vMerge w:val="continue"/>
                  <w:vAlign w:val="center"/>
                </w:tcPr>
                <w:p w14:paraId="1E7C8841">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p>
              </w:tc>
              <w:tc>
                <w:tcPr>
                  <w:tcW w:w="0" w:type="auto"/>
                  <w:vAlign w:val="center"/>
                </w:tcPr>
                <w:p w14:paraId="6969A331">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H</w:t>
                  </w:r>
                  <w:r>
                    <w:rPr>
                      <w:rFonts w:hint="eastAsia"/>
                      <w:sz w:val="21"/>
                      <w:szCs w:val="21"/>
                      <w:vertAlign w:val="subscript"/>
                      <w:lang w:val="en-US" w:eastAsia="zh-CN"/>
                    </w:rPr>
                    <w:t>2</w:t>
                  </w:r>
                  <w:r>
                    <w:rPr>
                      <w:rFonts w:hint="eastAsia"/>
                      <w:sz w:val="21"/>
                      <w:szCs w:val="21"/>
                      <w:lang w:val="en-US" w:eastAsia="zh-CN"/>
                    </w:rPr>
                    <w:t>S</w:t>
                  </w:r>
                </w:p>
              </w:tc>
              <w:tc>
                <w:tcPr>
                  <w:tcW w:w="0" w:type="auto"/>
                  <w:vMerge w:val="continue"/>
                  <w:vAlign w:val="center"/>
                </w:tcPr>
                <w:p w14:paraId="048F0A89">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p>
              </w:tc>
              <w:tc>
                <w:tcPr>
                  <w:tcW w:w="0" w:type="auto"/>
                  <w:vMerge w:val="continue"/>
                  <w:vAlign w:val="center"/>
                </w:tcPr>
                <w:p w14:paraId="198A00DE">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p>
              </w:tc>
              <w:tc>
                <w:tcPr>
                  <w:tcW w:w="0" w:type="auto"/>
                  <w:vAlign w:val="center"/>
                </w:tcPr>
                <w:p w14:paraId="5AEFAD99">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0.06</w:t>
                  </w:r>
                </w:p>
              </w:tc>
              <w:tc>
                <w:tcPr>
                  <w:tcW w:w="1003" w:type="dxa"/>
                  <w:vAlign w:val="center"/>
                </w:tcPr>
                <w:p w14:paraId="0B2ECE1E">
                  <w:pPr>
                    <w:pStyle w:val="42"/>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sz w:val="21"/>
                      <w:szCs w:val="21"/>
                      <w:lang w:val="en-US"/>
                    </w:rPr>
                  </w:pPr>
                  <w:r>
                    <w:rPr>
                      <w:rFonts w:hint="eastAsia"/>
                      <w:lang w:val="en-US" w:eastAsia="zh-CN"/>
                    </w:rPr>
                    <w:t>0.00067</w:t>
                  </w:r>
                </w:p>
              </w:tc>
            </w:tr>
            <w:tr w14:paraId="3EE5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gridSpan w:val="8"/>
                  <w:vAlign w:val="center"/>
                </w:tcPr>
                <w:p w14:paraId="195A791F">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r>
                    <w:rPr>
                      <w:sz w:val="21"/>
                      <w:szCs w:val="21"/>
                    </w:rPr>
                    <w:t>无组织排放总计</w:t>
                  </w:r>
                </w:p>
              </w:tc>
            </w:tr>
            <w:tr w14:paraId="5E90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gridSpan w:val="4"/>
                  <w:vMerge w:val="restart"/>
                  <w:vAlign w:val="center"/>
                </w:tcPr>
                <w:p w14:paraId="696C40C1">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r>
                    <w:rPr>
                      <w:sz w:val="21"/>
                      <w:szCs w:val="21"/>
                    </w:rPr>
                    <w:t>无组织排放总计</w:t>
                  </w:r>
                </w:p>
              </w:tc>
              <w:tc>
                <w:tcPr>
                  <w:tcW w:w="0" w:type="auto"/>
                  <w:gridSpan w:val="2"/>
                  <w:vAlign w:val="center"/>
                </w:tcPr>
                <w:p w14:paraId="08981E22">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rFonts w:hint="eastAsia"/>
                      <w:sz w:val="21"/>
                      <w:szCs w:val="21"/>
                    </w:rPr>
                  </w:pPr>
                  <w:r>
                    <w:rPr>
                      <w:rFonts w:hint="eastAsia"/>
                      <w:sz w:val="21"/>
                      <w:szCs w:val="21"/>
                      <w:lang w:val="en-US" w:eastAsia="zh-CN"/>
                    </w:rPr>
                    <w:t>非甲烷总烃</w:t>
                  </w:r>
                </w:p>
              </w:tc>
              <w:tc>
                <w:tcPr>
                  <w:tcW w:w="2154" w:type="dxa"/>
                  <w:gridSpan w:val="2"/>
                  <w:vAlign w:val="center"/>
                </w:tcPr>
                <w:p w14:paraId="37473CDB">
                  <w:pPr>
                    <w:pStyle w:val="42"/>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sz w:val="21"/>
                      <w:szCs w:val="21"/>
                    </w:rPr>
                  </w:pPr>
                  <w:r>
                    <w:rPr>
                      <w:rFonts w:hint="eastAsia"/>
                      <w:lang w:val="en-US" w:eastAsia="zh-CN"/>
                    </w:rPr>
                    <w:t>0.027</w:t>
                  </w:r>
                </w:p>
              </w:tc>
            </w:tr>
            <w:tr w14:paraId="4AED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gridSpan w:val="4"/>
                  <w:vMerge w:val="continue"/>
                  <w:vAlign w:val="center"/>
                </w:tcPr>
                <w:p w14:paraId="74501690">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p>
              </w:tc>
              <w:tc>
                <w:tcPr>
                  <w:tcW w:w="0" w:type="auto"/>
                  <w:gridSpan w:val="2"/>
                  <w:vAlign w:val="center"/>
                </w:tcPr>
                <w:p w14:paraId="052DDA13">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rFonts w:hint="eastAsia"/>
                      <w:sz w:val="21"/>
                      <w:szCs w:val="21"/>
                    </w:rPr>
                  </w:pPr>
                  <w:r>
                    <w:rPr>
                      <w:rFonts w:hint="eastAsia"/>
                      <w:sz w:val="21"/>
                      <w:szCs w:val="21"/>
                      <w:lang w:val="en-US" w:eastAsia="zh-CN"/>
                    </w:rPr>
                    <w:t>NH</w:t>
                  </w:r>
                  <w:r>
                    <w:rPr>
                      <w:rFonts w:hint="eastAsia"/>
                      <w:sz w:val="21"/>
                      <w:szCs w:val="21"/>
                      <w:vertAlign w:val="subscript"/>
                      <w:lang w:val="en-US" w:eastAsia="zh-CN"/>
                    </w:rPr>
                    <w:t>3</w:t>
                  </w:r>
                </w:p>
              </w:tc>
              <w:tc>
                <w:tcPr>
                  <w:tcW w:w="2154" w:type="dxa"/>
                  <w:gridSpan w:val="2"/>
                  <w:vAlign w:val="center"/>
                </w:tcPr>
                <w:p w14:paraId="7B8A3C23">
                  <w:pPr>
                    <w:pStyle w:val="42"/>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sz w:val="21"/>
                      <w:szCs w:val="21"/>
                    </w:rPr>
                  </w:pPr>
                  <w:r>
                    <w:rPr>
                      <w:rFonts w:hint="eastAsia"/>
                      <w:lang w:val="en-US" w:eastAsia="zh-CN"/>
                    </w:rPr>
                    <w:t>0.033</w:t>
                  </w:r>
                </w:p>
              </w:tc>
            </w:tr>
            <w:tr w14:paraId="715F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gridSpan w:val="4"/>
                  <w:vMerge w:val="continue"/>
                  <w:vAlign w:val="center"/>
                </w:tcPr>
                <w:p w14:paraId="3224CDB5">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p>
              </w:tc>
              <w:tc>
                <w:tcPr>
                  <w:tcW w:w="0" w:type="auto"/>
                  <w:gridSpan w:val="2"/>
                  <w:vAlign w:val="center"/>
                </w:tcPr>
                <w:p w14:paraId="1A2D9C7A">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rFonts w:hint="eastAsia"/>
                      <w:sz w:val="21"/>
                      <w:szCs w:val="21"/>
                    </w:rPr>
                  </w:pPr>
                  <w:r>
                    <w:rPr>
                      <w:rFonts w:hint="eastAsia"/>
                      <w:sz w:val="21"/>
                      <w:szCs w:val="21"/>
                      <w:lang w:val="en-US" w:eastAsia="zh-CN"/>
                    </w:rPr>
                    <w:t>H</w:t>
                  </w:r>
                  <w:r>
                    <w:rPr>
                      <w:rFonts w:hint="eastAsia"/>
                      <w:sz w:val="21"/>
                      <w:szCs w:val="21"/>
                      <w:vertAlign w:val="subscript"/>
                      <w:lang w:val="en-US" w:eastAsia="zh-CN"/>
                    </w:rPr>
                    <w:t>2</w:t>
                  </w:r>
                  <w:r>
                    <w:rPr>
                      <w:rFonts w:hint="eastAsia"/>
                      <w:sz w:val="21"/>
                      <w:szCs w:val="21"/>
                      <w:lang w:val="en-US" w:eastAsia="zh-CN"/>
                    </w:rPr>
                    <w:t>S</w:t>
                  </w:r>
                </w:p>
              </w:tc>
              <w:tc>
                <w:tcPr>
                  <w:tcW w:w="2154" w:type="dxa"/>
                  <w:gridSpan w:val="2"/>
                  <w:vAlign w:val="center"/>
                </w:tcPr>
                <w:p w14:paraId="465F746F">
                  <w:pPr>
                    <w:pStyle w:val="42"/>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sz w:val="21"/>
                      <w:szCs w:val="21"/>
                    </w:rPr>
                  </w:pPr>
                  <w:r>
                    <w:rPr>
                      <w:rFonts w:hint="eastAsia"/>
                      <w:lang w:val="en-US" w:eastAsia="zh-CN"/>
                    </w:rPr>
                    <w:t>0.00067</w:t>
                  </w:r>
                </w:p>
              </w:tc>
            </w:tr>
          </w:tbl>
          <w:p w14:paraId="50437DD1">
            <w:pPr>
              <w:pStyle w:val="8"/>
              <w:numPr>
                <w:ilvl w:val="5"/>
                <w:numId w:val="0"/>
              </w:numPr>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表4-16</w:t>
            </w:r>
            <w:r>
              <w:rPr>
                <w:rFonts w:hint="eastAsia"/>
                <w:lang w:eastAsia="zh-CN"/>
              </w:rPr>
              <w:t>本项目</w:t>
            </w:r>
            <w:r>
              <w:rPr>
                <w:rFonts w:hint="eastAsia"/>
              </w:rPr>
              <w:t>大气污染物年排放量核算表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2867"/>
              <w:gridCol w:w="2894"/>
            </w:tblGrid>
            <w:tr w14:paraId="1934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661" w:type="pct"/>
                  <w:vAlign w:val="center"/>
                </w:tcPr>
                <w:p w14:paraId="483EA71F">
                  <w:pPr>
                    <w:pStyle w:val="42"/>
                  </w:pPr>
                  <w:r>
                    <w:t>序号</w:t>
                  </w:r>
                </w:p>
              </w:tc>
              <w:tc>
                <w:tcPr>
                  <w:tcW w:w="1661" w:type="pct"/>
                  <w:vAlign w:val="center"/>
                </w:tcPr>
                <w:p w14:paraId="269E3531">
                  <w:pPr>
                    <w:pStyle w:val="42"/>
                  </w:pPr>
                  <w:r>
                    <w:t>污染物</w:t>
                  </w:r>
                </w:p>
              </w:tc>
              <w:tc>
                <w:tcPr>
                  <w:tcW w:w="1677" w:type="pct"/>
                  <w:vAlign w:val="center"/>
                </w:tcPr>
                <w:p w14:paraId="1E6B65FB">
                  <w:pPr>
                    <w:pStyle w:val="42"/>
                  </w:pPr>
                  <w:r>
                    <w:t>年排放量(t/a)</w:t>
                  </w:r>
                </w:p>
              </w:tc>
            </w:tr>
            <w:tr w14:paraId="32FE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661" w:type="pct"/>
                  <w:vAlign w:val="center"/>
                </w:tcPr>
                <w:p w14:paraId="7BB4BC1D">
                  <w:pPr>
                    <w:pStyle w:val="42"/>
                  </w:pPr>
                  <w:r>
                    <w:t>1</w:t>
                  </w:r>
                </w:p>
              </w:tc>
              <w:tc>
                <w:tcPr>
                  <w:tcW w:w="1661" w:type="pct"/>
                  <w:vAlign w:val="center"/>
                </w:tcPr>
                <w:p w14:paraId="5FA1A689">
                  <w:pPr>
                    <w:pStyle w:val="42"/>
                    <w:ind w:firstLine="0" w:firstLineChars="0"/>
                    <w:jc w:val="center"/>
                  </w:pPr>
                  <w:r>
                    <w:rPr>
                      <w:rFonts w:hint="eastAsia"/>
                      <w:sz w:val="21"/>
                      <w:szCs w:val="21"/>
                      <w:lang w:val="en-US" w:eastAsia="zh-CN"/>
                    </w:rPr>
                    <w:t>TSP</w:t>
                  </w:r>
                </w:p>
              </w:tc>
              <w:tc>
                <w:tcPr>
                  <w:tcW w:w="2886" w:type="dxa"/>
                  <w:vAlign w:val="center"/>
                </w:tcPr>
                <w:p w14:paraId="577EB54D">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0.018</w:t>
                  </w:r>
                </w:p>
              </w:tc>
            </w:tr>
            <w:tr w14:paraId="44F8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661" w:type="pct"/>
                  <w:vAlign w:val="center"/>
                </w:tcPr>
                <w:p w14:paraId="348FEF7D">
                  <w:pPr>
                    <w:pStyle w:val="42"/>
                    <w:rPr>
                      <w:rFonts w:hint="eastAsia" w:eastAsia="宋体"/>
                      <w:lang w:val="en-US" w:eastAsia="zh-CN"/>
                    </w:rPr>
                  </w:pPr>
                  <w:r>
                    <w:rPr>
                      <w:rFonts w:hint="eastAsia"/>
                      <w:lang w:val="en-US" w:eastAsia="zh-CN"/>
                    </w:rPr>
                    <w:t>2</w:t>
                  </w:r>
                </w:p>
              </w:tc>
              <w:tc>
                <w:tcPr>
                  <w:tcW w:w="2859" w:type="dxa"/>
                  <w:vAlign w:val="center"/>
                </w:tcPr>
                <w:p w14:paraId="24471849">
                  <w:pPr>
                    <w:pStyle w:val="42"/>
                    <w:bidi w:val="0"/>
                    <w:ind w:firstLine="0" w:firstLineChars="0"/>
                    <w:jc w:val="center"/>
                    <w:rPr>
                      <w:rFonts w:hint="eastAsia"/>
                      <w:sz w:val="21"/>
                      <w:szCs w:val="21"/>
                      <w:lang w:val="en-US" w:eastAsia="zh-CN"/>
                    </w:rPr>
                  </w:pPr>
                  <w:r>
                    <w:rPr>
                      <w:rFonts w:hint="eastAsia"/>
                      <w:lang w:val="en-US" w:eastAsia="zh-CN"/>
                    </w:rPr>
                    <w:t>SO</w:t>
                  </w:r>
                  <w:r>
                    <w:rPr>
                      <w:rFonts w:hint="eastAsia"/>
                      <w:vertAlign w:val="subscript"/>
                      <w:lang w:val="en-US" w:eastAsia="zh-CN"/>
                    </w:rPr>
                    <w:t>2</w:t>
                  </w:r>
                </w:p>
              </w:tc>
              <w:tc>
                <w:tcPr>
                  <w:tcW w:w="2886" w:type="dxa"/>
                  <w:vAlign w:val="center"/>
                </w:tcPr>
                <w:p w14:paraId="358F584E">
                  <w:pPr>
                    <w:pStyle w:val="42"/>
                    <w:bidi w:val="0"/>
                    <w:ind w:firstLine="0" w:firstLineChars="0"/>
                    <w:jc w:val="center"/>
                    <w:rPr>
                      <w:rFonts w:hint="default"/>
                      <w:lang w:val="en-US" w:eastAsia="zh-CN"/>
                    </w:rPr>
                  </w:pPr>
                  <w:r>
                    <w:rPr>
                      <w:rFonts w:hint="eastAsia"/>
                      <w:lang w:val="en-US" w:eastAsia="zh-CN"/>
                    </w:rPr>
                    <w:t>1.2269</w:t>
                  </w:r>
                </w:p>
              </w:tc>
            </w:tr>
            <w:tr w14:paraId="5709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661" w:type="pct"/>
                  <w:vAlign w:val="center"/>
                </w:tcPr>
                <w:p w14:paraId="7BF6C78C">
                  <w:pPr>
                    <w:pStyle w:val="42"/>
                    <w:rPr>
                      <w:rFonts w:hint="eastAsia" w:eastAsia="宋体"/>
                      <w:lang w:val="en-US" w:eastAsia="zh-CN"/>
                    </w:rPr>
                  </w:pPr>
                  <w:r>
                    <w:rPr>
                      <w:rFonts w:hint="eastAsia"/>
                      <w:lang w:val="en-US" w:eastAsia="zh-CN"/>
                    </w:rPr>
                    <w:t>3</w:t>
                  </w:r>
                </w:p>
              </w:tc>
              <w:tc>
                <w:tcPr>
                  <w:tcW w:w="2859" w:type="dxa"/>
                  <w:vAlign w:val="center"/>
                </w:tcPr>
                <w:p w14:paraId="12DFBF7A">
                  <w:pPr>
                    <w:pStyle w:val="42"/>
                    <w:bidi w:val="0"/>
                    <w:ind w:firstLine="0" w:firstLineChars="0"/>
                    <w:jc w:val="center"/>
                    <w:rPr>
                      <w:rFonts w:hint="eastAsia"/>
                      <w:sz w:val="21"/>
                      <w:szCs w:val="21"/>
                      <w:lang w:val="en-US" w:eastAsia="zh-CN"/>
                    </w:rPr>
                  </w:pPr>
                  <w:r>
                    <w:rPr>
                      <w:rFonts w:hint="eastAsia"/>
                      <w:lang w:val="en-US" w:eastAsia="zh-CN"/>
                    </w:rPr>
                    <w:t>NOx</w:t>
                  </w:r>
                </w:p>
              </w:tc>
              <w:tc>
                <w:tcPr>
                  <w:tcW w:w="2886" w:type="dxa"/>
                  <w:vAlign w:val="center"/>
                </w:tcPr>
                <w:p w14:paraId="13267559">
                  <w:pPr>
                    <w:pStyle w:val="42"/>
                    <w:bidi w:val="0"/>
                    <w:ind w:firstLine="0" w:firstLineChars="0"/>
                    <w:jc w:val="center"/>
                    <w:rPr>
                      <w:rFonts w:hint="default"/>
                      <w:lang w:val="en-US" w:eastAsia="zh-CN"/>
                    </w:rPr>
                  </w:pPr>
                  <w:r>
                    <w:rPr>
                      <w:rFonts w:hint="eastAsia"/>
                      <w:lang w:val="en-US" w:eastAsia="zh-CN"/>
                    </w:rPr>
                    <w:t>2.344</w:t>
                  </w:r>
                </w:p>
              </w:tc>
            </w:tr>
            <w:tr w14:paraId="59BE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661" w:type="pct"/>
                  <w:vAlign w:val="center"/>
                </w:tcPr>
                <w:p w14:paraId="25D90BD2">
                  <w:pPr>
                    <w:pStyle w:val="42"/>
                    <w:rPr>
                      <w:rFonts w:hint="eastAsia" w:eastAsia="宋体"/>
                      <w:lang w:val="en-US" w:eastAsia="zh-CN"/>
                    </w:rPr>
                  </w:pPr>
                  <w:r>
                    <w:rPr>
                      <w:rFonts w:hint="eastAsia"/>
                      <w:lang w:val="en-US" w:eastAsia="zh-CN"/>
                    </w:rPr>
                    <w:t>4</w:t>
                  </w:r>
                </w:p>
              </w:tc>
              <w:tc>
                <w:tcPr>
                  <w:tcW w:w="1661" w:type="pct"/>
                  <w:vAlign w:val="center"/>
                </w:tcPr>
                <w:p w14:paraId="0FCC31EA">
                  <w:pPr>
                    <w:pStyle w:val="42"/>
                    <w:ind w:firstLine="0" w:firstLineChars="0"/>
                    <w:jc w:val="center"/>
                    <w:rPr>
                      <w:rFonts w:hint="eastAsia"/>
                    </w:rPr>
                  </w:pPr>
                  <w:r>
                    <w:rPr>
                      <w:rFonts w:hint="eastAsia"/>
                      <w:sz w:val="21"/>
                      <w:szCs w:val="21"/>
                      <w:lang w:val="en-US" w:eastAsia="zh-CN"/>
                    </w:rPr>
                    <w:t>非甲烷总烃</w:t>
                  </w:r>
                </w:p>
              </w:tc>
              <w:tc>
                <w:tcPr>
                  <w:tcW w:w="2886" w:type="dxa"/>
                  <w:shd w:val="clear" w:color="auto" w:fill="auto"/>
                  <w:vAlign w:val="center"/>
                </w:tcPr>
                <w:p w14:paraId="2BFBBE5B">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sz w:val="21"/>
                      <w:szCs w:val="21"/>
                      <w:lang w:val="en-US" w:eastAsia="zh-CN"/>
                    </w:rPr>
                  </w:pPr>
                  <w:r>
                    <w:rPr>
                      <w:rFonts w:hint="eastAsia"/>
                      <w:lang w:val="en-US" w:eastAsia="zh-CN"/>
                    </w:rPr>
                    <w:t>0.225</w:t>
                  </w:r>
                </w:p>
              </w:tc>
            </w:tr>
            <w:tr w14:paraId="0A88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661" w:type="pct"/>
                  <w:vAlign w:val="center"/>
                </w:tcPr>
                <w:p w14:paraId="03C9D7B4">
                  <w:pPr>
                    <w:pStyle w:val="42"/>
                    <w:rPr>
                      <w:rFonts w:hint="default" w:eastAsia="宋体"/>
                      <w:lang w:val="en-US" w:eastAsia="zh-CN"/>
                    </w:rPr>
                  </w:pPr>
                  <w:r>
                    <w:rPr>
                      <w:rFonts w:hint="eastAsia"/>
                      <w:lang w:val="en-US" w:eastAsia="zh-CN"/>
                    </w:rPr>
                    <w:t>5</w:t>
                  </w:r>
                </w:p>
              </w:tc>
              <w:tc>
                <w:tcPr>
                  <w:tcW w:w="1661" w:type="pct"/>
                  <w:vAlign w:val="center"/>
                </w:tcPr>
                <w:p w14:paraId="1268CEA3">
                  <w:pPr>
                    <w:pStyle w:val="42"/>
                    <w:ind w:firstLine="0" w:firstLineChars="0"/>
                    <w:jc w:val="center"/>
                    <w:rPr>
                      <w:rFonts w:hint="eastAsia"/>
                    </w:rPr>
                  </w:pPr>
                  <w:r>
                    <w:rPr>
                      <w:rFonts w:hint="eastAsia"/>
                      <w:sz w:val="21"/>
                      <w:szCs w:val="21"/>
                      <w:lang w:val="en-US" w:eastAsia="zh-CN"/>
                    </w:rPr>
                    <w:t>NH</w:t>
                  </w:r>
                  <w:r>
                    <w:rPr>
                      <w:rFonts w:hint="eastAsia"/>
                      <w:sz w:val="21"/>
                      <w:szCs w:val="21"/>
                      <w:vertAlign w:val="subscript"/>
                      <w:lang w:val="en-US" w:eastAsia="zh-CN"/>
                    </w:rPr>
                    <w:t>3</w:t>
                  </w:r>
                </w:p>
              </w:tc>
              <w:tc>
                <w:tcPr>
                  <w:tcW w:w="2886" w:type="dxa"/>
                  <w:shd w:val="clear" w:color="auto" w:fill="auto"/>
                  <w:vAlign w:val="center"/>
                </w:tcPr>
                <w:p w14:paraId="2F38250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sz w:val="21"/>
                      <w:szCs w:val="21"/>
                      <w:lang w:val="en-US" w:eastAsia="zh-CN"/>
                    </w:rPr>
                  </w:pPr>
                  <w:r>
                    <w:rPr>
                      <w:rFonts w:hint="eastAsia"/>
                      <w:sz w:val="21"/>
                      <w:szCs w:val="21"/>
                      <w:lang w:val="en-US" w:eastAsia="zh-CN"/>
                    </w:rPr>
                    <w:t>0.187</w:t>
                  </w:r>
                </w:p>
              </w:tc>
            </w:tr>
            <w:tr w14:paraId="66AB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661" w:type="pct"/>
                  <w:vAlign w:val="center"/>
                </w:tcPr>
                <w:p w14:paraId="7E3B30B7">
                  <w:pPr>
                    <w:pStyle w:val="42"/>
                    <w:rPr>
                      <w:rFonts w:hint="eastAsia" w:eastAsia="宋体"/>
                      <w:lang w:val="en-US" w:eastAsia="zh-CN"/>
                    </w:rPr>
                  </w:pPr>
                  <w:r>
                    <w:rPr>
                      <w:rFonts w:hint="eastAsia"/>
                      <w:lang w:val="en-US" w:eastAsia="zh-CN"/>
                    </w:rPr>
                    <w:t>6</w:t>
                  </w:r>
                </w:p>
              </w:tc>
              <w:tc>
                <w:tcPr>
                  <w:tcW w:w="1661" w:type="pct"/>
                  <w:vAlign w:val="center"/>
                </w:tcPr>
                <w:p w14:paraId="3AA7DD98">
                  <w:pPr>
                    <w:pStyle w:val="42"/>
                    <w:ind w:firstLine="0" w:firstLineChars="0"/>
                    <w:jc w:val="center"/>
                    <w:rPr>
                      <w:rFonts w:hint="eastAsia"/>
                    </w:rPr>
                  </w:pPr>
                  <w:r>
                    <w:rPr>
                      <w:rFonts w:hint="eastAsia"/>
                      <w:sz w:val="21"/>
                      <w:szCs w:val="21"/>
                      <w:lang w:val="en-US" w:eastAsia="zh-CN"/>
                    </w:rPr>
                    <w:t>H</w:t>
                  </w:r>
                  <w:r>
                    <w:rPr>
                      <w:rFonts w:hint="eastAsia"/>
                      <w:sz w:val="21"/>
                      <w:szCs w:val="21"/>
                      <w:vertAlign w:val="subscript"/>
                      <w:lang w:val="en-US" w:eastAsia="zh-CN"/>
                    </w:rPr>
                    <w:t>2</w:t>
                  </w:r>
                  <w:r>
                    <w:rPr>
                      <w:rFonts w:hint="eastAsia"/>
                      <w:sz w:val="21"/>
                      <w:szCs w:val="21"/>
                      <w:lang w:val="en-US" w:eastAsia="zh-CN"/>
                    </w:rPr>
                    <w:t>S</w:t>
                  </w:r>
                </w:p>
              </w:tc>
              <w:tc>
                <w:tcPr>
                  <w:tcW w:w="2886" w:type="dxa"/>
                  <w:shd w:val="clear" w:color="auto" w:fill="auto"/>
                  <w:vAlign w:val="center"/>
                </w:tcPr>
                <w:p w14:paraId="69D9D40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sz w:val="21"/>
                      <w:szCs w:val="21"/>
                      <w:lang w:val="en-US" w:eastAsia="zh-CN"/>
                    </w:rPr>
                  </w:pPr>
                  <w:r>
                    <w:rPr>
                      <w:rFonts w:hint="eastAsia"/>
                      <w:sz w:val="21"/>
                      <w:szCs w:val="21"/>
                      <w:lang w:val="en-US" w:eastAsia="zh-CN"/>
                    </w:rPr>
                    <w:t>0.00227</w:t>
                  </w:r>
                </w:p>
              </w:tc>
            </w:tr>
            <w:tr w14:paraId="5089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661" w:type="pct"/>
                  <w:vAlign w:val="center"/>
                </w:tcPr>
                <w:p w14:paraId="24E54C2C">
                  <w:pPr>
                    <w:pStyle w:val="42"/>
                    <w:rPr>
                      <w:rFonts w:hint="eastAsia" w:eastAsia="宋体"/>
                      <w:lang w:val="en-US" w:eastAsia="zh-CN"/>
                    </w:rPr>
                  </w:pPr>
                  <w:r>
                    <w:rPr>
                      <w:rFonts w:hint="eastAsia"/>
                      <w:lang w:val="en-US" w:eastAsia="zh-CN"/>
                    </w:rPr>
                    <w:t>7</w:t>
                  </w:r>
                </w:p>
              </w:tc>
              <w:tc>
                <w:tcPr>
                  <w:tcW w:w="1661" w:type="pct"/>
                  <w:vAlign w:val="center"/>
                </w:tcPr>
                <w:p w14:paraId="18B28206">
                  <w:pPr>
                    <w:pStyle w:val="42"/>
                    <w:ind w:firstLine="0" w:firstLineChars="0"/>
                    <w:jc w:val="center"/>
                    <w:rPr>
                      <w:rFonts w:hint="eastAsia"/>
                    </w:rPr>
                  </w:pPr>
                  <w:r>
                    <w:rPr>
                      <w:rFonts w:hint="eastAsia"/>
                      <w:sz w:val="21"/>
                      <w:szCs w:val="21"/>
                      <w:lang w:eastAsia="zh-CN"/>
                    </w:rPr>
                    <w:t>油烟</w:t>
                  </w:r>
                </w:p>
              </w:tc>
              <w:tc>
                <w:tcPr>
                  <w:tcW w:w="2886" w:type="dxa"/>
                  <w:vAlign w:val="center"/>
                </w:tcPr>
                <w:p w14:paraId="007FDC59">
                  <w:pPr>
                    <w:pStyle w:val="42"/>
                    <w:ind w:firstLine="0" w:firstLineChars="0"/>
                    <w:jc w:val="center"/>
                  </w:pPr>
                  <w:r>
                    <w:rPr>
                      <w:rFonts w:hint="eastAsia"/>
                      <w:sz w:val="21"/>
                      <w:szCs w:val="21"/>
                      <w:lang w:val="en-US" w:eastAsia="zh-CN"/>
                    </w:rPr>
                    <w:t>0.000255</w:t>
                  </w:r>
                </w:p>
              </w:tc>
            </w:tr>
          </w:tbl>
          <w:p w14:paraId="5E3E0A0C">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4.5.5、</w:t>
            </w:r>
            <w:r>
              <w:rPr>
                <w:rFonts w:hint="eastAsia"/>
              </w:rPr>
              <w:t>非正常工况下大气环境影响分析</w:t>
            </w:r>
          </w:p>
          <w:p w14:paraId="0D145910">
            <w:pPr>
              <w:ind w:firstLine="480"/>
            </w:pPr>
            <w:r>
              <w:rPr>
                <w:rFonts w:hint="eastAsia"/>
              </w:rPr>
              <w:t>本项目非正常工况主要为</w:t>
            </w:r>
            <w:r>
              <w:rPr>
                <w:rFonts w:hint="eastAsia"/>
                <w:lang w:eastAsia="zh-CN"/>
              </w:rPr>
              <w:t>环保处理设施</w:t>
            </w:r>
            <w:r>
              <w:rPr>
                <w:rFonts w:hint="eastAsia"/>
              </w:rPr>
              <w:t>发生故障，其对大气污染物去除率按0进行计算。非正常排放情况见下表。</w:t>
            </w:r>
          </w:p>
          <w:p w14:paraId="60A96119">
            <w:pPr>
              <w:pStyle w:val="8"/>
              <w:numPr>
                <w:ilvl w:val="5"/>
                <w:numId w:val="0"/>
              </w:numPr>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表4-17</w:t>
            </w:r>
            <w:r>
              <w:rPr>
                <w:rFonts w:hint="eastAsia"/>
              </w:rPr>
              <w:t>非正常排放情况一览表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872"/>
              <w:gridCol w:w="829"/>
              <w:gridCol w:w="1327"/>
              <w:gridCol w:w="1261"/>
              <w:gridCol w:w="857"/>
              <w:gridCol w:w="819"/>
              <w:gridCol w:w="1529"/>
            </w:tblGrid>
            <w:tr w14:paraId="41E6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58" w:type="pct"/>
                  <w:vAlign w:val="center"/>
                </w:tcPr>
                <w:p w14:paraId="5CFEF551">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sz w:val="21"/>
                      <w:szCs w:val="21"/>
                    </w:rPr>
                  </w:pPr>
                  <w:r>
                    <w:rPr>
                      <w:rFonts w:hint="eastAsia"/>
                      <w:sz w:val="21"/>
                      <w:szCs w:val="21"/>
                    </w:rPr>
                    <w:t>非正常排放源</w:t>
                  </w:r>
                </w:p>
              </w:tc>
              <w:tc>
                <w:tcPr>
                  <w:tcW w:w="505" w:type="pct"/>
                  <w:vAlign w:val="center"/>
                </w:tcPr>
                <w:p w14:paraId="3C15FA38">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sz w:val="21"/>
                      <w:szCs w:val="21"/>
                    </w:rPr>
                  </w:pPr>
                  <w:r>
                    <w:rPr>
                      <w:rFonts w:hint="eastAsia"/>
                      <w:sz w:val="21"/>
                      <w:szCs w:val="21"/>
                    </w:rPr>
                    <w:t>非正常排放原因</w:t>
                  </w:r>
                </w:p>
              </w:tc>
              <w:tc>
                <w:tcPr>
                  <w:tcW w:w="480" w:type="pct"/>
                  <w:vAlign w:val="center"/>
                </w:tcPr>
                <w:p w14:paraId="322D0F5C">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sz w:val="21"/>
                      <w:szCs w:val="21"/>
                    </w:rPr>
                  </w:pPr>
                  <w:r>
                    <w:rPr>
                      <w:rFonts w:hint="eastAsia"/>
                      <w:sz w:val="21"/>
                      <w:szCs w:val="21"/>
                    </w:rPr>
                    <w:t>污染物</w:t>
                  </w:r>
                </w:p>
              </w:tc>
              <w:tc>
                <w:tcPr>
                  <w:tcW w:w="768" w:type="pct"/>
                  <w:vAlign w:val="center"/>
                </w:tcPr>
                <w:p w14:paraId="05B30E2C">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sz w:val="21"/>
                      <w:szCs w:val="21"/>
                    </w:rPr>
                  </w:pPr>
                  <w:r>
                    <w:rPr>
                      <w:rFonts w:hint="eastAsia"/>
                      <w:sz w:val="21"/>
                      <w:szCs w:val="21"/>
                    </w:rPr>
                    <w:t>非正常排放浓度m</w:t>
                  </w:r>
                  <w:r>
                    <w:rPr>
                      <w:sz w:val="21"/>
                      <w:szCs w:val="21"/>
                    </w:rPr>
                    <w:t>g/m</w:t>
                  </w:r>
                  <w:r>
                    <w:rPr>
                      <w:sz w:val="21"/>
                      <w:szCs w:val="21"/>
                      <w:vertAlign w:val="superscript"/>
                    </w:rPr>
                    <w:t>3</w:t>
                  </w:r>
                </w:p>
              </w:tc>
              <w:tc>
                <w:tcPr>
                  <w:tcW w:w="730" w:type="pct"/>
                  <w:vAlign w:val="center"/>
                </w:tcPr>
                <w:p w14:paraId="413367FB">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sz w:val="21"/>
                      <w:szCs w:val="21"/>
                    </w:rPr>
                  </w:pPr>
                  <w:r>
                    <w:rPr>
                      <w:rFonts w:hint="eastAsia"/>
                      <w:sz w:val="21"/>
                      <w:szCs w:val="21"/>
                    </w:rPr>
                    <w:t>非正常排放速率kg</w:t>
                  </w:r>
                  <w:r>
                    <w:rPr>
                      <w:sz w:val="21"/>
                      <w:szCs w:val="21"/>
                    </w:rPr>
                    <w:t>/h</w:t>
                  </w:r>
                </w:p>
              </w:tc>
              <w:tc>
                <w:tcPr>
                  <w:tcW w:w="496" w:type="pct"/>
                  <w:vAlign w:val="center"/>
                </w:tcPr>
                <w:p w14:paraId="6C28D249">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sz w:val="21"/>
                      <w:szCs w:val="21"/>
                    </w:rPr>
                  </w:pPr>
                  <w:r>
                    <w:rPr>
                      <w:rFonts w:hint="eastAsia"/>
                      <w:sz w:val="21"/>
                      <w:szCs w:val="21"/>
                    </w:rPr>
                    <w:t>单次持续时间/</w:t>
                  </w:r>
                  <w:r>
                    <w:rPr>
                      <w:sz w:val="21"/>
                      <w:szCs w:val="21"/>
                    </w:rPr>
                    <w:t>h</w:t>
                  </w:r>
                </w:p>
              </w:tc>
              <w:tc>
                <w:tcPr>
                  <w:tcW w:w="474" w:type="pct"/>
                  <w:vAlign w:val="center"/>
                </w:tcPr>
                <w:p w14:paraId="75182D02">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sz w:val="21"/>
                      <w:szCs w:val="21"/>
                    </w:rPr>
                  </w:pPr>
                  <w:r>
                    <w:rPr>
                      <w:rFonts w:hint="eastAsia"/>
                      <w:sz w:val="21"/>
                      <w:szCs w:val="21"/>
                    </w:rPr>
                    <w:t>年发生频次/次</w:t>
                  </w:r>
                </w:p>
              </w:tc>
              <w:tc>
                <w:tcPr>
                  <w:tcW w:w="885" w:type="pct"/>
                  <w:vAlign w:val="center"/>
                </w:tcPr>
                <w:p w14:paraId="3B83948C">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sz w:val="21"/>
                      <w:szCs w:val="21"/>
                    </w:rPr>
                  </w:pPr>
                  <w:r>
                    <w:rPr>
                      <w:rFonts w:hint="eastAsia"/>
                      <w:sz w:val="21"/>
                      <w:szCs w:val="21"/>
                    </w:rPr>
                    <w:t>应对措施</w:t>
                  </w:r>
                </w:p>
              </w:tc>
            </w:tr>
            <w:tr w14:paraId="00C6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58" w:type="pct"/>
                  <w:vMerge w:val="restart"/>
                  <w:vAlign w:val="center"/>
                </w:tcPr>
                <w:p w14:paraId="447773FA">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default" w:eastAsia="宋体"/>
                      <w:sz w:val="21"/>
                      <w:szCs w:val="21"/>
                      <w:lang w:val="en-US" w:eastAsia="zh-CN"/>
                    </w:rPr>
                  </w:pPr>
                  <w:r>
                    <w:rPr>
                      <w:rFonts w:hint="eastAsia"/>
                      <w:sz w:val="21"/>
                      <w:szCs w:val="21"/>
                      <w:lang w:val="en-US" w:eastAsia="zh-CN"/>
                    </w:rPr>
                    <w:t>DA001</w:t>
                  </w:r>
                </w:p>
              </w:tc>
              <w:tc>
                <w:tcPr>
                  <w:tcW w:w="505" w:type="pct"/>
                  <w:vMerge w:val="restart"/>
                  <w:vAlign w:val="center"/>
                </w:tcPr>
                <w:p w14:paraId="35A92419">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sz w:val="21"/>
                      <w:szCs w:val="21"/>
                    </w:rPr>
                  </w:pPr>
                  <w:r>
                    <w:rPr>
                      <w:rFonts w:hint="eastAsia"/>
                      <w:sz w:val="21"/>
                      <w:szCs w:val="21"/>
                      <w:lang w:eastAsia="zh-CN"/>
                    </w:rPr>
                    <w:t>环保设施</w:t>
                  </w:r>
                  <w:r>
                    <w:rPr>
                      <w:rFonts w:hint="eastAsia"/>
                      <w:sz w:val="21"/>
                      <w:szCs w:val="21"/>
                    </w:rPr>
                    <w:t>故障</w:t>
                  </w:r>
                </w:p>
              </w:tc>
              <w:tc>
                <w:tcPr>
                  <w:tcW w:w="480" w:type="pct"/>
                  <w:vAlign w:val="center"/>
                </w:tcPr>
                <w:p w14:paraId="62418275">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rFonts w:hint="eastAsia"/>
                      <w:sz w:val="21"/>
                      <w:szCs w:val="21"/>
                    </w:rPr>
                  </w:pPr>
                  <w:r>
                    <w:rPr>
                      <w:rFonts w:hint="eastAsia"/>
                      <w:sz w:val="21"/>
                      <w:szCs w:val="21"/>
                      <w:lang w:val="en-US" w:eastAsia="zh-CN"/>
                    </w:rPr>
                    <w:t>非甲烷总烃</w:t>
                  </w:r>
                </w:p>
              </w:tc>
              <w:tc>
                <w:tcPr>
                  <w:tcW w:w="1327" w:type="dxa"/>
                  <w:vAlign w:val="center"/>
                </w:tcPr>
                <w:p w14:paraId="0ADB614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lang w:val="en-US" w:eastAsia="zh-CN"/>
                    </w:rPr>
                    <w:t>53.33</w:t>
                  </w:r>
                </w:p>
              </w:tc>
              <w:tc>
                <w:tcPr>
                  <w:tcW w:w="1261" w:type="dxa"/>
                  <w:vAlign w:val="center"/>
                </w:tcPr>
                <w:p w14:paraId="7436000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sz w:val="21"/>
                      <w:szCs w:val="21"/>
                      <w:lang w:val="en-US"/>
                    </w:rPr>
                  </w:pPr>
                  <w:r>
                    <w:rPr>
                      <w:rFonts w:hint="eastAsia"/>
                      <w:lang w:val="en-US" w:eastAsia="zh-CN"/>
                    </w:rPr>
                    <w:t>0.8</w:t>
                  </w:r>
                </w:p>
              </w:tc>
              <w:tc>
                <w:tcPr>
                  <w:tcW w:w="496" w:type="pct"/>
                  <w:vMerge w:val="restart"/>
                  <w:vAlign w:val="center"/>
                </w:tcPr>
                <w:p w14:paraId="65D145EC">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val="en-US" w:eastAsia="zh-CN"/>
                    </w:rPr>
                    <w:t>1</w:t>
                  </w:r>
                </w:p>
              </w:tc>
              <w:tc>
                <w:tcPr>
                  <w:tcW w:w="474" w:type="pct"/>
                  <w:vMerge w:val="restart"/>
                  <w:vAlign w:val="center"/>
                </w:tcPr>
                <w:p w14:paraId="28745AEF">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sz w:val="21"/>
                      <w:szCs w:val="21"/>
                    </w:rPr>
                  </w:pPr>
                  <w:r>
                    <w:rPr>
                      <w:rFonts w:hint="eastAsia"/>
                      <w:sz w:val="21"/>
                      <w:szCs w:val="21"/>
                    </w:rPr>
                    <w:t>1</w:t>
                  </w:r>
                </w:p>
              </w:tc>
              <w:tc>
                <w:tcPr>
                  <w:tcW w:w="885" w:type="pct"/>
                  <w:vMerge w:val="restart"/>
                  <w:vAlign w:val="center"/>
                </w:tcPr>
                <w:p w14:paraId="12D14164">
                  <w:pPr>
                    <w:keepNext w:val="0"/>
                    <w:keepLines w:val="0"/>
                    <w:pageBreakBefore w:val="0"/>
                    <w:widowControl/>
                    <w:suppressLineNumbers w:val="0"/>
                    <w:kinsoku/>
                    <w:wordWrap/>
                    <w:overflowPunct w:val="0"/>
                    <w:topLinePunct w:val="0"/>
                    <w:autoSpaceDE/>
                    <w:autoSpaceDN/>
                    <w:bidi w:val="0"/>
                    <w:adjustRightInd/>
                    <w:snapToGrid/>
                    <w:spacing w:line="240" w:lineRule="auto"/>
                    <w:ind w:left="0" w:leftChars="0" w:firstLine="0" w:firstLineChars="0"/>
                    <w:jc w:val="both"/>
                    <w:textAlignment w:val="auto"/>
                    <w:rPr>
                      <w:sz w:val="21"/>
                      <w:szCs w:val="21"/>
                    </w:rPr>
                  </w:pPr>
                  <w:r>
                    <w:rPr>
                      <w:rFonts w:hint="eastAsia" w:ascii="宋体" w:hAnsi="宋体" w:eastAsia="宋体" w:cs="宋体"/>
                      <w:color w:val="000000"/>
                      <w:kern w:val="0"/>
                      <w:sz w:val="21"/>
                      <w:szCs w:val="21"/>
                      <w:lang w:val="en-US" w:eastAsia="zh-CN" w:bidi="ar"/>
                    </w:rPr>
                    <w:t>停止生产，对环保设施进行修理</w:t>
                  </w:r>
                </w:p>
              </w:tc>
            </w:tr>
            <w:tr w14:paraId="71C4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58" w:type="pct"/>
                  <w:vMerge w:val="continue"/>
                  <w:vAlign w:val="center"/>
                </w:tcPr>
                <w:p w14:paraId="7F129B8E">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p>
              </w:tc>
              <w:tc>
                <w:tcPr>
                  <w:tcW w:w="505" w:type="pct"/>
                  <w:vMerge w:val="continue"/>
                  <w:vAlign w:val="center"/>
                </w:tcPr>
                <w:p w14:paraId="1644C66F">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p>
              </w:tc>
              <w:tc>
                <w:tcPr>
                  <w:tcW w:w="480" w:type="pct"/>
                  <w:vAlign w:val="center"/>
                </w:tcPr>
                <w:p w14:paraId="4A5B110F">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rFonts w:hint="eastAsia"/>
                      <w:sz w:val="21"/>
                      <w:szCs w:val="21"/>
                    </w:rPr>
                  </w:pPr>
                  <w:r>
                    <w:rPr>
                      <w:rFonts w:hint="eastAsia"/>
                      <w:sz w:val="21"/>
                      <w:szCs w:val="21"/>
                      <w:lang w:val="en-US" w:eastAsia="zh-CN"/>
                    </w:rPr>
                    <w:t>NH</w:t>
                  </w:r>
                  <w:r>
                    <w:rPr>
                      <w:rFonts w:hint="eastAsia"/>
                      <w:sz w:val="21"/>
                      <w:szCs w:val="21"/>
                      <w:vertAlign w:val="subscript"/>
                      <w:lang w:val="en-US" w:eastAsia="zh-CN"/>
                    </w:rPr>
                    <w:t>3</w:t>
                  </w:r>
                </w:p>
              </w:tc>
              <w:tc>
                <w:tcPr>
                  <w:tcW w:w="1327" w:type="dxa"/>
                  <w:vAlign w:val="center"/>
                </w:tcPr>
                <w:p w14:paraId="776F8564">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sz w:val="21"/>
                      <w:szCs w:val="21"/>
                      <w:lang w:val="en-US"/>
                    </w:rPr>
                  </w:pPr>
                  <w:r>
                    <w:rPr>
                      <w:rFonts w:hint="eastAsia"/>
                      <w:lang w:val="en-US" w:eastAsia="zh-CN"/>
                    </w:rPr>
                    <w:t>58</w:t>
                  </w:r>
                </w:p>
              </w:tc>
              <w:tc>
                <w:tcPr>
                  <w:tcW w:w="1261" w:type="dxa"/>
                  <w:vAlign w:val="center"/>
                </w:tcPr>
                <w:p w14:paraId="5CDB7F9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sz w:val="21"/>
                      <w:szCs w:val="21"/>
                      <w:lang w:val="en-US"/>
                    </w:rPr>
                  </w:pPr>
                  <w:r>
                    <w:rPr>
                      <w:rFonts w:hint="eastAsia"/>
                      <w:lang w:val="en-US" w:eastAsia="zh-CN"/>
                    </w:rPr>
                    <w:t>0.87</w:t>
                  </w:r>
                </w:p>
              </w:tc>
              <w:tc>
                <w:tcPr>
                  <w:tcW w:w="496" w:type="pct"/>
                  <w:vMerge w:val="continue"/>
                  <w:vAlign w:val="center"/>
                </w:tcPr>
                <w:p w14:paraId="10AC5419">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p>
              </w:tc>
              <w:tc>
                <w:tcPr>
                  <w:tcW w:w="474" w:type="pct"/>
                  <w:vMerge w:val="continue"/>
                  <w:vAlign w:val="center"/>
                </w:tcPr>
                <w:p w14:paraId="6512E289">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p>
              </w:tc>
              <w:tc>
                <w:tcPr>
                  <w:tcW w:w="885" w:type="pct"/>
                  <w:vMerge w:val="continue"/>
                  <w:vAlign w:val="center"/>
                </w:tcPr>
                <w:p w14:paraId="5EF8108F">
                  <w:pPr>
                    <w:pStyle w:val="42"/>
                    <w:keepNext w:val="0"/>
                    <w:keepLines w:val="0"/>
                    <w:pageBreakBefore w:val="0"/>
                    <w:kinsoku/>
                    <w:wordWrap/>
                    <w:overflowPunct w:val="0"/>
                    <w:topLinePunct w:val="0"/>
                    <w:autoSpaceDE/>
                    <w:autoSpaceDN/>
                    <w:bidi w:val="0"/>
                    <w:adjustRightInd/>
                    <w:snapToGrid/>
                    <w:spacing w:line="240" w:lineRule="auto"/>
                    <w:jc w:val="both"/>
                    <w:textAlignment w:val="auto"/>
                    <w:rPr>
                      <w:rFonts w:hint="eastAsia"/>
                      <w:sz w:val="21"/>
                      <w:szCs w:val="21"/>
                    </w:rPr>
                  </w:pPr>
                </w:p>
              </w:tc>
            </w:tr>
            <w:tr w14:paraId="3C24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58" w:type="pct"/>
                  <w:vMerge w:val="continue"/>
                  <w:vAlign w:val="center"/>
                </w:tcPr>
                <w:p w14:paraId="40560340">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p>
              </w:tc>
              <w:tc>
                <w:tcPr>
                  <w:tcW w:w="505" w:type="pct"/>
                  <w:vMerge w:val="continue"/>
                  <w:vAlign w:val="center"/>
                </w:tcPr>
                <w:p w14:paraId="34D8A5D7">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p>
              </w:tc>
              <w:tc>
                <w:tcPr>
                  <w:tcW w:w="480" w:type="pct"/>
                  <w:vAlign w:val="center"/>
                </w:tcPr>
                <w:p w14:paraId="101FFB00">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rFonts w:hint="eastAsia"/>
                      <w:sz w:val="21"/>
                      <w:szCs w:val="21"/>
                    </w:rPr>
                  </w:pPr>
                  <w:r>
                    <w:rPr>
                      <w:rFonts w:hint="eastAsia"/>
                      <w:sz w:val="21"/>
                      <w:szCs w:val="21"/>
                      <w:lang w:val="en-US" w:eastAsia="zh-CN"/>
                    </w:rPr>
                    <w:t>H</w:t>
                  </w:r>
                  <w:r>
                    <w:rPr>
                      <w:rFonts w:hint="eastAsia"/>
                      <w:sz w:val="21"/>
                      <w:szCs w:val="21"/>
                      <w:vertAlign w:val="subscript"/>
                      <w:lang w:val="en-US" w:eastAsia="zh-CN"/>
                    </w:rPr>
                    <w:t>2</w:t>
                  </w:r>
                  <w:r>
                    <w:rPr>
                      <w:rFonts w:hint="eastAsia"/>
                      <w:sz w:val="21"/>
                      <w:szCs w:val="21"/>
                      <w:lang w:val="en-US" w:eastAsia="zh-CN"/>
                    </w:rPr>
                    <w:t>S</w:t>
                  </w:r>
                </w:p>
              </w:tc>
              <w:tc>
                <w:tcPr>
                  <w:tcW w:w="1327" w:type="dxa"/>
                  <w:vAlign w:val="center"/>
                </w:tcPr>
                <w:p w14:paraId="74E74B31">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sz w:val="21"/>
                      <w:szCs w:val="21"/>
                      <w:lang w:val="en-US"/>
                    </w:rPr>
                  </w:pPr>
                  <w:r>
                    <w:rPr>
                      <w:rFonts w:hint="eastAsia"/>
                      <w:lang w:val="en-US" w:eastAsia="zh-CN"/>
                    </w:rPr>
                    <w:t>0.463</w:t>
                  </w:r>
                </w:p>
              </w:tc>
              <w:tc>
                <w:tcPr>
                  <w:tcW w:w="1261" w:type="dxa"/>
                  <w:vAlign w:val="center"/>
                </w:tcPr>
                <w:p w14:paraId="0682678D">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sz w:val="21"/>
                      <w:szCs w:val="21"/>
                      <w:lang w:val="en-US"/>
                    </w:rPr>
                  </w:pPr>
                  <w:r>
                    <w:rPr>
                      <w:rFonts w:hint="eastAsia"/>
                      <w:lang w:val="en-US" w:eastAsia="zh-CN"/>
                    </w:rPr>
                    <w:t>0.0069</w:t>
                  </w:r>
                </w:p>
              </w:tc>
              <w:tc>
                <w:tcPr>
                  <w:tcW w:w="496" w:type="pct"/>
                  <w:vMerge w:val="continue"/>
                  <w:vAlign w:val="center"/>
                </w:tcPr>
                <w:p w14:paraId="0CBE6E38">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p>
              </w:tc>
              <w:tc>
                <w:tcPr>
                  <w:tcW w:w="474" w:type="pct"/>
                  <w:vMerge w:val="continue"/>
                  <w:vAlign w:val="center"/>
                </w:tcPr>
                <w:p w14:paraId="6D534AFF">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p>
              </w:tc>
              <w:tc>
                <w:tcPr>
                  <w:tcW w:w="885" w:type="pct"/>
                  <w:vMerge w:val="continue"/>
                  <w:vAlign w:val="center"/>
                </w:tcPr>
                <w:p w14:paraId="630B1B4C">
                  <w:pPr>
                    <w:pStyle w:val="42"/>
                    <w:keepNext w:val="0"/>
                    <w:keepLines w:val="0"/>
                    <w:pageBreakBefore w:val="0"/>
                    <w:kinsoku/>
                    <w:wordWrap/>
                    <w:overflowPunct w:val="0"/>
                    <w:topLinePunct w:val="0"/>
                    <w:autoSpaceDE/>
                    <w:autoSpaceDN/>
                    <w:bidi w:val="0"/>
                    <w:adjustRightInd/>
                    <w:snapToGrid/>
                    <w:spacing w:line="240" w:lineRule="auto"/>
                    <w:jc w:val="both"/>
                    <w:textAlignment w:val="auto"/>
                    <w:rPr>
                      <w:rFonts w:hint="eastAsia"/>
                      <w:sz w:val="21"/>
                      <w:szCs w:val="21"/>
                    </w:rPr>
                  </w:pPr>
                </w:p>
              </w:tc>
            </w:tr>
            <w:tr w14:paraId="520A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58" w:type="pct"/>
                  <w:vMerge w:val="continue"/>
                  <w:vAlign w:val="center"/>
                </w:tcPr>
                <w:p w14:paraId="45C59F4F">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p>
              </w:tc>
              <w:tc>
                <w:tcPr>
                  <w:tcW w:w="505" w:type="pct"/>
                  <w:vMerge w:val="continue"/>
                  <w:vAlign w:val="center"/>
                </w:tcPr>
                <w:p w14:paraId="30B98D9F">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p>
              </w:tc>
              <w:tc>
                <w:tcPr>
                  <w:tcW w:w="480" w:type="pct"/>
                  <w:vAlign w:val="center"/>
                </w:tcPr>
                <w:p w14:paraId="3B9AB3B0">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颗粒物</w:t>
                  </w:r>
                </w:p>
              </w:tc>
              <w:tc>
                <w:tcPr>
                  <w:tcW w:w="768" w:type="pct"/>
                  <w:vAlign w:val="center"/>
                </w:tcPr>
                <w:p w14:paraId="2668F01A">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25</w:t>
                  </w:r>
                </w:p>
              </w:tc>
              <w:tc>
                <w:tcPr>
                  <w:tcW w:w="1261" w:type="dxa"/>
                  <w:vAlign w:val="center"/>
                </w:tcPr>
                <w:p w14:paraId="1074EB5E">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0.375</w:t>
                  </w:r>
                </w:p>
              </w:tc>
              <w:tc>
                <w:tcPr>
                  <w:tcW w:w="496" w:type="pct"/>
                  <w:vMerge w:val="continue"/>
                  <w:vAlign w:val="center"/>
                </w:tcPr>
                <w:p w14:paraId="2EB49F39">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p>
              </w:tc>
              <w:tc>
                <w:tcPr>
                  <w:tcW w:w="474" w:type="pct"/>
                  <w:vMerge w:val="continue"/>
                  <w:vAlign w:val="center"/>
                </w:tcPr>
                <w:p w14:paraId="4B3295E8">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p>
              </w:tc>
              <w:tc>
                <w:tcPr>
                  <w:tcW w:w="885" w:type="pct"/>
                  <w:vMerge w:val="continue"/>
                  <w:vAlign w:val="center"/>
                </w:tcPr>
                <w:p w14:paraId="1DFD2A14">
                  <w:pPr>
                    <w:pStyle w:val="42"/>
                    <w:keepNext w:val="0"/>
                    <w:keepLines w:val="0"/>
                    <w:pageBreakBefore w:val="0"/>
                    <w:kinsoku/>
                    <w:wordWrap/>
                    <w:overflowPunct w:val="0"/>
                    <w:topLinePunct w:val="0"/>
                    <w:autoSpaceDE/>
                    <w:autoSpaceDN/>
                    <w:bidi w:val="0"/>
                    <w:adjustRightInd/>
                    <w:snapToGrid/>
                    <w:spacing w:line="240" w:lineRule="auto"/>
                    <w:jc w:val="both"/>
                    <w:textAlignment w:val="auto"/>
                    <w:rPr>
                      <w:rFonts w:hint="eastAsia"/>
                      <w:sz w:val="21"/>
                      <w:szCs w:val="21"/>
                    </w:rPr>
                  </w:pPr>
                </w:p>
              </w:tc>
            </w:tr>
            <w:tr w14:paraId="2CCB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58" w:type="pct"/>
                  <w:vMerge w:val="restart"/>
                  <w:vAlign w:val="center"/>
                </w:tcPr>
                <w:p w14:paraId="56574026">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default"/>
                      <w:sz w:val="21"/>
                      <w:szCs w:val="21"/>
                      <w:lang w:val="en-US"/>
                    </w:rPr>
                  </w:pPr>
                  <w:r>
                    <w:rPr>
                      <w:rFonts w:hint="eastAsia"/>
                      <w:sz w:val="21"/>
                      <w:szCs w:val="21"/>
                      <w:lang w:val="en-US" w:eastAsia="zh-CN"/>
                    </w:rPr>
                    <w:t>DA002</w:t>
                  </w:r>
                </w:p>
              </w:tc>
              <w:tc>
                <w:tcPr>
                  <w:tcW w:w="505" w:type="pct"/>
                  <w:vMerge w:val="restart"/>
                  <w:vAlign w:val="center"/>
                </w:tcPr>
                <w:p w14:paraId="6C44D11D">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sz w:val="21"/>
                      <w:szCs w:val="21"/>
                    </w:rPr>
                  </w:pPr>
                  <w:r>
                    <w:rPr>
                      <w:rFonts w:hint="eastAsia"/>
                      <w:sz w:val="21"/>
                      <w:szCs w:val="21"/>
                      <w:lang w:eastAsia="zh-CN"/>
                    </w:rPr>
                    <w:t>环保设施</w:t>
                  </w:r>
                  <w:r>
                    <w:rPr>
                      <w:rFonts w:hint="eastAsia"/>
                      <w:sz w:val="21"/>
                      <w:szCs w:val="21"/>
                    </w:rPr>
                    <w:t>故障</w:t>
                  </w:r>
                </w:p>
              </w:tc>
              <w:tc>
                <w:tcPr>
                  <w:tcW w:w="480" w:type="pct"/>
                  <w:vAlign w:val="center"/>
                </w:tcPr>
                <w:p w14:paraId="27172CA3">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非甲烷总烃</w:t>
                  </w:r>
                </w:p>
              </w:tc>
              <w:tc>
                <w:tcPr>
                  <w:tcW w:w="1327" w:type="dxa"/>
                  <w:vAlign w:val="center"/>
                </w:tcPr>
                <w:p w14:paraId="3F1840A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lang w:val="en-US" w:eastAsia="zh-CN"/>
                    </w:rPr>
                    <w:t>2.78</w:t>
                  </w:r>
                </w:p>
              </w:tc>
              <w:tc>
                <w:tcPr>
                  <w:tcW w:w="1261" w:type="dxa"/>
                  <w:vAlign w:val="center"/>
                </w:tcPr>
                <w:p w14:paraId="207545E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lang w:val="en-US" w:eastAsia="zh-CN"/>
                    </w:rPr>
                    <w:t>0.1</w:t>
                  </w:r>
                </w:p>
              </w:tc>
              <w:tc>
                <w:tcPr>
                  <w:tcW w:w="496" w:type="pct"/>
                  <w:vMerge w:val="restart"/>
                  <w:vAlign w:val="center"/>
                </w:tcPr>
                <w:p w14:paraId="4E074C5D">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val="en-US" w:eastAsia="zh-CN"/>
                    </w:rPr>
                    <w:t>1</w:t>
                  </w:r>
                </w:p>
              </w:tc>
              <w:tc>
                <w:tcPr>
                  <w:tcW w:w="474" w:type="pct"/>
                  <w:vMerge w:val="restart"/>
                  <w:vAlign w:val="center"/>
                </w:tcPr>
                <w:p w14:paraId="09097464">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sz w:val="21"/>
                      <w:szCs w:val="21"/>
                    </w:rPr>
                  </w:pPr>
                  <w:r>
                    <w:rPr>
                      <w:rFonts w:hint="eastAsia"/>
                      <w:sz w:val="21"/>
                      <w:szCs w:val="21"/>
                    </w:rPr>
                    <w:t>1</w:t>
                  </w:r>
                </w:p>
              </w:tc>
              <w:tc>
                <w:tcPr>
                  <w:tcW w:w="885" w:type="pct"/>
                  <w:vMerge w:val="restart"/>
                  <w:vAlign w:val="center"/>
                </w:tcPr>
                <w:p w14:paraId="4AC2C352">
                  <w:pPr>
                    <w:pStyle w:val="42"/>
                    <w:keepNext w:val="0"/>
                    <w:keepLines w:val="0"/>
                    <w:pageBreakBefore w:val="0"/>
                    <w:kinsoku/>
                    <w:wordWrap/>
                    <w:overflowPunct w:val="0"/>
                    <w:topLinePunct w:val="0"/>
                    <w:autoSpaceDE/>
                    <w:autoSpaceDN/>
                    <w:bidi w:val="0"/>
                    <w:adjustRightInd/>
                    <w:snapToGrid/>
                    <w:spacing w:line="240" w:lineRule="auto"/>
                    <w:jc w:val="both"/>
                    <w:textAlignment w:val="auto"/>
                    <w:rPr>
                      <w:sz w:val="21"/>
                      <w:szCs w:val="21"/>
                    </w:rPr>
                  </w:pPr>
                  <w:r>
                    <w:rPr>
                      <w:rFonts w:hint="eastAsia" w:ascii="宋体" w:hAnsi="宋体" w:eastAsia="宋体" w:cs="宋体"/>
                      <w:color w:val="000000"/>
                      <w:kern w:val="0"/>
                      <w:sz w:val="21"/>
                      <w:szCs w:val="21"/>
                      <w:lang w:val="en-US" w:eastAsia="zh-CN" w:bidi="ar"/>
                    </w:rPr>
                    <w:t>停止生产，对环保设施进行修理</w:t>
                  </w:r>
                </w:p>
              </w:tc>
            </w:tr>
            <w:tr w14:paraId="3C03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58" w:type="pct"/>
                  <w:vMerge w:val="continue"/>
                  <w:vAlign w:val="center"/>
                </w:tcPr>
                <w:p w14:paraId="0076B95B">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sz w:val="21"/>
                      <w:szCs w:val="21"/>
                    </w:rPr>
                  </w:pPr>
                </w:p>
              </w:tc>
              <w:tc>
                <w:tcPr>
                  <w:tcW w:w="505" w:type="pct"/>
                  <w:vMerge w:val="continue"/>
                  <w:vAlign w:val="center"/>
                </w:tcPr>
                <w:p w14:paraId="08F41119">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sz w:val="21"/>
                      <w:szCs w:val="21"/>
                    </w:rPr>
                  </w:pPr>
                </w:p>
              </w:tc>
              <w:tc>
                <w:tcPr>
                  <w:tcW w:w="480" w:type="pct"/>
                  <w:vAlign w:val="center"/>
                </w:tcPr>
                <w:p w14:paraId="281BEED0">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rFonts w:hint="eastAsia"/>
                      <w:sz w:val="21"/>
                      <w:szCs w:val="21"/>
                    </w:rPr>
                  </w:pPr>
                  <w:r>
                    <w:rPr>
                      <w:rFonts w:hint="eastAsia"/>
                      <w:sz w:val="21"/>
                      <w:szCs w:val="21"/>
                      <w:lang w:val="en-US" w:eastAsia="zh-CN"/>
                    </w:rPr>
                    <w:t>NH</w:t>
                  </w:r>
                  <w:r>
                    <w:rPr>
                      <w:rFonts w:hint="eastAsia"/>
                      <w:sz w:val="21"/>
                      <w:szCs w:val="21"/>
                      <w:vertAlign w:val="subscript"/>
                      <w:lang w:val="en-US" w:eastAsia="zh-CN"/>
                    </w:rPr>
                    <w:t>3</w:t>
                  </w:r>
                </w:p>
              </w:tc>
              <w:tc>
                <w:tcPr>
                  <w:tcW w:w="1327" w:type="dxa"/>
                  <w:vAlign w:val="center"/>
                </w:tcPr>
                <w:p w14:paraId="35E06E17">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lang w:val="en-US" w:eastAsia="zh-CN"/>
                    </w:rPr>
                    <w:t>3.39</w:t>
                  </w:r>
                </w:p>
              </w:tc>
              <w:tc>
                <w:tcPr>
                  <w:tcW w:w="1261" w:type="dxa"/>
                  <w:vAlign w:val="center"/>
                </w:tcPr>
                <w:p w14:paraId="595D661F">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sz w:val="21"/>
                      <w:szCs w:val="21"/>
                    </w:rPr>
                  </w:pPr>
                  <w:r>
                    <w:rPr>
                      <w:rFonts w:hint="eastAsia"/>
                      <w:lang w:val="en-US" w:eastAsia="zh-CN"/>
                    </w:rPr>
                    <w:t>0.122</w:t>
                  </w:r>
                </w:p>
              </w:tc>
              <w:tc>
                <w:tcPr>
                  <w:tcW w:w="496" w:type="pct"/>
                  <w:vMerge w:val="continue"/>
                  <w:vAlign w:val="center"/>
                </w:tcPr>
                <w:p w14:paraId="48E34F55">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p>
              </w:tc>
              <w:tc>
                <w:tcPr>
                  <w:tcW w:w="474" w:type="pct"/>
                  <w:vMerge w:val="continue"/>
                  <w:vAlign w:val="center"/>
                </w:tcPr>
                <w:p w14:paraId="4D54DB4F">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p>
              </w:tc>
              <w:tc>
                <w:tcPr>
                  <w:tcW w:w="885" w:type="pct"/>
                  <w:vMerge w:val="continue"/>
                  <w:vAlign w:val="center"/>
                </w:tcPr>
                <w:p w14:paraId="33EC8E20">
                  <w:pPr>
                    <w:pStyle w:val="42"/>
                    <w:keepNext w:val="0"/>
                    <w:keepLines w:val="0"/>
                    <w:pageBreakBefore w:val="0"/>
                    <w:kinsoku/>
                    <w:wordWrap/>
                    <w:overflowPunct w:val="0"/>
                    <w:topLinePunct w:val="0"/>
                    <w:autoSpaceDE/>
                    <w:autoSpaceDN/>
                    <w:bidi w:val="0"/>
                    <w:adjustRightInd/>
                    <w:snapToGrid/>
                    <w:spacing w:line="240" w:lineRule="auto"/>
                    <w:jc w:val="both"/>
                    <w:textAlignment w:val="auto"/>
                    <w:rPr>
                      <w:rFonts w:hint="eastAsia"/>
                      <w:sz w:val="21"/>
                      <w:szCs w:val="21"/>
                    </w:rPr>
                  </w:pPr>
                </w:p>
              </w:tc>
            </w:tr>
            <w:tr w14:paraId="4AB3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658" w:type="pct"/>
                  <w:vMerge w:val="continue"/>
                  <w:vAlign w:val="center"/>
                </w:tcPr>
                <w:p w14:paraId="5F78F29B">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p>
              </w:tc>
              <w:tc>
                <w:tcPr>
                  <w:tcW w:w="505" w:type="pct"/>
                  <w:vMerge w:val="continue"/>
                  <w:vAlign w:val="center"/>
                </w:tcPr>
                <w:p w14:paraId="3B1D971E">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p>
              </w:tc>
              <w:tc>
                <w:tcPr>
                  <w:tcW w:w="480" w:type="pct"/>
                  <w:vAlign w:val="center"/>
                </w:tcPr>
                <w:p w14:paraId="52060B61">
                  <w:pPr>
                    <w:pStyle w:val="42"/>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rFonts w:hint="eastAsia"/>
                      <w:sz w:val="21"/>
                      <w:szCs w:val="21"/>
                    </w:rPr>
                  </w:pPr>
                  <w:r>
                    <w:rPr>
                      <w:rFonts w:hint="eastAsia"/>
                      <w:sz w:val="21"/>
                      <w:szCs w:val="21"/>
                      <w:lang w:val="en-US" w:eastAsia="zh-CN"/>
                    </w:rPr>
                    <w:t>H</w:t>
                  </w:r>
                  <w:r>
                    <w:rPr>
                      <w:rFonts w:hint="eastAsia"/>
                      <w:sz w:val="21"/>
                      <w:szCs w:val="21"/>
                      <w:vertAlign w:val="subscript"/>
                      <w:lang w:val="en-US" w:eastAsia="zh-CN"/>
                    </w:rPr>
                    <w:t>2</w:t>
                  </w:r>
                  <w:r>
                    <w:rPr>
                      <w:rFonts w:hint="eastAsia"/>
                      <w:sz w:val="21"/>
                      <w:szCs w:val="21"/>
                      <w:lang w:val="en-US" w:eastAsia="zh-CN"/>
                    </w:rPr>
                    <w:t>S</w:t>
                  </w:r>
                </w:p>
              </w:tc>
              <w:tc>
                <w:tcPr>
                  <w:tcW w:w="1327" w:type="dxa"/>
                  <w:vAlign w:val="center"/>
                </w:tcPr>
                <w:p w14:paraId="483BFE1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sz w:val="21"/>
                      <w:szCs w:val="21"/>
                    </w:rPr>
                  </w:pPr>
                  <w:r>
                    <w:rPr>
                      <w:rFonts w:hint="eastAsia"/>
                      <w:lang w:val="en-US" w:eastAsia="zh-CN"/>
                    </w:rPr>
                    <w:t>0.071</w:t>
                  </w:r>
                </w:p>
              </w:tc>
              <w:tc>
                <w:tcPr>
                  <w:tcW w:w="1261" w:type="dxa"/>
                  <w:vAlign w:val="center"/>
                </w:tcPr>
                <w:p w14:paraId="4FC6664A">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sz w:val="21"/>
                      <w:szCs w:val="21"/>
                    </w:rPr>
                  </w:pPr>
                  <w:r>
                    <w:rPr>
                      <w:rFonts w:hint="eastAsia"/>
                      <w:lang w:val="en-US" w:eastAsia="zh-CN"/>
                    </w:rPr>
                    <w:t>0.0025</w:t>
                  </w:r>
                </w:p>
              </w:tc>
              <w:tc>
                <w:tcPr>
                  <w:tcW w:w="496" w:type="pct"/>
                  <w:vMerge w:val="continue"/>
                  <w:vAlign w:val="center"/>
                </w:tcPr>
                <w:p w14:paraId="2E6F00A5">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p>
              </w:tc>
              <w:tc>
                <w:tcPr>
                  <w:tcW w:w="474" w:type="pct"/>
                  <w:vMerge w:val="continue"/>
                  <w:vAlign w:val="center"/>
                </w:tcPr>
                <w:p w14:paraId="5EF3922D">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p>
              </w:tc>
              <w:tc>
                <w:tcPr>
                  <w:tcW w:w="885" w:type="pct"/>
                  <w:vMerge w:val="continue"/>
                  <w:vAlign w:val="center"/>
                </w:tcPr>
                <w:p w14:paraId="581EDECA">
                  <w:pPr>
                    <w:pStyle w:val="42"/>
                    <w:keepNext w:val="0"/>
                    <w:keepLines w:val="0"/>
                    <w:pageBreakBefore w:val="0"/>
                    <w:kinsoku/>
                    <w:wordWrap/>
                    <w:overflowPunct w:val="0"/>
                    <w:topLinePunct w:val="0"/>
                    <w:autoSpaceDE/>
                    <w:autoSpaceDN/>
                    <w:bidi w:val="0"/>
                    <w:adjustRightInd/>
                    <w:snapToGrid/>
                    <w:spacing w:line="240" w:lineRule="auto"/>
                    <w:jc w:val="both"/>
                    <w:textAlignment w:val="auto"/>
                    <w:rPr>
                      <w:rFonts w:hint="eastAsia"/>
                      <w:sz w:val="21"/>
                      <w:szCs w:val="21"/>
                    </w:rPr>
                  </w:pPr>
                </w:p>
              </w:tc>
            </w:tr>
            <w:tr w14:paraId="4E38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58" w:type="pct"/>
                  <w:vAlign w:val="center"/>
                </w:tcPr>
                <w:p w14:paraId="0EC290D9">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eastAsia="zh-CN"/>
                    </w:rPr>
                    <w:t>食堂油烟排气筒</w:t>
                  </w:r>
                </w:p>
              </w:tc>
              <w:tc>
                <w:tcPr>
                  <w:tcW w:w="505" w:type="pct"/>
                  <w:vAlign w:val="center"/>
                </w:tcPr>
                <w:p w14:paraId="01D0EB8D">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r>
                    <w:rPr>
                      <w:rFonts w:hint="eastAsia"/>
                      <w:sz w:val="21"/>
                      <w:szCs w:val="21"/>
                      <w:lang w:eastAsia="zh-CN"/>
                    </w:rPr>
                    <w:t>环保设施</w:t>
                  </w:r>
                  <w:r>
                    <w:rPr>
                      <w:rFonts w:hint="eastAsia"/>
                      <w:sz w:val="21"/>
                      <w:szCs w:val="21"/>
                    </w:rPr>
                    <w:t>故障</w:t>
                  </w:r>
                </w:p>
              </w:tc>
              <w:tc>
                <w:tcPr>
                  <w:tcW w:w="480" w:type="pct"/>
                  <w:vAlign w:val="center"/>
                </w:tcPr>
                <w:p w14:paraId="7AC92806">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eastAsia="zh-CN"/>
                    </w:rPr>
                    <w:t>油烟</w:t>
                  </w:r>
                </w:p>
              </w:tc>
              <w:tc>
                <w:tcPr>
                  <w:tcW w:w="768" w:type="pct"/>
                  <w:vAlign w:val="center"/>
                </w:tcPr>
                <w:p w14:paraId="62836F61">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r>
                    <w:rPr>
                      <w:rFonts w:hint="eastAsia"/>
                      <w:lang w:val="en-US" w:eastAsia="zh-CN"/>
                    </w:rPr>
                    <w:t>0.97</w:t>
                  </w:r>
                </w:p>
              </w:tc>
              <w:tc>
                <w:tcPr>
                  <w:tcW w:w="730" w:type="pct"/>
                  <w:vAlign w:val="center"/>
                </w:tcPr>
                <w:p w14:paraId="7B3087E6">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sz w:val="21"/>
                      <w:szCs w:val="21"/>
                    </w:rPr>
                  </w:pPr>
                  <w:r>
                    <w:rPr>
                      <w:rFonts w:hint="eastAsia"/>
                      <w:lang w:val="en-US" w:eastAsia="zh-CN"/>
                    </w:rPr>
                    <w:t>0.0034</w:t>
                  </w:r>
                </w:p>
              </w:tc>
              <w:tc>
                <w:tcPr>
                  <w:tcW w:w="496" w:type="pct"/>
                  <w:vAlign w:val="center"/>
                </w:tcPr>
                <w:p w14:paraId="391B97FE">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1</w:t>
                  </w:r>
                </w:p>
              </w:tc>
              <w:tc>
                <w:tcPr>
                  <w:tcW w:w="474" w:type="pct"/>
                  <w:vAlign w:val="center"/>
                </w:tcPr>
                <w:p w14:paraId="085FBA0F">
                  <w:pPr>
                    <w:pStyle w:val="42"/>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1</w:t>
                  </w:r>
                </w:p>
              </w:tc>
              <w:tc>
                <w:tcPr>
                  <w:tcW w:w="885" w:type="pct"/>
                  <w:vAlign w:val="center"/>
                </w:tcPr>
                <w:p w14:paraId="065BB490">
                  <w:pPr>
                    <w:pStyle w:val="42"/>
                    <w:keepNext w:val="0"/>
                    <w:keepLines w:val="0"/>
                    <w:pageBreakBefore w:val="0"/>
                    <w:kinsoku/>
                    <w:wordWrap/>
                    <w:overflowPunct w:val="0"/>
                    <w:topLinePunct w:val="0"/>
                    <w:autoSpaceDE/>
                    <w:autoSpaceDN/>
                    <w:bidi w:val="0"/>
                    <w:adjustRightInd/>
                    <w:snapToGrid/>
                    <w:spacing w:line="240" w:lineRule="auto"/>
                    <w:jc w:val="both"/>
                    <w:textAlignment w:val="auto"/>
                    <w:rPr>
                      <w:sz w:val="21"/>
                      <w:szCs w:val="21"/>
                    </w:rPr>
                  </w:pPr>
                  <w:r>
                    <w:rPr>
                      <w:rFonts w:hint="eastAsia" w:ascii="宋体" w:hAnsi="宋体" w:eastAsia="宋体" w:cs="宋体"/>
                      <w:color w:val="000000"/>
                      <w:kern w:val="0"/>
                      <w:sz w:val="21"/>
                      <w:szCs w:val="21"/>
                      <w:lang w:val="en-US" w:eastAsia="zh-CN" w:bidi="ar"/>
                    </w:rPr>
                    <w:t>停止生产，对环保设施进行修理</w:t>
                  </w:r>
                </w:p>
              </w:tc>
            </w:tr>
          </w:tbl>
          <w:p w14:paraId="275AEFAC">
            <w:pPr>
              <w:ind w:firstLine="480"/>
            </w:pPr>
            <w:r>
              <w:rPr>
                <w:rFonts w:hint="eastAsia"/>
              </w:rPr>
              <w:t>由上表可知，在项目</w:t>
            </w:r>
            <w:r>
              <w:rPr>
                <w:rFonts w:hint="eastAsia"/>
                <w:lang w:eastAsia="zh-CN"/>
              </w:rPr>
              <w:t>环保设施</w:t>
            </w:r>
            <w:r>
              <w:rPr>
                <w:rFonts w:hint="eastAsia"/>
              </w:rPr>
              <w:t>发生故障出现异常的情况下，</w:t>
            </w:r>
            <w:r>
              <w:rPr>
                <w:rFonts w:hint="eastAsia"/>
                <w:lang w:val="en-US" w:eastAsia="zh-CN"/>
              </w:rPr>
              <w:t>DA001、DA002排气筒排放的污染物</w:t>
            </w:r>
            <w:r>
              <w:rPr>
                <w:rFonts w:hint="eastAsia"/>
              </w:rPr>
              <w:t>排放浓度</w:t>
            </w:r>
            <w:r>
              <w:rPr>
                <w:rFonts w:hint="eastAsia"/>
                <w:lang w:eastAsia="zh-CN"/>
              </w:rPr>
              <w:t>及速率未</w:t>
            </w:r>
            <w:r>
              <w:rPr>
                <w:rFonts w:hint="eastAsia"/>
              </w:rPr>
              <w:t>超过《大气污染物综合排放标准》(GB16297-1996)</w:t>
            </w:r>
            <w:r>
              <w:rPr>
                <w:rFonts w:hint="eastAsia"/>
                <w:lang w:eastAsia="zh-CN"/>
              </w:rPr>
              <w:t>、《恶臭污染物排放标准》(GB14554-93)、《锅炉大气污染物排放标准》(GB13271-2014)等</w:t>
            </w:r>
            <w:r>
              <w:rPr>
                <w:rFonts w:hint="eastAsia"/>
              </w:rPr>
              <w:t>相关标准限值，</w:t>
            </w:r>
            <w:r>
              <w:rPr>
                <w:rFonts w:hint="eastAsia"/>
                <w:lang w:eastAsia="zh-CN"/>
              </w:rPr>
              <w:t>虽未超过标准限值，但任</w:t>
            </w:r>
            <w:r>
              <w:rPr>
                <w:rFonts w:hint="eastAsia"/>
              </w:rPr>
              <w:t>应加强对环保处理设施的维护管理，避免废气处理设施因异常情况导致处理效率降低等非正常工况的发生，当处理设施发生异常应立即停机检修，减少污染物的非正常工况排放。</w:t>
            </w:r>
          </w:p>
          <w:p w14:paraId="66A96203">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4.5.6、</w:t>
            </w:r>
            <w:r>
              <w:rPr>
                <w:rFonts w:hint="eastAsia"/>
              </w:rPr>
              <w:t>监测计划</w:t>
            </w:r>
          </w:p>
          <w:p w14:paraId="0B2206B4">
            <w:pPr>
              <w:keepNext w:val="0"/>
              <w:keepLines w:val="0"/>
              <w:widowControl/>
              <w:suppressLineNumbers w:val="0"/>
              <w:jc w:val="both"/>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根据《排污单位自行监测技术指南 火力发电及锅炉》（HJ820</w:t>
            </w:r>
            <w:r>
              <w:rPr>
                <w:rFonts w:hint="default" w:ascii="Times New Roman" w:hAnsi="Times New Roman"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2017），</w:t>
            </w:r>
            <w:r>
              <w:rPr>
                <w:rFonts w:hint="default" w:ascii="Times New Roman" w:hAnsi="Times New Roman" w:cs="Times New Roman"/>
              </w:rPr>
              <w:t>《排污许可证申请与核发技术规范 农副食品加工工业—屠宰及肉类加工工业》（HJ860.3-2018）</w:t>
            </w:r>
            <w:r>
              <w:rPr>
                <w:rFonts w:hint="default" w:ascii="Times New Roman" w:hAnsi="Times New Roman" w:eastAsia="宋体" w:cs="Times New Roman"/>
                <w:color w:val="000000"/>
                <w:kern w:val="0"/>
                <w:sz w:val="24"/>
                <w:szCs w:val="24"/>
                <w:lang w:val="en-US" w:eastAsia="zh-CN" w:bidi="ar"/>
              </w:rPr>
              <w:t>、《排污单位自行监测技术指南总则》（HJ 819-2017），制定本项目大气监测计划</w:t>
            </w:r>
            <w:r>
              <w:rPr>
                <w:rFonts w:hint="default" w:ascii="Times New Roman" w:hAnsi="Times New Roman" w:cs="Times New Roman"/>
              </w:rPr>
              <w:t>见下表。</w:t>
            </w:r>
          </w:p>
          <w:p w14:paraId="3367D34D">
            <w:pPr>
              <w:pStyle w:val="8"/>
              <w:keepNext/>
              <w:keepLines w:val="0"/>
              <w:pageBreakBefore w:val="0"/>
              <w:widowControl w:val="0"/>
              <w:numPr>
                <w:ilvl w:val="5"/>
                <w:numId w:val="0"/>
              </w:numPr>
              <w:kinsoku/>
              <w:wordWrap/>
              <w:overflowPunct w:val="0"/>
              <w:topLinePunct w:val="0"/>
              <w:autoSpaceDE/>
              <w:autoSpaceDN/>
              <w:bidi w:val="0"/>
              <w:adjustRightInd/>
              <w:snapToGrid/>
              <w:ind w:left="0" w:leftChars="0" w:firstLine="0" w:firstLineChars="0"/>
              <w:textAlignment w:val="auto"/>
            </w:pPr>
            <w:r>
              <w:rPr>
                <w:rFonts w:hint="default" w:ascii="Times New Roman" w:hAnsi="Times New Roman" w:eastAsia="宋体" w:cs="Times New Roman"/>
                <w:b/>
                <w:i w:val="0"/>
                <w:color w:val="auto"/>
                <w:kern w:val="2"/>
                <w:sz w:val="24"/>
                <w:szCs w:val="24"/>
                <w:shd w:val="clear" w:fill="FFFFFF"/>
                <w:lang w:val="en-US" w:eastAsia="zh-CN" w:bidi="ar-SA"/>
              </w:rPr>
              <w:t>表4-18</w:t>
            </w:r>
            <w:r>
              <w:rPr>
                <w:rFonts w:hint="eastAsia"/>
              </w:rPr>
              <w:t>运营期废气排放环境监测计划</w:t>
            </w:r>
          </w:p>
          <w:tbl>
            <w:tblPr>
              <w:tblStyle w:val="26"/>
              <w:tblpPr w:leftFromText="180" w:rightFromText="180" w:vertAnchor="text" w:horzAnchor="page" w:tblpX="102" w:tblpY="4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455"/>
              <w:gridCol w:w="1601"/>
              <w:gridCol w:w="530"/>
              <w:gridCol w:w="4480"/>
            </w:tblGrid>
            <w:tr w14:paraId="64C4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5F13D054">
                  <w:pPr>
                    <w:pStyle w:val="42"/>
                    <w:bidi w:val="0"/>
                  </w:pPr>
                  <w:r>
                    <w:t>产污环节</w:t>
                  </w:r>
                </w:p>
              </w:tc>
              <w:tc>
                <w:tcPr>
                  <w:tcW w:w="0" w:type="auto"/>
                  <w:gridSpan w:val="4"/>
                  <w:vAlign w:val="center"/>
                </w:tcPr>
                <w:p w14:paraId="4DAC79CE">
                  <w:pPr>
                    <w:pStyle w:val="42"/>
                    <w:bidi w:val="0"/>
                  </w:pPr>
                  <w:r>
                    <w:t>监测要求</w:t>
                  </w:r>
                </w:p>
              </w:tc>
            </w:tr>
            <w:tr w14:paraId="76B0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351ABF5">
                  <w:pPr>
                    <w:pStyle w:val="42"/>
                    <w:bidi w:val="0"/>
                  </w:pPr>
                </w:p>
              </w:tc>
              <w:tc>
                <w:tcPr>
                  <w:tcW w:w="0" w:type="auto"/>
                  <w:vAlign w:val="center"/>
                </w:tcPr>
                <w:p w14:paraId="0DEB30C0">
                  <w:pPr>
                    <w:pStyle w:val="42"/>
                    <w:bidi w:val="0"/>
                  </w:pPr>
                  <w:r>
                    <w:t>监测点位</w:t>
                  </w:r>
                </w:p>
              </w:tc>
              <w:tc>
                <w:tcPr>
                  <w:tcW w:w="0" w:type="auto"/>
                  <w:vAlign w:val="center"/>
                </w:tcPr>
                <w:p w14:paraId="26848FB6">
                  <w:pPr>
                    <w:pStyle w:val="42"/>
                    <w:bidi w:val="0"/>
                  </w:pPr>
                  <w:r>
                    <w:t>监测因子</w:t>
                  </w:r>
                </w:p>
              </w:tc>
              <w:tc>
                <w:tcPr>
                  <w:tcW w:w="0" w:type="auto"/>
                  <w:vAlign w:val="center"/>
                </w:tcPr>
                <w:p w14:paraId="67404E7A">
                  <w:pPr>
                    <w:pStyle w:val="42"/>
                    <w:bidi w:val="0"/>
                  </w:pPr>
                  <w:r>
                    <w:t>监测频次</w:t>
                  </w:r>
                </w:p>
              </w:tc>
              <w:tc>
                <w:tcPr>
                  <w:tcW w:w="0" w:type="auto"/>
                  <w:vAlign w:val="center"/>
                </w:tcPr>
                <w:p w14:paraId="507B2C54">
                  <w:pPr>
                    <w:pStyle w:val="42"/>
                    <w:bidi w:val="0"/>
                  </w:pPr>
                  <w:r>
                    <w:rPr>
                      <w:rFonts w:hint="eastAsia"/>
                    </w:rPr>
                    <w:t>执行标准</w:t>
                  </w:r>
                </w:p>
              </w:tc>
            </w:tr>
            <w:tr w14:paraId="2647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7366F7D9">
                  <w:pPr>
                    <w:pStyle w:val="42"/>
                    <w:bidi w:val="0"/>
                  </w:pPr>
                  <w:r>
                    <w:rPr>
                      <w:rFonts w:hint="eastAsia"/>
                    </w:rPr>
                    <w:t>有组织废气</w:t>
                  </w:r>
                </w:p>
              </w:tc>
              <w:tc>
                <w:tcPr>
                  <w:tcW w:w="0" w:type="auto"/>
                  <w:vAlign w:val="center"/>
                </w:tcPr>
                <w:p w14:paraId="23253A5D">
                  <w:pPr>
                    <w:pStyle w:val="42"/>
                    <w:bidi w:val="0"/>
                    <w:rPr>
                      <w:rFonts w:hint="default"/>
                      <w:lang w:val="en-US"/>
                    </w:rPr>
                  </w:pPr>
                  <w:r>
                    <w:rPr>
                      <w:rFonts w:hint="eastAsia"/>
                      <w:lang w:val="en-US" w:eastAsia="zh-CN"/>
                    </w:rPr>
                    <w:t>DA001（</w:t>
                  </w:r>
                  <w:r>
                    <w:rPr>
                      <w:rFonts w:hint="eastAsia"/>
                      <w:lang w:eastAsia="zh-CN"/>
                    </w:rPr>
                    <w:t>生物质颗粒</w:t>
                  </w:r>
                  <w:r>
                    <w:rPr>
                      <w:rFonts w:hint="eastAsia"/>
                      <w:lang w:val="en-US" w:eastAsia="zh-CN"/>
                    </w:rPr>
                    <w:t>燃烧废气、化制烘干废气）</w:t>
                  </w:r>
                </w:p>
              </w:tc>
              <w:tc>
                <w:tcPr>
                  <w:tcW w:w="0" w:type="auto"/>
                  <w:vAlign w:val="center"/>
                </w:tcPr>
                <w:p w14:paraId="35450533">
                  <w:pPr>
                    <w:pStyle w:val="42"/>
                    <w:bidi w:val="0"/>
                  </w:pPr>
                  <w:r>
                    <w:rPr>
                      <w:rFonts w:hint="eastAsia"/>
                      <w:lang w:val="en-US" w:eastAsia="zh-CN"/>
                    </w:rPr>
                    <w:t>颗粒物、非甲烷总烃、氨、硫化氢、臭气浓度、二氧化硫、氮氧化物</w:t>
                  </w:r>
                </w:p>
              </w:tc>
              <w:tc>
                <w:tcPr>
                  <w:tcW w:w="0" w:type="auto"/>
                  <w:vAlign w:val="center"/>
                </w:tcPr>
                <w:p w14:paraId="7F244150">
                  <w:pPr>
                    <w:pStyle w:val="42"/>
                    <w:bidi w:val="0"/>
                  </w:pPr>
                  <w:r>
                    <w:rPr>
                      <w:rFonts w:hint="default"/>
                      <w:lang w:val="en-US" w:eastAsia="zh-CN"/>
                    </w:rPr>
                    <w:t>1</w:t>
                  </w:r>
                  <w:r>
                    <w:rPr>
                      <w:rFonts w:hint="eastAsia"/>
                      <w:lang w:val="en-US" w:eastAsia="zh-CN"/>
                    </w:rPr>
                    <w:t>次</w:t>
                  </w:r>
                  <w:r>
                    <w:rPr>
                      <w:rFonts w:hint="default"/>
                      <w:lang w:val="en-US" w:eastAsia="zh-CN"/>
                    </w:rPr>
                    <w:t>/</w:t>
                  </w:r>
                  <w:r>
                    <w:rPr>
                      <w:rFonts w:hint="eastAsia"/>
                      <w:lang w:val="en-US" w:eastAsia="zh-CN"/>
                    </w:rPr>
                    <w:t>半年</w:t>
                  </w:r>
                </w:p>
              </w:tc>
              <w:tc>
                <w:tcPr>
                  <w:tcW w:w="0" w:type="auto"/>
                  <w:vMerge w:val="restart"/>
                  <w:vAlign w:val="center"/>
                </w:tcPr>
                <w:p w14:paraId="6A1544BE">
                  <w:pPr>
                    <w:pStyle w:val="42"/>
                    <w:bidi w:val="0"/>
                    <w:rPr>
                      <w:rFonts w:hint="eastAsia"/>
                      <w:lang w:eastAsia="zh-CN"/>
                    </w:rPr>
                  </w:pPr>
                  <w:r>
                    <w:rPr>
                      <w:rFonts w:hint="eastAsia"/>
                    </w:rPr>
                    <w:t>《大气污染物综合排放标准》(GB16297-1996)</w:t>
                  </w:r>
                  <w:r>
                    <w:rPr>
                      <w:rFonts w:hint="eastAsia"/>
                      <w:lang w:eastAsia="zh-CN"/>
                    </w:rPr>
                    <w:t>、《恶臭污染物排放标准》(GB14554-93)、《锅炉大气污染物排放标准》(GB13271-2014)、《挥发性有机物无组织排放控制标准》(GB37822-2019)</w:t>
                  </w:r>
                </w:p>
              </w:tc>
            </w:tr>
            <w:tr w14:paraId="225D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D69D9E0">
                  <w:pPr>
                    <w:pStyle w:val="42"/>
                    <w:bidi w:val="0"/>
                  </w:pPr>
                </w:p>
              </w:tc>
              <w:tc>
                <w:tcPr>
                  <w:tcW w:w="0" w:type="auto"/>
                  <w:vAlign w:val="center"/>
                </w:tcPr>
                <w:p w14:paraId="6C1A0AD8">
                  <w:pPr>
                    <w:pStyle w:val="42"/>
                    <w:bidi w:val="0"/>
                  </w:pPr>
                  <w:r>
                    <w:rPr>
                      <w:rFonts w:hint="eastAsia"/>
                      <w:lang w:val="en-US" w:eastAsia="zh-CN"/>
                    </w:rPr>
                    <w:t>DA002（投料、破碎、缓存、油渣分离废气）</w:t>
                  </w:r>
                </w:p>
              </w:tc>
              <w:tc>
                <w:tcPr>
                  <w:tcW w:w="0" w:type="auto"/>
                  <w:vAlign w:val="center"/>
                </w:tcPr>
                <w:p w14:paraId="361DCD2D">
                  <w:pPr>
                    <w:pStyle w:val="42"/>
                    <w:bidi w:val="0"/>
                  </w:pPr>
                  <w:r>
                    <w:rPr>
                      <w:rFonts w:hint="eastAsia"/>
                      <w:lang w:val="en-US" w:eastAsia="zh-CN"/>
                    </w:rPr>
                    <w:t>非甲烷总烃、氨、硫化氢、臭气浓度</w:t>
                  </w:r>
                </w:p>
              </w:tc>
              <w:tc>
                <w:tcPr>
                  <w:tcW w:w="0" w:type="auto"/>
                  <w:vAlign w:val="center"/>
                </w:tcPr>
                <w:p w14:paraId="6855730D">
                  <w:pPr>
                    <w:pStyle w:val="42"/>
                    <w:bidi w:val="0"/>
                  </w:pPr>
                  <w:r>
                    <w:rPr>
                      <w:rFonts w:hint="default"/>
                      <w:lang w:val="en-US" w:eastAsia="zh-CN"/>
                    </w:rPr>
                    <w:t>1</w:t>
                  </w:r>
                  <w:r>
                    <w:rPr>
                      <w:rFonts w:hint="eastAsia"/>
                      <w:lang w:val="en-US" w:eastAsia="zh-CN"/>
                    </w:rPr>
                    <w:t>次</w:t>
                  </w:r>
                  <w:r>
                    <w:rPr>
                      <w:rFonts w:hint="default"/>
                      <w:lang w:val="en-US" w:eastAsia="zh-CN"/>
                    </w:rPr>
                    <w:t>/</w:t>
                  </w:r>
                  <w:r>
                    <w:rPr>
                      <w:rFonts w:hint="eastAsia"/>
                      <w:lang w:val="en-US" w:eastAsia="zh-CN"/>
                    </w:rPr>
                    <w:t>半年</w:t>
                  </w:r>
                </w:p>
              </w:tc>
              <w:tc>
                <w:tcPr>
                  <w:tcW w:w="0" w:type="auto"/>
                  <w:vMerge w:val="continue"/>
                  <w:vAlign w:val="center"/>
                </w:tcPr>
                <w:p w14:paraId="1896425D">
                  <w:pPr>
                    <w:pStyle w:val="42"/>
                    <w:bidi w:val="0"/>
                    <w:rPr>
                      <w:rFonts w:hint="eastAsia"/>
                      <w:lang w:eastAsia="zh-CN"/>
                    </w:rPr>
                  </w:pPr>
                </w:p>
              </w:tc>
            </w:tr>
            <w:tr w14:paraId="0CA3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55AF1BD7">
                  <w:pPr>
                    <w:pStyle w:val="42"/>
                    <w:bidi w:val="0"/>
                    <w:rPr>
                      <w:rFonts w:hint="eastAsia"/>
                    </w:rPr>
                  </w:pPr>
                  <w:r>
                    <w:rPr>
                      <w:rFonts w:hint="eastAsia"/>
                    </w:rPr>
                    <w:t>无</w:t>
                  </w:r>
                  <w:r>
                    <w:t>组织废气</w:t>
                  </w:r>
                </w:p>
              </w:tc>
              <w:tc>
                <w:tcPr>
                  <w:tcW w:w="0" w:type="auto"/>
                  <w:vAlign w:val="center"/>
                </w:tcPr>
                <w:p w14:paraId="62B2AB0B">
                  <w:pPr>
                    <w:pStyle w:val="42"/>
                    <w:bidi w:val="0"/>
                    <w:rPr>
                      <w:rFonts w:hint="eastAsia"/>
                    </w:rPr>
                  </w:pPr>
                  <w:r>
                    <w:rPr>
                      <w:rFonts w:hint="eastAsia"/>
                      <w:lang w:val="en-US" w:eastAsia="zh-CN"/>
                    </w:rPr>
                    <w:t>厂界（厂界上风向和下风向）</w:t>
                  </w:r>
                </w:p>
              </w:tc>
              <w:tc>
                <w:tcPr>
                  <w:tcW w:w="0" w:type="auto"/>
                  <w:vAlign w:val="center"/>
                </w:tcPr>
                <w:p w14:paraId="6B52B4D9">
                  <w:pPr>
                    <w:pStyle w:val="42"/>
                    <w:bidi w:val="0"/>
                    <w:rPr>
                      <w:rFonts w:hint="eastAsia"/>
                    </w:rPr>
                  </w:pPr>
                  <w:r>
                    <w:rPr>
                      <w:rFonts w:hint="eastAsia"/>
                      <w:lang w:val="en-US" w:eastAsia="zh-CN"/>
                    </w:rPr>
                    <w:t>颗粒物、非甲烷总烃、氨、硫化氢、臭气浓度</w:t>
                  </w:r>
                </w:p>
              </w:tc>
              <w:tc>
                <w:tcPr>
                  <w:tcW w:w="0" w:type="auto"/>
                  <w:vAlign w:val="center"/>
                </w:tcPr>
                <w:p w14:paraId="5B1AC84C">
                  <w:pPr>
                    <w:pStyle w:val="42"/>
                    <w:bidi w:val="0"/>
                    <w:rPr>
                      <w:rFonts w:hint="eastAsia"/>
                    </w:rPr>
                  </w:pPr>
                  <w:r>
                    <w:rPr>
                      <w:rFonts w:hint="default"/>
                      <w:lang w:val="en-US" w:eastAsia="zh-CN"/>
                    </w:rPr>
                    <w:t>1</w:t>
                  </w:r>
                  <w:r>
                    <w:rPr>
                      <w:rFonts w:hint="eastAsia"/>
                      <w:lang w:val="en-US" w:eastAsia="zh-CN"/>
                    </w:rPr>
                    <w:t>次</w:t>
                  </w:r>
                  <w:r>
                    <w:rPr>
                      <w:rFonts w:hint="default"/>
                      <w:lang w:val="en-US" w:eastAsia="zh-CN"/>
                    </w:rPr>
                    <w:t>/</w:t>
                  </w:r>
                  <w:r>
                    <w:rPr>
                      <w:rFonts w:hint="eastAsia"/>
                      <w:lang w:val="en-US" w:eastAsia="zh-CN"/>
                    </w:rPr>
                    <w:t>半年</w:t>
                  </w:r>
                </w:p>
              </w:tc>
              <w:tc>
                <w:tcPr>
                  <w:tcW w:w="0" w:type="auto"/>
                  <w:vMerge w:val="continue"/>
                  <w:vAlign w:val="center"/>
                </w:tcPr>
                <w:p w14:paraId="36832BDB">
                  <w:pPr>
                    <w:pStyle w:val="42"/>
                    <w:bidi w:val="0"/>
                  </w:pPr>
                </w:p>
              </w:tc>
            </w:tr>
            <w:tr w14:paraId="1C46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vAlign w:val="center"/>
                </w:tcPr>
                <w:p w14:paraId="1194D599">
                  <w:pPr>
                    <w:pStyle w:val="42"/>
                    <w:bidi w:val="0"/>
                    <w:rPr>
                      <w:rFonts w:hint="eastAsia"/>
                    </w:rPr>
                  </w:pPr>
                </w:p>
              </w:tc>
              <w:tc>
                <w:tcPr>
                  <w:tcW w:w="0" w:type="auto"/>
                  <w:vAlign w:val="center"/>
                </w:tcPr>
                <w:p w14:paraId="268C479D">
                  <w:pPr>
                    <w:pStyle w:val="42"/>
                    <w:bidi w:val="0"/>
                    <w:rPr>
                      <w:rFonts w:hint="eastAsia"/>
                    </w:rPr>
                  </w:pPr>
                  <w:r>
                    <w:rPr>
                      <w:rFonts w:hint="eastAsia"/>
                      <w:lang w:val="en-US" w:eastAsia="zh-CN"/>
                    </w:rPr>
                    <w:t>厂区内（厂房外）</w:t>
                  </w:r>
                </w:p>
              </w:tc>
              <w:tc>
                <w:tcPr>
                  <w:tcW w:w="0" w:type="auto"/>
                  <w:vAlign w:val="center"/>
                </w:tcPr>
                <w:p w14:paraId="520EB359">
                  <w:pPr>
                    <w:pStyle w:val="42"/>
                    <w:bidi w:val="0"/>
                    <w:rPr>
                      <w:rFonts w:hint="eastAsia"/>
                    </w:rPr>
                  </w:pPr>
                  <w:r>
                    <w:rPr>
                      <w:rFonts w:hint="eastAsia"/>
                      <w:lang w:val="en-US" w:eastAsia="zh-CN"/>
                    </w:rPr>
                    <w:t>非甲烷总烃</w:t>
                  </w:r>
                </w:p>
              </w:tc>
              <w:tc>
                <w:tcPr>
                  <w:tcW w:w="0" w:type="auto"/>
                  <w:vAlign w:val="center"/>
                </w:tcPr>
                <w:p w14:paraId="230610DE">
                  <w:pPr>
                    <w:pStyle w:val="42"/>
                    <w:bidi w:val="0"/>
                    <w:rPr>
                      <w:rFonts w:hint="eastAsia"/>
                    </w:rPr>
                  </w:pPr>
                  <w:r>
                    <w:rPr>
                      <w:rFonts w:hint="default"/>
                      <w:lang w:val="en-US" w:eastAsia="zh-CN"/>
                    </w:rPr>
                    <w:t>1</w:t>
                  </w:r>
                  <w:r>
                    <w:rPr>
                      <w:rFonts w:hint="eastAsia"/>
                      <w:lang w:val="en-US" w:eastAsia="zh-CN"/>
                    </w:rPr>
                    <w:t>次</w:t>
                  </w:r>
                  <w:r>
                    <w:rPr>
                      <w:rFonts w:hint="default"/>
                      <w:lang w:val="en-US" w:eastAsia="zh-CN"/>
                    </w:rPr>
                    <w:t>/</w:t>
                  </w:r>
                  <w:r>
                    <w:rPr>
                      <w:rFonts w:hint="eastAsia"/>
                      <w:lang w:val="en-US" w:eastAsia="zh-CN"/>
                    </w:rPr>
                    <w:t>半年</w:t>
                  </w:r>
                </w:p>
              </w:tc>
              <w:tc>
                <w:tcPr>
                  <w:tcW w:w="0" w:type="auto"/>
                  <w:vMerge w:val="continue"/>
                  <w:vAlign w:val="center"/>
                </w:tcPr>
                <w:p w14:paraId="4E0CBE0F">
                  <w:pPr>
                    <w:pStyle w:val="42"/>
                    <w:bidi w:val="0"/>
                  </w:pPr>
                </w:p>
              </w:tc>
            </w:tr>
          </w:tbl>
          <w:p w14:paraId="5A613460">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4.6、</w:t>
            </w:r>
            <w:r>
              <w:rPr>
                <w:rFonts w:hint="eastAsia"/>
              </w:rPr>
              <w:t>运营期地表水环境保护措施</w:t>
            </w:r>
          </w:p>
          <w:p w14:paraId="5E233F5C">
            <w:pPr>
              <w:ind w:firstLine="480"/>
            </w:pPr>
            <w:r>
              <w:rPr>
                <w:rFonts w:hint="eastAsia"/>
              </w:rPr>
              <w:t>根据前文水平衡分析，本项目运营期废水主要有</w:t>
            </w:r>
            <w:r>
              <w:rPr>
                <w:rFonts w:hint="eastAsia"/>
                <w:lang w:eastAsia="zh-CN"/>
              </w:rPr>
              <w:t>车辆</w:t>
            </w:r>
            <w:r>
              <w:rPr>
                <w:rFonts w:hint="eastAsia"/>
              </w:rPr>
              <w:t>冲洗废水、车</w:t>
            </w:r>
            <w:r>
              <w:rPr>
                <w:rFonts w:hint="eastAsia"/>
                <w:lang w:eastAsia="zh-CN"/>
              </w:rPr>
              <w:t>间</w:t>
            </w:r>
            <w:r>
              <w:rPr>
                <w:rFonts w:hint="eastAsia"/>
              </w:rPr>
              <w:t>冲洗废水</w:t>
            </w:r>
            <w:r>
              <w:rPr>
                <w:rFonts w:hint="eastAsia"/>
                <w:lang w:eastAsia="zh-CN"/>
              </w:rPr>
              <w:t>、冷却循环用水</w:t>
            </w:r>
            <w:r>
              <w:rPr>
                <w:rFonts w:hint="eastAsia"/>
              </w:rPr>
              <w:t>、</w:t>
            </w:r>
            <w:r>
              <w:rPr>
                <w:rFonts w:hint="eastAsia"/>
                <w:lang w:eastAsia="zh-CN"/>
              </w:rPr>
              <w:t>化制冷凝水、喷淋废水、锅炉用水、绿化用水、道路喷洒用水、</w:t>
            </w:r>
            <w:r>
              <w:rPr>
                <w:rFonts w:hint="eastAsia"/>
              </w:rPr>
              <w:t>生活污水及初期雨水。</w:t>
            </w:r>
          </w:p>
          <w:p w14:paraId="7F5D2D24">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4.6.1、</w:t>
            </w:r>
            <w:r>
              <w:rPr>
                <w:rFonts w:hint="eastAsia"/>
                <w:lang w:eastAsia="zh-CN"/>
              </w:rPr>
              <w:t>生产用水</w:t>
            </w:r>
          </w:p>
          <w:p w14:paraId="44E63992">
            <w:pPr>
              <w:pStyle w:val="6"/>
              <w:numPr>
                <w:ilvl w:val="3"/>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4.6.1.1、</w:t>
            </w:r>
            <w:r>
              <w:rPr>
                <w:rFonts w:hint="eastAsia"/>
                <w:lang w:eastAsia="zh-CN"/>
              </w:rPr>
              <w:t>车辆清洗废水</w:t>
            </w:r>
          </w:p>
          <w:p w14:paraId="451F44C0">
            <w:pPr>
              <w:rPr>
                <w:rFonts w:hint="eastAsia"/>
              </w:rPr>
            </w:pPr>
            <w:r>
              <w:rPr>
                <w:rFonts w:hint="eastAsia"/>
              </w:rPr>
              <w:t>运输车运输完毕后需要进行清洗消毒，企业使用自来水清洗，添加消毒剂。项目年处理动物尸体</w:t>
            </w:r>
            <w:r>
              <w:rPr>
                <w:rFonts w:hint="eastAsia"/>
                <w:lang w:val="en-US" w:eastAsia="zh-CN"/>
              </w:rPr>
              <w:t>7300</w:t>
            </w:r>
            <w:r>
              <w:rPr>
                <w:rFonts w:hint="eastAsia"/>
              </w:rPr>
              <w:t>吨，使用8辆运输车，每天运输</w:t>
            </w:r>
            <w:r>
              <w:rPr>
                <w:rFonts w:hint="eastAsia"/>
                <w:lang w:val="en-US" w:eastAsia="zh-CN"/>
              </w:rPr>
              <w:t>2</w:t>
            </w:r>
            <w:r>
              <w:rPr>
                <w:rFonts w:hint="eastAsia"/>
              </w:rPr>
              <w:t>次，每车平均运输量约</w:t>
            </w:r>
            <w:r>
              <w:rPr>
                <w:rFonts w:hint="eastAsia"/>
                <w:lang w:val="en-US" w:eastAsia="zh-CN"/>
              </w:rPr>
              <w:t>1</w:t>
            </w:r>
            <w:r>
              <w:rPr>
                <w:rFonts w:hint="eastAsia"/>
              </w:rPr>
              <w:t>.5吨，每年约</w:t>
            </w:r>
            <w:r>
              <w:rPr>
                <w:rFonts w:hint="eastAsia"/>
                <w:lang w:val="en-US" w:eastAsia="zh-CN"/>
              </w:rPr>
              <w:t>4800</w:t>
            </w:r>
            <w:r>
              <w:rPr>
                <w:rFonts w:hint="eastAsia"/>
              </w:rPr>
              <w:t>车次。参考《建筑给水排水设计标准》（G</w:t>
            </w:r>
            <w:r>
              <w:t>B50015-2019</w:t>
            </w:r>
            <w:r>
              <w:rPr>
                <w:rFonts w:hint="eastAsia"/>
              </w:rPr>
              <w:t>），大型车辆采用高压水枪冲洗，每次清洗用水量按80L/辆·次计，则清洗用水量为</w:t>
            </w:r>
            <w:r>
              <w:rPr>
                <w:rFonts w:hint="eastAsia"/>
                <w:lang w:val="en-US" w:eastAsia="zh-CN"/>
              </w:rPr>
              <w:t>1.28</w:t>
            </w:r>
            <w:r>
              <w:rPr>
                <w:rFonts w:hint="eastAsia"/>
              </w:rPr>
              <w:t>m</w:t>
            </w:r>
            <w:r>
              <w:rPr>
                <w:rFonts w:hint="eastAsia"/>
                <w:vertAlign w:val="superscript"/>
              </w:rPr>
              <w:t>3</w:t>
            </w:r>
            <w:r>
              <w:rPr>
                <w:rFonts w:hint="eastAsia"/>
              </w:rPr>
              <w:t>/d、</w:t>
            </w:r>
            <w:r>
              <w:rPr>
                <w:rFonts w:hint="eastAsia"/>
                <w:lang w:val="en-US" w:eastAsia="zh-CN"/>
              </w:rPr>
              <w:t>384</w:t>
            </w:r>
            <w:r>
              <w:rPr>
                <w:rFonts w:hint="eastAsia"/>
              </w:rPr>
              <w:t>m</w:t>
            </w:r>
            <w:r>
              <w:rPr>
                <w:rFonts w:hint="eastAsia"/>
                <w:vertAlign w:val="superscript"/>
              </w:rPr>
              <w:t>3</w:t>
            </w:r>
            <w:r>
              <w:rPr>
                <w:rFonts w:hint="eastAsia"/>
              </w:rPr>
              <w:t>/a。排污系数取0.85，则运输车辆清洗废水</w:t>
            </w:r>
            <w:r>
              <w:rPr>
                <w:rFonts w:hint="eastAsia"/>
                <w:lang w:eastAsia="zh-CN"/>
              </w:rPr>
              <w:t>产生</w:t>
            </w:r>
            <w:r>
              <w:rPr>
                <w:rFonts w:hint="eastAsia"/>
              </w:rPr>
              <w:t>量为</w:t>
            </w:r>
            <w:r>
              <w:rPr>
                <w:rFonts w:hint="eastAsia"/>
                <w:lang w:val="en-US" w:eastAsia="zh-CN"/>
              </w:rPr>
              <w:t>1.088</w:t>
            </w:r>
            <w:r>
              <w:rPr>
                <w:rFonts w:hint="eastAsia"/>
              </w:rPr>
              <w:t>m</w:t>
            </w:r>
            <w:r>
              <w:rPr>
                <w:rFonts w:hint="eastAsia"/>
                <w:vertAlign w:val="superscript"/>
              </w:rPr>
              <w:t>3</w:t>
            </w:r>
            <w:r>
              <w:rPr>
                <w:rFonts w:hint="eastAsia"/>
              </w:rPr>
              <w:t>/d，</w:t>
            </w:r>
            <w:r>
              <w:rPr>
                <w:rFonts w:hint="eastAsia"/>
                <w:lang w:val="en-US" w:eastAsia="zh-CN"/>
              </w:rPr>
              <w:t>326.4</w:t>
            </w:r>
            <w:r>
              <w:rPr>
                <w:rFonts w:hint="eastAsia"/>
              </w:rPr>
              <w:t>m</w:t>
            </w:r>
            <w:r>
              <w:rPr>
                <w:rFonts w:hint="eastAsia"/>
                <w:vertAlign w:val="superscript"/>
              </w:rPr>
              <w:t>3</w:t>
            </w:r>
            <w:r>
              <w:rPr>
                <w:rFonts w:hint="eastAsia"/>
              </w:rPr>
              <w:t>/a。</w:t>
            </w:r>
          </w:p>
          <w:p w14:paraId="2F10CBF6">
            <w:pPr>
              <w:pStyle w:val="6"/>
              <w:numPr>
                <w:ilvl w:val="3"/>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4.6.1.2、</w:t>
            </w:r>
            <w:r>
              <w:rPr>
                <w:rFonts w:hint="eastAsia"/>
                <w:lang w:eastAsia="zh-CN"/>
              </w:rPr>
              <w:t>车间冲洗废水</w:t>
            </w:r>
          </w:p>
          <w:p w14:paraId="007344F0">
            <w:pPr>
              <w:rPr>
                <w:rFonts w:hint="eastAsia"/>
              </w:rPr>
            </w:pPr>
            <w:r>
              <w:rPr>
                <w:rFonts w:hint="eastAsia"/>
              </w:rPr>
              <w:t>项目无害化车间内主要清洗区为装卸区地面及部分墙壁，清洗面积约为1000m</w:t>
            </w:r>
            <w:r>
              <w:rPr>
                <w:rFonts w:hint="eastAsia"/>
                <w:vertAlign w:val="superscript"/>
                <w:lang w:val="en-US" w:eastAsia="zh-CN"/>
              </w:rPr>
              <w:t>2</w:t>
            </w:r>
            <w:r>
              <w:rPr>
                <w:rFonts w:hint="eastAsia"/>
              </w:rPr>
              <w:t>。平均每2天冲洗1次，冲洗水系数按2L/m</w:t>
            </w:r>
            <w:r>
              <w:rPr>
                <w:rFonts w:hint="eastAsia"/>
                <w:vertAlign w:val="superscript"/>
                <w:lang w:val="en-US" w:eastAsia="zh-CN"/>
              </w:rPr>
              <w:t>2</w:t>
            </w:r>
            <w:r>
              <w:rPr>
                <w:rFonts w:hint="eastAsia"/>
              </w:rPr>
              <w:t>计，车间地面冲洗用水量为1m</w:t>
            </w:r>
            <w:r>
              <w:rPr>
                <w:rFonts w:hint="eastAsia"/>
                <w:vertAlign w:val="superscript"/>
              </w:rPr>
              <w:t>3</w:t>
            </w:r>
            <w:r>
              <w:rPr>
                <w:rFonts w:hint="eastAsia"/>
              </w:rPr>
              <w:t>/d、300m</w:t>
            </w:r>
            <w:r>
              <w:rPr>
                <w:rFonts w:hint="eastAsia"/>
                <w:vertAlign w:val="superscript"/>
                <w:lang w:val="en-US" w:eastAsia="zh-CN"/>
              </w:rPr>
              <w:t>3</w:t>
            </w:r>
            <w:r>
              <w:rPr>
                <w:rFonts w:hint="eastAsia"/>
              </w:rPr>
              <w:t>/a，排污系数取0.9，则建设项目清洗废水产生量约为0.9m</w:t>
            </w:r>
            <w:r>
              <w:rPr>
                <w:rFonts w:hint="eastAsia"/>
                <w:vertAlign w:val="superscript"/>
                <w:lang w:val="en-US" w:eastAsia="zh-CN"/>
              </w:rPr>
              <w:t>3</w:t>
            </w:r>
            <w:r>
              <w:rPr>
                <w:rFonts w:hint="eastAsia"/>
              </w:rPr>
              <w:t>/d、270m</w:t>
            </w:r>
            <w:r>
              <w:rPr>
                <w:rFonts w:hint="eastAsia"/>
                <w:vertAlign w:val="superscript"/>
                <w:lang w:val="en-US" w:eastAsia="zh-CN"/>
              </w:rPr>
              <w:t>3</w:t>
            </w:r>
            <w:r>
              <w:rPr>
                <w:rFonts w:hint="eastAsia"/>
              </w:rPr>
              <w:t>/a。</w:t>
            </w:r>
          </w:p>
          <w:p w14:paraId="7D5F0E33">
            <w:pPr>
              <w:pStyle w:val="6"/>
              <w:numPr>
                <w:ilvl w:val="3"/>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4.6.1.3、</w:t>
            </w:r>
            <w:r>
              <w:rPr>
                <w:rFonts w:hint="eastAsia"/>
                <w:lang w:eastAsia="zh-CN"/>
              </w:rPr>
              <w:t>冷却循环用水</w:t>
            </w:r>
          </w:p>
          <w:p w14:paraId="2CD9F124">
            <w:pPr>
              <w:rPr>
                <w:rFonts w:hint="eastAsia"/>
              </w:rPr>
            </w:pPr>
            <w:r>
              <w:rPr>
                <w:rFonts w:hint="eastAsia"/>
              </w:rPr>
              <w:t>本项目冷凝器循环水量为80m</w:t>
            </w:r>
            <w:r>
              <w:rPr>
                <w:rFonts w:hint="eastAsia"/>
                <w:vertAlign w:val="superscript"/>
              </w:rPr>
              <w:t>3</w:t>
            </w:r>
            <w:r>
              <w:rPr>
                <w:rFonts w:hint="eastAsia"/>
              </w:rPr>
              <w:t>/d，循环使用，需定期补充，损失比例按5%计，补充水量为4m</w:t>
            </w:r>
            <w:r>
              <w:rPr>
                <w:rFonts w:hint="eastAsia"/>
                <w:vertAlign w:val="superscript"/>
              </w:rPr>
              <w:t>3</w:t>
            </w:r>
            <w:r>
              <w:rPr>
                <w:rFonts w:hint="eastAsia"/>
              </w:rPr>
              <w:t>/d，则用水量为1200m</w:t>
            </w:r>
            <w:r>
              <w:rPr>
                <w:rFonts w:hint="eastAsia"/>
                <w:vertAlign w:val="superscript"/>
              </w:rPr>
              <w:t>3</w:t>
            </w:r>
            <w:r>
              <w:rPr>
                <w:rFonts w:hint="eastAsia"/>
              </w:rPr>
              <w:t>/</w:t>
            </w:r>
            <w:r>
              <w:rPr>
                <w:rFonts w:hint="eastAsia"/>
                <w:lang w:val="en-US" w:eastAsia="zh-CN"/>
              </w:rPr>
              <w:t>a</w:t>
            </w:r>
            <w:r>
              <w:rPr>
                <w:rFonts w:hint="eastAsia"/>
              </w:rPr>
              <w:t>。</w:t>
            </w:r>
          </w:p>
          <w:p w14:paraId="31CEDEAC">
            <w:pPr>
              <w:pStyle w:val="6"/>
              <w:numPr>
                <w:ilvl w:val="3"/>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4.6.1.4、</w:t>
            </w:r>
            <w:r>
              <w:rPr>
                <w:rFonts w:hint="eastAsia"/>
                <w:lang w:eastAsia="zh-CN"/>
              </w:rPr>
              <w:t>化制冷凝水</w:t>
            </w:r>
          </w:p>
          <w:p w14:paraId="4B7EECD0">
            <w:pPr>
              <w:rPr>
                <w:rFonts w:hint="eastAsia" w:eastAsia="宋体"/>
                <w:lang w:eastAsia="zh-CN"/>
              </w:rPr>
            </w:pPr>
            <w:r>
              <w:rPr>
                <w:rFonts w:hint="eastAsia"/>
              </w:rPr>
              <w:t>项目化制工段污蒸汽</w:t>
            </w:r>
            <w:r>
              <w:rPr>
                <w:rFonts w:hint="eastAsia"/>
                <w:lang w:eastAsia="zh-CN"/>
              </w:rPr>
              <w:t>为病死禽畜自身含水</w:t>
            </w:r>
            <w:r>
              <w:rPr>
                <w:rFonts w:hint="eastAsia" w:ascii="Times New Roman" w:hAnsi="Times New Roman" w:cs="Times New Roman"/>
                <w:kern w:val="2"/>
                <w:sz w:val="24"/>
                <w:szCs w:val="24"/>
                <w:lang w:val="en-US" w:bidi="ar-SA"/>
              </w:rPr>
              <w:t>在化制过程中转化为水蒸气形式</w:t>
            </w:r>
            <w:r>
              <w:rPr>
                <w:rFonts w:hint="eastAsia" w:ascii="Times New Roman" w:hAnsi="Times New Roman" w:cs="Times New Roman"/>
                <w:kern w:val="2"/>
                <w:sz w:val="24"/>
                <w:szCs w:val="24"/>
                <w:lang w:val="en-US" w:eastAsia="zh-CN" w:bidi="ar-SA"/>
              </w:rPr>
              <w:t>，</w:t>
            </w:r>
            <w:r>
              <w:rPr>
                <w:rFonts w:hint="eastAsia"/>
              </w:rPr>
              <w:t>产生量</w:t>
            </w:r>
            <w:r>
              <w:rPr>
                <w:rFonts w:hint="eastAsia"/>
                <w:lang w:eastAsia="zh-CN"/>
              </w:rPr>
              <w:t>约</w:t>
            </w:r>
            <w:r>
              <w:rPr>
                <w:rFonts w:hint="eastAsia"/>
              </w:rPr>
              <w:t>为</w:t>
            </w:r>
            <w:r>
              <w:rPr>
                <w:rFonts w:hint="eastAsia"/>
                <w:lang w:val="en-US" w:eastAsia="zh-CN"/>
              </w:rPr>
              <w:t>6048.052</w:t>
            </w:r>
            <w:r>
              <w:rPr>
                <w:rFonts w:hint="eastAsia"/>
              </w:rPr>
              <w:t>t/a</w:t>
            </w:r>
            <w:r>
              <w:rPr>
                <w:rFonts w:hint="eastAsia"/>
                <w:lang w:val="en-US" w:eastAsia="zh-CN"/>
              </w:rPr>
              <w:t>，938.12</w:t>
            </w:r>
            <w:r>
              <w:rPr>
                <w:rFonts w:hint="eastAsia"/>
              </w:rPr>
              <w:t>t/a</w:t>
            </w:r>
            <w:r>
              <w:rPr>
                <w:rFonts w:hint="eastAsia"/>
                <w:lang w:eastAsia="zh-CN"/>
              </w:rPr>
              <w:t>进入产品中，剩余的</w:t>
            </w:r>
            <w:r>
              <w:rPr>
                <w:rFonts w:hint="eastAsia"/>
                <w:lang w:val="en-US" w:eastAsia="zh-CN"/>
              </w:rPr>
              <w:t>5109.932</w:t>
            </w:r>
            <w:r>
              <w:rPr>
                <w:rFonts w:hint="eastAsia"/>
              </w:rPr>
              <w:t>t/a中99%以化制冷凝水形式进入地埋式暂存罐，依次泵入收集池和黑膜厌氧池进行发酵。1%以不凝气的形式排放，经收集后进入废气处理系统。因此，项目化制冷凝水产生量约</w:t>
            </w:r>
            <w:r>
              <w:rPr>
                <w:rFonts w:hint="eastAsia"/>
                <w:lang w:val="en-US" w:eastAsia="zh-CN"/>
              </w:rPr>
              <w:t>5058.83</w:t>
            </w:r>
            <w:r>
              <w:rPr>
                <w:rFonts w:hint="eastAsia"/>
              </w:rPr>
              <w:t>t/a，</w:t>
            </w:r>
            <w:r>
              <w:rPr>
                <w:rFonts w:hint="eastAsia"/>
                <w:lang w:val="en-US" w:eastAsia="zh-CN"/>
              </w:rPr>
              <w:t>16.86</w:t>
            </w:r>
            <w:r>
              <w:rPr>
                <w:rFonts w:hint="eastAsia"/>
              </w:rPr>
              <w:t>t/d</w:t>
            </w:r>
            <w:r>
              <w:rPr>
                <w:rFonts w:hint="eastAsia"/>
                <w:lang w:eastAsia="zh-CN"/>
              </w:rPr>
              <w:t>。</w:t>
            </w:r>
          </w:p>
          <w:p w14:paraId="58071209">
            <w:pPr>
              <w:pStyle w:val="6"/>
              <w:numPr>
                <w:ilvl w:val="3"/>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4.6.1.5、</w:t>
            </w:r>
            <w:r>
              <w:rPr>
                <w:rFonts w:hint="eastAsia"/>
                <w:lang w:eastAsia="zh-CN"/>
              </w:rPr>
              <w:t>喷淋废水</w:t>
            </w:r>
          </w:p>
          <w:p w14:paraId="0889B03D">
            <w:pPr>
              <w:rPr>
                <w:rFonts w:hint="eastAsia"/>
              </w:rPr>
            </w:pPr>
            <w:r>
              <w:rPr>
                <w:rFonts w:hint="eastAsia"/>
              </w:rPr>
              <w:t>除臭箱和除臭塔阶段均会产生喷淋</w:t>
            </w:r>
            <w:r>
              <w:rPr>
                <w:rFonts w:hint="eastAsia"/>
                <w:lang w:eastAsia="zh-CN"/>
              </w:rPr>
              <w:t>用</w:t>
            </w:r>
            <w:r>
              <w:rPr>
                <w:rFonts w:hint="eastAsia"/>
              </w:rPr>
              <w:t>水。由现有工程提供喷淋用水，总循环水量约为10m</w:t>
            </w:r>
            <w:r>
              <w:rPr>
                <w:rFonts w:hint="eastAsia"/>
                <w:vertAlign w:val="superscript"/>
              </w:rPr>
              <w:t>3</w:t>
            </w:r>
            <w:r>
              <w:rPr>
                <w:rFonts w:hint="eastAsia"/>
              </w:rPr>
              <w:t>/d，蒸发损耗</w:t>
            </w:r>
            <w:r>
              <w:rPr>
                <w:rFonts w:hint="eastAsia"/>
                <w:lang w:val="en-US" w:eastAsia="zh-CN"/>
              </w:rPr>
              <w:t>1</w:t>
            </w:r>
            <w:r>
              <w:rPr>
                <w:rFonts w:hint="eastAsia"/>
              </w:rPr>
              <w:t>.5m</w:t>
            </w:r>
            <w:r>
              <w:rPr>
                <w:rFonts w:hint="eastAsia"/>
                <w:vertAlign w:val="superscript"/>
              </w:rPr>
              <w:t>3</w:t>
            </w:r>
            <w:r>
              <w:rPr>
                <w:rFonts w:hint="eastAsia"/>
              </w:rPr>
              <w:t>/d</w:t>
            </w:r>
            <w:r>
              <w:rPr>
                <w:rFonts w:hint="eastAsia"/>
                <w:lang w:eastAsia="zh-CN"/>
              </w:rPr>
              <w:t>，不排放</w:t>
            </w:r>
            <w:r>
              <w:rPr>
                <w:rFonts w:hint="eastAsia"/>
              </w:rPr>
              <w:t>。则项目需定期补充水量1.5m</w:t>
            </w:r>
            <w:r>
              <w:rPr>
                <w:rFonts w:hint="eastAsia"/>
                <w:vertAlign w:val="superscript"/>
              </w:rPr>
              <w:t>3</w:t>
            </w:r>
            <w:r>
              <w:rPr>
                <w:rFonts w:hint="eastAsia"/>
              </w:rPr>
              <w:t>/d，</w:t>
            </w:r>
            <w:r>
              <w:rPr>
                <w:rFonts w:hint="eastAsia"/>
                <w:lang w:eastAsia="zh-CN"/>
              </w:rPr>
              <w:t>则补水（损耗）</w:t>
            </w:r>
            <w:r>
              <w:rPr>
                <w:rFonts w:hint="eastAsia"/>
                <w:lang w:val="en-US" w:eastAsia="zh-CN"/>
              </w:rPr>
              <w:t>45</w:t>
            </w:r>
            <w:r>
              <w:rPr>
                <w:rFonts w:hint="eastAsia"/>
              </w:rPr>
              <w:t>0m</w:t>
            </w:r>
            <w:r>
              <w:rPr>
                <w:rFonts w:hint="eastAsia"/>
                <w:vertAlign w:val="superscript"/>
                <w:lang w:val="en-US" w:eastAsia="zh-CN"/>
              </w:rPr>
              <w:t>3</w:t>
            </w:r>
            <w:r>
              <w:rPr>
                <w:rFonts w:hint="eastAsia"/>
              </w:rPr>
              <w:t>/a。</w:t>
            </w:r>
          </w:p>
          <w:p w14:paraId="133AAFA4">
            <w:pPr>
              <w:pStyle w:val="6"/>
              <w:numPr>
                <w:ilvl w:val="3"/>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4.6.1.6、</w:t>
            </w:r>
            <w:r>
              <w:rPr>
                <w:rFonts w:hint="eastAsia"/>
                <w:lang w:eastAsia="zh-CN"/>
              </w:rPr>
              <w:t>锅炉用水</w:t>
            </w:r>
          </w:p>
          <w:p w14:paraId="5D1C153B">
            <w:pPr>
              <w:rPr>
                <w:rFonts w:hint="eastAsia" w:eastAsia="宋体"/>
                <w:lang w:val="en-US" w:eastAsia="zh-CN"/>
              </w:rPr>
            </w:pPr>
            <w:r>
              <w:rPr>
                <w:rFonts w:hint="eastAsia"/>
              </w:rPr>
              <w:t>本项目</w:t>
            </w:r>
            <w:r>
              <w:rPr>
                <w:rFonts w:hint="eastAsia"/>
                <w:lang w:eastAsia="zh-CN"/>
              </w:rPr>
              <w:t>拟</w:t>
            </w:r>
            <w:r>
              <w:rPr>
                <w:rFonts w:hint="eastAsia"/>
              </w:rPr>
              <w:t>设一台4t/h</w:t>
            </w:r>
            <w:r>
              <w:rPr>
                <w:rFonts w:hint="eastAsia"/>
                <w:lang w:eastAsia="zh-CN"/>
              </w:rPr>
              <w:t>生物质</w:t>
            </w:r>
            <w:r>
              <w:rPr>
                <w:rFonts w:hint="eastAsia"/>
              </w:rPr>
              <w:t>蒸汽锅炉,为生产过程供热。锅炉工作时间为</w:t>
            </w:r>
            <w:r>
              <w:rPr>
                <w:rFonts w:hint="eastAsia"/>
                <w:lang w:val="en-US" w:eastAsia="zh-CN"/>
              </w:rPr>
              <w:t>8</w:t>
            </w:r>
            <w:r>
              <w:rPr>
                <w:rFonts w:hint="eastAsia"/>
              </w:rPr>
              <w:t>h/d，年运行300d，则蒸汽用量为</w:t>
            </w:r>
            <w:r>
              <w:rPr>
                <w:rFonts w:hint="eastAsia"/>
                <w:lang w:val="en-US" w:eastAsia="zh-CN"/>
              </w:rPr>
              <w:t>32</w:t>
            </w:r>
            <w:r>
              <w:rPr>
                <w:rFonts w:hint="eastAsia"/>
              </w:rPr>
              <w:t>t/d，</w:t>
            </w:r>
            <w:r>
              <w:rPr>
                <w:rFonts w:hint="eastAsia"/>
                <w:lang w:val="en-US" w:eastAsia="zh-CN"/>
              </w:rPr>
              <w:t>9600</w:t>
            </w:r>
            <w:r>
              <w:rPr>
                <w:rFonts w:hint="eastAsia"/>
              </w:rPr>
              <w:t>t/a。锅炉配套冷凝水回收系统，蒸汽冷凝水循环使用，但由于使用过程中有一定的损失，所以需要定期补充软化水，损耗以5%计，则锅炉补充软化水</w:t>
            </w:r>
            <w:r>
              <w:rPr>
                <w:rFonts w:hint="eastAsia"/>
                <w:lang w:val="en-US" w:eastAsia="zh-CN"/>
              </w:rPr>
              <w:t>1.6</w:t>
            </w:r>
            <w:r>
              <w:rPr>
                <w:rFonts w:hint="eastAsia"/>
              </w:rPr>
              <w:t>m</w:t>
            </w:r>
            <w:r>
              <w:rPr>
                <w:rFonts w:hint="eastAsia"/>
                <w:vertAlign w:val="superscript"/>
              </w:rPr>
              <w:t>3</w:t>
            </w:r>
            <w:r>
              <w:rPr>
                <w:rFonts w:hint="eastAsia"/>
              </w:rPr>
              <w:t>/d，锅炉用水采用锅炉自带软水处理器进行水质软化处理，交换器内的离子树脂大约一周再生一次，再生方式为采用8%-10%NaCl溶液进行正洗和反洗。项目软水装置制水率为90%，</w:t>
            </w:r>
            <w:r>
              <w:rPr>
                <w:rFonts w:hint="eastAsia"/>
                <w:lang w:eastAsia="zh-CN"/>
              </w:rPr>
              <w:t>损耗为</w:t>
            </w:r>
            <w:r>
              <w:rPr>
                <w:rFonts w:hint="eastAsia"/>
                <w:lang w:val="en-US" w:eastAsia="zh-CN"/>
              </w:rPr>
              <w:t>53.3</w:t>
            </w:r>
            <w:r>
              <w:rPr>
                <w:rFonts w:hint="eastAsia"/>
              </w:rPr>
              <w:t>m</w:t>
            </w:r>
            <w:r>
              <w:rPr>
                <w:rFonts w:hint="eastAsia"/>
                <w:vertAlign w:val="superscript"/>
              </w:rPr>
              <w:t>3</w:t>
            </w:r>
            <w:r>
              <w:rPr>
                <w:rFonts w:hint="eastAsia"/>
              </w:rPr>
              <w:t>/a</w:t>
            </w:r>
            <w:r>
              <w:rPr>
                <w:rFonts w:hint="eastAsia"/>
                <w:lang w:eastAsia="zh-CN"/>
              </w:rPr>
              <w:t>，</w:t>
            </w:r>
            <w:r>
              <w:rPr>
                <w:rFonts w:hint="eastAsia"/>
              </w:rPr>
              <w:t>进入软水装置的自来水量为</w:t>
            </w:r>
            <w:r>
              <w:rPr>
                <w:rFonts w:hint="eastAsia"/>
                <w:lang w:val="en-US" w:eastAsia="zh-CN"/>
              </w:rPr>
              <w:t>1.78</w:t>
            </w:r>
            <w:r>
              <w:rPr>
                <w:rFonts w:hint="eastAsia"/>
              </w:rPr>
              <w:t>m</w:t>
            </w:r>
            <w:r>
              <w:rPr>
                <w:rFonts w:hint="eastAsia"/>
                <w:vertAlign w:val="superscript"/>
              </w:rPr>
              <w:t>3</w:t>
            </w:r>
            <w:r>
              <w:rPr>
                <w:rFonts w:hint="eastAsia"/>
              </w:rPr>
              <w:t>/d，冲洗废水按软水产出量</w:t>
            </w:r>
            <w:r>
              <w:rPr>
                <w:rFonts w:hint="eastAsia"/>
                <w:lang w:val="en-US" w:eastAsia="zh-CN"/>
              </w:rPr>
              <w:t>1.6</w:t>
            </w:r>
            <w:r>
              <w:rPr>
                <w:rFonts w:hint="eastAsia"/>
              </w:rPr>
              <w:t>m</w:t>
            </w:r>
            <w:r>
              <w:rPr>
                <w:rFonts w:hint="eastAsia"/>
                <w:vertAlign w:val="superscript"/>
              </w:rPr>
              <w:t>3</w:t>
            </w:r>
            <w:r>
              <w:rPr>
                <w:rFonts w:hint="eastAsia"/>
              </w:rPr>
              <w:t>/d(</w:t>
            </w:r>
            <w:r>
              <w:rPr>
                <w:rFonts w:hint="eastAsia"/>
                <w:lang w:val="en-US" w:eastAsia="zh-CN"/>
              </w:rPr>
              <w:t>480</w:t>
            </w:r>
            <w:r>
              <w:rPr>
                <w:rFonts w:hint="eastAsia"/>
              </w:rPr>
              <w:t>m</w:t>
            </w:r>
            <w:r>
              <w:rPr>
                <w:rFonts w:hint="eastAsia"/>
                <w:vertAlign w:val="superscript"/>
              </w:rPr>
              <w:t>3</w:t>
            </w:r>
            <w:r>
              <w:rPr>
                <w:rFonts w:hint="eastAsia"/>
              </w:rPr>
              <w:t>/a)的10%计算，废水产生量为0.</w:t>
            </w:r>
            <w:r>
              <w:rPr>
                <w:rFonts w:hint="eastAsia"/>
                <w:lang w:val="en-US" w:eastAsia="zh-CN"/>
              </w:rPr>
              <w:t>16</w:t>
            </w:r>
            <w:r>
              <w:rPr>
                <w:rFonts w:hint="eastAsia"/>
              </w:rPr>
              <w:t>m</w:t>
            </w:r>
            <w:r>
              <w:rPr>
                <w:rFonts w:hint="eastAsia"/>
                <w:vertAlign w:val="superscript"/>
              </w:rPr>
              <w:t>3</w:t>
            </w:r>
            <w:r>
              <w:rPr>
                <w:rFonts w:hint="eastAsia"/>
              </w:rPr>
              <w:t>/d(</w:t>
            </w:r>
            <w:r>
              <w:rPr>
                <w:rFonts w:hint="eastAsia"/>
                <w:lang w:val="en-US" w:eastAsia="zh-CN"/>
              </w:rPr>
              <w:t>48</w:t>
            </w:r>
            <w:r>
              <w:rPr>
                <w:rFonts w:hint="eastAsia"/>
              </w:rPr>
              <w:t>m</w:t>
            </w:r>
            <w:r>
              <w:rPr>
                <w:rFonts w:hint="eastAsia"/>
                <w:vertAlign w:val="superscript"/>
                <w:lang w:val="en-US" w:eastAsia="zh-CN"/>
              </w:rPr>
              <w:t>3</w:t>
            </w:r>
            <w:r>
              <w:rPr>
                <w:rFonts w:hint="eastAsia"/>
              </w:rPr>
              <w:t>/a)。</w:t>
            </w:r>
          </w:p>
          <w:p w14:paraId="130F74DC">
            <w:pPr>
              <w:pStyle w:val="6"/>
              <w:numPr>
                <w:ilvl w:val="3"/>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4.6.1.7、</w:t>
            </w:r>
            <w:r>
              <w:rPr>
                <w:rFonts w:hint="eastAsia"/>
                <w:lang w:eastAsia="zh-CN"/>
              </w:rPr>
              <w:t>绿化用水</w:t>
            </w:r>
          </w:p>
          <w:p w14:paraId="7690AA2F">
            <w:pPr>
              <w:rPr>
                <w:rFonts w:hint="eastAsia"/>
              </w:rPr>
            </w:pPr>
            <w:r>
              <w:rPr>
                <w:rFonts w:hint="eastAsia"/>
              </w:rPr>
              <w:t>项目绿化面积</w:t>
            </w:r>
            <w:r>
              <w:rPr>
                <w:rFonts w:hint="eastAsia"/>
                <w:lang w:eastAsia="zh-CN"/>
              </w:rPr>
              <w:t>约</w:t>
            </w:r>
            <w:r>
              <w:rPr>
                <w:rFonts w:hint="eastAsia"/>
              </w:rPr>
              <w:t>为</w:t>
            </w:r>
            <w:r>
              <w:rPr>
                <w:rFonts w:hint="eastAsia"/>
                <w:lang w:val="en-US" w:eastAsia="zh-CN"/>
              </w:rPr>
              <w:t>4300</w:t>
            </w:r>
            <w:r>
              <w:rPr>
                <w:rFonts w:hint="eastAsia"/>
              </w:rPr>
              <w:t>m²，</w:t>
            </w:r>
            <w:r>
              <w:rPr>
                <w:rFonts w:hint="eastAsia"/>
                <w:lang w:eastAsia="zh-CN"/>
              </w:rPr>
              <w:t>按</w:t>
            </w:r>
            <w:r>
              <w:rPr>
                <w:rFonts w:hint="eastAsia"/>
              </w:rPr>
              <w:t>每平方绿化绿地用水量为0.</w:t>
            </w:r>
            <w:r>
              <w:rPr>
                <w:rFonts w:hint="eastAsia"/>
                <w:lang w:val="en-US" w:eastAsia="zh-CN"/>
              </w:rPr>
              <w:t>3</w:t>
            </w:r>
            <w:r>
              <w:rPr>
                <w:rFonts w:hint="eastAsia"/>
              </w:rPr>
              <w:t>m</w:t>
            </w:r>
            <w:r>
              <w:rPr>
                <w:rFonts w:hint="eastAsia"/>
                <w:vertAlign w:val="superscript"/>
              </w:rPr>
              <w:t>3</w:t>
            </w:r>
            <w:r>
              <w:rPr>
                <w:rFonts w:hint="eastAsia"/>
              </w:rPr>
              <w:t>/(m</w:t>
            </w:r>
            <w:r>
              <w:rPr>
                <w:rFonts w:hint="eastAsia"/>
                <w:vertAlign w:val="superscript"/>
              </w:rPr>
              <w:t>2</w:t>
            </w:r>
            <w:r>
              <w:rPr>
                <w:rFonts w:hint="eastAsia"/>
                <w:lang w:val="en-US" w:eastAsia="zh-CN"/>
              </w:rPr>
              <w:t>·</w:t>
            </w:r>
            <w:r>
              <w:rPr>
                <w:rFonts w:hint="eastAsia"/>
              </w:rPr>
              <w:t>a)。则本项目绿化用水量为</w:t>
            </w:r>
            <w:r>
              <w:rPr>
                <w:rFonts w:hint="eastAsia"/>
                <w:lang w:val="en-US" w:eastAsia="zh-CN"/>
              </w:rPr>
              <w:t>1290</w:t>
            </w:r>
            <w:r>
              <w:rPr>
                <w:rFonts w:hint="eastAsia"/>
              </w:rPr>
              <w:t>m</w:t>
            </w:r>
            <w:r>
              <w:rPr>
                <w:rFonts w:hint="eastAsia"/>
                <w:vertAlign w:val="superscript"/>
              </w:rPr>
              <w:t>3</w:t>
            </w:r>
            <w:r>
              <w:rPr>
                <w:rFonts w:hint="eastAsia"/>
              </w:rPr>
              <w:t>/a，</w:t>
            </w:r>
            <w:r>
              <w:rPr>
                <w:rFonts w:hint="eastAsia"/>
                <w:lang w:val="en-US" w:eastAsia="zh-CN"/>
              </w:rPr>
              <w:t>4.3</w:t>
            </w:r>
            <w:r>
              <w:rPr>
                <w:rFonts w:hint="eastAsia"/>
              </w:rPr>
              <w:t>m</w:t>
            </w:r>
            <w:r>
              <w:rPr>
                <w:rFonts w:hint="eastAsia"/>
                <w:vertAlign w:val="superscript"/>
              </w:rPr>
              <w:t>3</w:t>
            </w:r>
            <w:r>
              <w:rPr>
                <w:rFonts w:hint="eastAsia"/>
              </w:rPr>
              <w:t>/d。</w:t>
            </w:r>
          </w:p>
          <w:p w14:paraId="4CB151A6">
            <w:pPr>
              <w:pStyle w:val="6"/>
              <w:numPr>
                <w:ilvl w:val="3"/>
                <w:numId w:val="0"/>
              </w:numPr>
              <w:bidi w:val="0"/>
              <w:ind w:left="0" w:leftChars="0" w:firstLine="0" w:firstLineChars="0"/>
            </w:pPr>
            <w:r>
              <w:rPr>
                <w:rFonts w:hint="default" w:ascii="Times New Roman" w:hAnsi="Times New Roman" w:eastAsia="宋体" w:cs="Times New Roman"/>
                <w:b/>
                <w:i w:val="0"/>
                <w:kern w:val="2"/>
                <w:sz w:val="24"/>
                <w:szCs w:val="24"/>
                <w:lang w:val="en-US" w:eastAsia="zh-CN" w:bidi="ar-SA"/>
              </w:rPr>
              <w:t>4.6.1.8、</w:t>
            </w:r>
            <w:r>
              <w:rPr>
                <w:rFonts w:hint="eastAsia"/>
                <w:lang w:eastAsia="zh-CN"/>
              </w:rPr>
              <w:t>道路喷洒用水</w:t>
            </w:r>
          </w:p>
          <w:p w14:paraId="6B7769EA">
            <w:pPr>
              <w:rPr>
                <w:rFonts w:hint="eastAsia"/>
              </w:rPr>
            </w:pPr>
            <w:r>
              <w:rPr>
                <w:rFonts w:hint="eastAsia"/>
              </w:rPr>
              <w:t>项目区道路面积约</w:t>
            </w:r>
            <w:r>
              <w:rPr>
                <w:rFonts w:hint="eastAsia"/>
                <w:lang w:val="en-US" w:eastAsia="zh-CN"/>
              </w:rPr>
              <w:t>2900</w:t>
            </w:r>
            <w:r>
              <w:rPr>
                <w:rFonts w:hint="eastAsia"/>
              </w:rPr>
              <w:t>m²，1.2L/m</w:t>
            </w:r>
            <w:r>
              <w:rPr>
                <w:rFonts w:hint="eastAsia"/>
                <w:vertAlign w:val="superscript"/>
              </w:rPr>
              <w:t>2</w:t>
            </w:r>
            <w:r>
              <w:rPr>
                <w:rFonts w:hint="eastAsia"/>
              </w:rPr>
              <w:t>。全年洒水次数为100次，则本项目绿化用水量为</w:t>
            </w:r>
            <w:r>
              <w:rPr>
                <w:rFonts w:hint="eastAsia"/>
                <w:lang w:val="en-US" w:eastAsia="zh-CN"/>
              </w:rPr>
              <w:t>348</w:t>
            </w:r>
            <w:r>
              <w:rPr>
                <w:rFonts w:hint="eastAsia"/>
              </w:rPr>
              <w:t>m</w:t>
            </w:r>
            <w:r>
              <w:rPr>
                <w:rFonts w:hint="eastAsia"/>
                <w:vertAlign w:val="superscript"/>
              </w:rPr>
              <w:t>3</w:t>
            </w:r>
            <w:r>
              <w:rPr>
                <w:rFonts w:hint="eastAsia"/>
              </w:rPr>
              <w:t>/a，</w:t>
            </w:r>
            <w:r>
              <w:rPr>
                <w:rFonts w:hint="eastAsia"/>
                <w:lang w:val="en-US" w:eastAsia="zh-CN"/>
              </w:rPr>
              <w:t>1.16</w:t>
            </w:r>
            <w:r>
              <w:rPr>
                <w:rFonts w:hint="eastAsia"/>
              </w:rPr>
              <w:t>m</w:t>
            </w:r>
            <w:r>
              <w:rPr>
                <w:rFonts w:hint="eastAsia"/>
                <w:vertAlign w:val="superscript"/>
              </w:rPr>
              <w:t>3</w:t>
            </w:r>
            <w:r>
              <w:rPr>
                <w:rFonts w:hint="eastAsia"/>
              </w:rPr>
              <w:t>/d。</w:t>
            </w:r>
          </w:p>
          <w:p w14:paraId="38F203FB">
            <w:pPr>
              <w:pStyle w:val="6"/>
              <w:numPr>
                <w:ilvl w:val="3"/>
                <w:numId w:val="0"/>
              </w:numPr>
              <w:bidi w:val="0"/>
              <w:ind w:leftChars="0"/>
              <w:rPr>
                <w:rFonts w:hint="default" w:eastAsia="宋体"/>
                <w:lang w:val="en-US" w:eastAsia="zh-CN"/>
              </w:rPr>
            </w:pPr>
            <w:r>
              <w:rPr>
                <w:rFonts w:hint="eastAsia"/>
                <w:lang w:val="en-US" w:eastAsia="zh-CN"/>
              </w:rPr>
              <w:t>4.6.1.9、初期雨水</w:t>
            </w:r>
          </w:p>
          <w:p w14:paraId="143BFEAA">
            <w:pPr>
              <w:ind w:firstLine="480"/>
            </w:pPr>
            <w:r>
              <w:rPr>
                <w:rFonts w:hint="eastAsia"/>
              </w:rPr>
              <w:t>初期雨水量按经验公式估算，经验公式为：</w:t>
            </w:r>
          </w:p>
          <w:p w14:paraId="142E92CD">
            <w:pPr>
              <w:ind w:firstLine="0" w:firstLineChars="0"/>
              <w:jc w:val="center"/>
            </w:pPr>
            <w:r>
              <w:t>Q=q•ψ•F•T</w:t>
            </w:r>
          </w:p>
          <w:p w14:paraId="16541F17">
            <w:pPr>
              <w:ind w:firstLine="480"/>
            </w:pPr>
            <w:r>
              <w:t>其中：</w:t>
            </w:r>
          </w:p>
          <w:p w14:paraId="7B11F452">
            <w:pPr>
              <w:ind w:firstLine="480"/>
            </w:pPr>
            <w:r>
              <w:t>Q——初期雨水排放量，L；</w:t>
            </w:r>
          </w:p>
          <w:p w14:paraId="5A98B41C">
            <w:pPr>
              <w:ind w:firstLine="480"/>
            </w:pPr>
            <w:r>
              <w:t>ψ——径流系数，</w:t>
            </w:r>
            <w:r>
              <w:rPr>
                <w:rFonts w:hint="eastAsia"/>
              </w:rPr>
              <w:t>本次评价</w:t>
            </w:r>
            <w:r>
              <w:t>取ψ=0.6；</w:t>
            </w:r>
          </w:p>
          <w:p w14:paraId="64CF4CFE">
            <w:pPr>
              <w:ind w:firstLine="480"/>
            </w:pPr>
            <w:r>
              <w:t>F——汇水面积</w:t>
            </w:r>
            <w:r>
              <w:rPr>
                <w:rFonts w:hint="eastAsia"/>
              </w:rPr>
              <w:t>，</w:t>
            </w:r>
            <w:r>
              <w:t>hm</w:t>
            </w:r>
            <w:r>
              <w:rPr>
                <w:vertAlign w:val="superscript"/>
              </w:rPr>
              <w:t>2</w:t>
            </w:r>
            <w:r>
              <w:t>，</w:t>
            </w:r>
            <w:r>
              <w:rPr>
                <w:rFonts w:hint="eastAsia"/>
              </w:rPr>
              <w:t>项目</w:t>
            </w:r>
            <w:r>
              <w:t>生产区占地面积</w:t>
            </w:r>
            <w:r>
              <w:rPr>
                <w:rFonts w:hint="eastAsia"/>
              </w:rPr>
              <w:t>按</w:t>
            </w:r>
            <w:r>
              <w:rPr>
                <w:rFonts w:hint="eastAsia"/>
                <w:lang w:val="en-US" w:eastAsia="zh-CN"/>
              </w:rPr>
              <w:t>0.181</w:t>
            </w:r>
            <w:r>
              <w:t>hm</w:t>
            </w:r>
            <w:r>
              <w:rPr>
                <w:vertAlign w:val="superscript"/>
              </w:rPr>
              <w:t>2</w:t>
            </w:r>
            <w:r>
              <w:rPr>
                <w:rFonts w:hint="eastAsia"/>
              </w:rPr>
              <w:t>计；</w:t>
            </w:r>
          </w:p>
          <w:p w14:paraId="34A8AE04">
            <w:pPr>
              <w:ind w:firstLine="480"/>
            </w:pPr>
            <w:r>
              <w:t>T——收水时间，</w:t>
            </w:r>
            <w:r>
              <w:rPr>
                <w:rFonts w:hint="eastAsia"/>
              </w:rPr>
              <w:t>s，本次评价取</w:t>
            </w:r>
            <w:r>
              <w:t>15min；</w:t>
            </w:r>
          </w:p>
          <w:p w14:paraId="70981F4E">
            <w:pPr>
              <w:ind w:firstLine="480"/>
            </w:pPr>
            <w:r>
              <w:t>q——暴雨量，单位为L/s•hm</w:t>
            </w:r>
            <w:r>
              <w:rPr>
                <w:vertAlign w:val="superscript"/>
              </w:rPr>
              <w:t>2</w:t>
            </w:r>
            <w:r>
              <w:t>，采用广西建委综合设计院提供暴雨强度公式：</w:t>
            </w:r>
          </w:p>
          <w:p w14:paraId="1062EB4E">
            <w:pPr>
              <w:ind w:firstLine="480"/>
            </w:pPr>
            <m:oMathPara>
              <m:oMath>
                <m:r>
                  <m:rPr/>
                  <w:rPr>
                    <w:rFonts w:ascii="Cambria Math" w:hAnsi="Cambria Math"/>
                    <w:sz w:val="24"/>
                  </w:rPr>
                  <m:t>q=</m:t>
                </m:r>
                <m:f>
                  <m:fPr>
                    <m:ctrlPr>
                      <w:rPr>
                        <w:rFonts w:hint="default" w:ascii="Cambria Math" w:hAnsi="Cambria Math" w:cs="Times New Roman"/>
                        <w:sz w:val="24"/>
                      </w:rPr>
                    </m:ctrlPr>
                  </m:fPr>
                  <m:num>
                    <m:r>
                      <m:rPr/>
                      <w:rPr>
                        <w:rFonts w:hint="default" w:ascii="Cambria Math" w:hAnsi="Cambria Math" w:cs="Times New Roman"/>
                        <w:sz w:val="24"/>
                      </w:rPr>
                      <m:t>2276.830</m:t>
                    </m:r>
                    <m:d>
                      <m:dPr>
                        <m:ctrlPr>
                          <w:rPr>
                            <w:rFonts w:hint="default" w:ascii="Cambria Math" w:hAnsi="Cambria Math" w:cs="Times New Roman"/>
                            <w:sz w:val="24"/>
                          </w:rPr>
                        </m:ctrlPr>
                      </m:dPr>
                      <m:e>
                        <m:r>
                          <m:rPr/>
                          <w:rPr>
                            <w:rFonts w:hint="default" w:ascii="Cambria Math" w:hAnsi="Cambria Math" w:cs="Times New Roman"/>
                            <w:sz w:val="24"/>
                          </w:rPr>
                          <m:t>1+0.</m:t>
                        </m:r>
                        <m:r>
                          <m:rPr/>
                          <w:rPr>
                            <w:rFonts w:hint="default" w:ascii="Cambria Math" w:hAnsi="Cambria Math" w:cs="Times New Roman"/>
                            <w:sz w:val="24"/>
                            <w:lang w:val="en-US" w:eastAsia="zh-CN"/>
                          </w:rPr>
                          <m:t>5811</m:t>
                        </m:r>
                        <m:r>
                          <m:rPr/>
                          <w:rPr>
                            <w:rFonts w:hint="default" w:ascii="Cambria Math" w:hAnsi="Cambria Math" w:cs="Times New Roman"/>
                            <w:sz w:val="24"/>
                          </w:rPr>
                          <m:t>lgP</m:t>
                        </m:r>
                        <m:ctrlPr>
                          <w:rPr>
                            <w:rFonts w:hint="default" w:ascii="Cambria Math" w:hAnsi="Cambria Math" w:cs="Times New Roman"/>
                            <w:sz w:val="24"/>
                          </w:rPr>
                        </m:ctrlPr>
                      </m:e>
                    </m:d>
                    <m:ctrlPr>
                      <w:rPr>
                        <w:rFonts w:hint="default" w:ascii="Cambria Math" w:hAnsi="Cambria Math" w:cs="Times New Roman"/>
                        <w:sz w:val="24"/>
                      </w:rPr>
                    </m:ctrlPr>
                  </m:num>
                  <m:den>
                    <m:sSup>
                      <m:sSupPr>
                        <m:ctrlPr>
                          <w:rPr>
                            <w:rFonts w:hint="default" w:ascii="Cambria Math" w:hAnsi="Cambria Math" w:cs="Times New Roman"/>
                            <w:sz w:val="24"/>
                          </w:rPr>
                        </m:ctrlPr>
                      </m:sSupPr>
                      <m:e>
                        <m:d>
                          <m:dPr>
                            <m:ctrlPr>
                              <w:rPr>
                                <w:rFonts w:hint="default" w:ascii="Cambria Math" w:hAnsi="Cambria Math" w:cs="Times New Roman"/>
                                <w:sz w:val="24"/>
                              </w:rPr>
                            </m:ctrlPr>
                          </m:dPr>
                          <m:e>
                            <m:r>
                              <m:rPr/>
                              <w:rPr>
                                <w:rFonts w:hint="default" w:ascii="Cambria Math" w:hAnsi="Cambria Math" w:cs="Times New Roman"/>
                                <w:sz w:val="24"/>
                              </w:rPr>
                              <m:t>t+</m:t>
                            </m:r>
                            <m:r>
                              <m:rPr/>
                              <w:rPr>
                                <w:rFonts w:hint="default" w:ascii="Cambria Math" w:hAnsi="Cambria Math" w:cs="Times New Roman"/>
                                <w:sz w:val="24"/>
                                <w:lang w:val="en-US" w:eastAsia="zh-CN"/>
                              </w:rPr>
                              <m:t>10.268</m:t>
                            </m:r>
                            <m:ctrlPr>
                              <w:rPr>
                                <w:rFonts w:hint="default" w:ascii="Cambria Math" w:hAnsi="Cambria Math" w:cs="Times New Roman"/>
                                <w:sz w:val="24"/>
                              </w:rPr>
                            </m:ctrlPr>
                          </m:e>
                        </m:d>
                        <m:ctrlPr>
                          <w:rPr>
                            <w:rFonts w:hint="default" w:ascii="Cambria Math" w:hAnsi="Cambria Math" w:cs="Times New Roman"/>
                            <w:sz w:val="24"/>
                          </w:rPr>
                        </m:ctrlPr>
                      </m:e>
                      <m:sup>
                        <m:r>
                          <m:rPr/>
                          <w:rPr>
                            <w:rFonts w:hint="default" w:ascii="Cambria Math" w:hAnsi="Cambria Math" w:cs="Times New Roman"/>
                            <w:sz w:val="24"/>
                          </w:rPr>
                          <m:t>0.</m:t>
                        </m:r>
                        <m:r>
                          <m:rPr/>
                          <w:rPr>
                            <w:rFonts w:hint="default" w:ascii="Cambria Math" w:hAnsi="Cambria Math" w:cs="Times New Roman"/>
                            <w:sz w:val="24"/>
                            <w:lang w:val="en-US" w:eastAsia="zh-CN"/>
                          </w:rPr>
                          <m:t>686</m:t>
                        </m:r>
                        <m:ctrlPr>
                          <w:rPr>
                            <w:rFonts w:hint="default" w:ascii="Cambria Math" w:hAnsi="Cambria Math" w:cs="Times New Roman"/>
                            <w:sz w:val="24"/>
                          </w:rPr>
                        </m:ctrlPr>
                      </m:sup>
                    </m:sSup>
                    <m:ctrlPr>
                      <w:rPr>
                        <w:rFonts w:hint="default" w:ascii="Cambria Math" w:hAnsi="Cambria Math" w:cs="Times New Roman"/>
                        <w:sz w:val="24"/>
                      </w:rPr>
                    </m:ctrlPr>
                  </m:den>
                </m:f>
              </m:oMath>
            </m:oMathPara>
          </w:p>
          <w:p w14:paraId="42FE9AB3">
            <w:pPr>
              <w:ind w:firstLine="480"/>
            </w:pPr>
            <w:r>
              <w:rPr>
                <w:rFonts w:hint="eastAsia"/>
              </w:rPr>
              <w:t>其中：</w:t>
            </w:r>
          </w:p>
          <w:p w14:paraId="0BA68439">
            <w:pPr>
              <w:ind w:firstLine="480"/>
            </w:pPr>
            <w:r>
              <w:t>P——重现期，2年</w:t>
            </w:r>
            <w:r>
              <w:rPr>
                <w:rFonts w:hint="eastAsia"/>
              </w:rPr>
              <w:t>，本次评价取2年</w:t>
            </w:r>
            <w:r>
              <w:t>；</w:t>
            </w:r>
          </w:p>
          <w:p w14:paraId="13DA4CB0">
            <w:pPr>
              <w:ind w:firstLine="480"/>
              <w:rPr>
                <w:color w:val="FF0000"/>
              </w:rPr>
            </w:pPr>
            <w:r>
              <w:t>t——降雨历时，min</w:t>
            </w:r>
            <w:r>
              <w:rPr>
                <w:rFonts w:hint="eastAsia"/>
              </w:rPr>
              <w:t>，本次评价取1</w:t>
            </w:r>
            <w:r>
              <w:t>5</w:t>
            </w:r>
            <w:r>
              <w:rPr>
                <w:rFonts w:hint="eastAsia"/>
              </w:rPr>
              <w:t>min</w:t>
            </w:r>
            <w:r>
              <w:t>。</w:t>
            </w:r>
          </w:p>
          <w:p w14:paraId="6E51C9B7">
            <w:pPr>
              <w:ind w:firstLine="480"/>
            </w:pPr>
            <w:r>
              <w:rPr>
                <w:rFonts w:hint="eastAsia"/>
              </w:rPr>
              <w:t>经计算，厂区在降雨15min内初期雨水量</w:t>
            </w:r>
            <w:r>
              <w:rPr>
                <w:rFonts w:hint="eastAsia"/>
                <w:lang w:eastAsia="zh-CN"/>
              </w:rPr>
              <w:t>约</w:t>
            </w:r>
            <w:r>
              <w:rPr>
                <w:rFonts w:hint="eastAsia"/>
              </w:rPr>
              <w:t>为</w:t>
            </w:r>
            <w:r>
              <w:rPr>
                <w:rFonts w:hint="eastAsia"/>
                <w:lang w:val="en-US" w:eastAsia="zh-CN"/>
              </w:rPr>
              <w:t>28.5267</w:t>
            </w:r>
            <w:r>
              <w:rPr>
                <w:rFonts w:hint="eastAsia"/>
              </w:rPr>
              <w:t>m</w:t>
            </w:r>
            <w:r>
              <w:rPr>
                <w:rFonts w:hint="eastAsia"/>
                <w:vertAlign w:val="superscript"/>
              </w:rPr>
              <w:t>3</w:t>
            </w:r>
            <w:r>
              <w:rPr>
                <w:rFonts w:hint="eastAsia"/>
              </w:rPr>
              <w:t>/次。</w:t>
            </w:r>
          </w:p>
          <w:p w14:paraId="3F0CFD4C">
            <w:pPr>
              <w:bidi w:val="0"/>
              <w:rPr>
                <w:rFonts w:hint="eastAsia"/>
              </w:rPr>
            </w:pPr>
            <w:r>
              <w:rPr>
                <w:rFonts w:hint="eastAsia"/>
                <w:lang w:eastAsia="zh-CN"/>
              </w:rPr>
              <w:t>本评价要求</w:t>
            </w:r>
            <w:r>
              <w:rPr>
                <w:rFonts w:hint="eastAsia"/>
              </w:rPr>
              <w:t>项目初期雨水收集于初期雨水池，再进入黑膜厌氧池处理。</w:t>
            </w:r>
          </w:p>
          <w:p w14:paraId="177E3533">
            <w:pPr>
              <w:pStyle w:val="6"/>
              <w:numPr>
                <w:ilvl w:val="3"/>
                <w:numId w:val="0"/>
              </w:numPr>
              <w:bidi w:val="0"/>
              <w:ind w:leftChars="0"/>
              <w:rPr>
                <w:rFonts w:hint="eastAsia"/>
                <w:lang w:val="en-US" w:eastAsia="zh-CN"/>
              </w:rPr>
            </w:pPr>
            <w:r>
              <w:rPr>
                <w:rFonts w:hint="eastAsia"/>
                <w:lang w:val="en-US" w:eastAsia="zh-CN"/>
              </w:rPr>
              <w:t>4.6.1.10、设备冲洗废水</w:t>
            </w:r>
          </w:p>
          <w:p w14:paraId="78B923DB">
            <w:pPr>
              <w:keepNext w:val="0"/>
              <w:keepLines w:val="0"/>
              <w:widowControl/>
              <w:suppressLineNumbers w:val="0"/>
              <w:jc w:val="both"/>
              <w:rPr>
                <w:rFonts w:hint="default" w:ascii="Times New Roman" w:hAnsi="Times New Roman" w:cs="Times New Roman"/>
              </w:rPr>
            </w:pPr>
            <w:r>
              <w:rPr>
                <w:rFonts w:hint="default" w:ascii="Times New Roman" w:hAnsi="Times New Roman" w:eastAsia="宋体" w:cs="Times New Roman"/>
                <w:color w:val="000000"/>
                <w:kern w:val="0"/>
                <w:sz w:val="24"/>
                <w:szCs w:val="24"/>
                <w:u w:val="single"/>
                <w:lang w:val="en-US" w:eastAsia="zh-CN" w:bidi="ar"/>
              </w:rPr>
              <w:t>生产后的设备需要定期清洗，清洗水为新鲜水。根据业主提供的数据，设备冲洗废水用水量为1t/d，年用水量为300t/a，废水量按80%计，则设备清洗废水量为240t/a。设备</w:t>
            </w:r>
            <w:r>
              <w:rPr>
                <w:rFonts w:hint="default" w:ascii="Times New Roman" w:hAnsi="Times New Roman" w:cs="Times New Roman"/>
                <w:color w:val="000000"/>
                <w:kern w:val="0"/>
                <w:sz w:val="24"/>
                <w:szCs w:val="24"/>
                <w:u w:val="single"/>
                <w:lang w:val="en-US" w:eastAsia="zh-CN" w:bidi="ar"/>
              </w:rPr>
              <w:t>冲</w:t>
            </w:r>
            <w:r>
              <w:rPr>
                <w:rFonts w:hint="default" w:ascii="Times New Roman" w:hAnsi="Times New Roman" w:eastAsia="宋体" w:cs="Times New Roman"/>
                <w:color w:val="000000"/>
                <w:kern w:val="0"/>
                <w:sz w:val="24"/>
                <w:szCs w:val="24"/>
                <w:u w:val="single"/>
                <w:lang w:val="en-US" w:eastAsia="zh-CN" w:bidi="ar"/>
              </w:rPr>
              <w:t>洗废水的主要污染物浓度类比肉类加工的废水水质。《屠宰与肉类加工废水治理工程技术规范》 (HJ2004-2010)的肉类加工废水(含洗肉、加工和冷冻等过程)水质为：COD：800~2000mg/L、BOD5：500~1000mg/L、SS：500~1000mg/L、氨氮：25~70mg/L、动植物油：30~100mg/L、pH：6.5~7.5。考虑到本清洗过程较为简单，综上考虑废水水质取：COD：2000mg/L、BOD5：800mg/L、SS：1000mg/L、氨氮：40mg/L、动植物油：50mg/L、pH：</w:t>
            </w:r>
            <w:r>
              <w:rPr>
                <w:rFonts w:hint="eastAsia" w:ascii="Times New Roman" w:hAnsi="Times New Roman" w:cs="Times New Roman"/>
                <w:color w:val="000000"/>
                <w:kern w:val="0"/>
                <w:sz w:val="24"/>
                <w:szCs w:val="24"/>
                <w:u w:val="single"/>
                <w:lang w:val="en-US" w:eastAsia="zh-CN" w:bidi="ar"/>
              </w:rPr>
              <w:t>7</w:t>
            </w:r>
            <w:r>
              <w:rPr>
                <w:rFonts w:hint="default" w:ascii="Times New Roman" w:hAnsi="Times New Roman" w:eastAsia="宋体" w:cs="Times New Roman"/>
                <w:color w:val="000000"/>
                <w:kern w:val="0"/>
                <w:sz w:val="24"/>
                <w:szCs w:val="24"/>
                <w:u w:val="single"/>
                <w:lang w:val="en-US" w:eastAsia="zh-CN" w:bidi="ar"/>
              </w:rPr>
              <w:t>。</w:t>
            </w:r>
          </w:p>
          <w:p w14:paraId="7D1747BA">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4.6.2、</w:t>
            </w:r>
            <w:r>
              <w:rPr>
                <w:rFonts w:hint="eastAsia"/>
              </w:rPr>
              <w:t>生活污水</w:t>
            </w:r>
          </w:p>
          <w:p w14:paraId="1AD10FD2">
            <w:pPr>
              <w:ind w:firstLine="480"/>
            </w:pPr>
            <w:r>
              <w:rPr>
                <w:rFonts w:hint="eastAsia" w:ascii="宋体" w:hAnsi="宋体" w:eastAsia="宋体" w:cs="宋体"/>
                <w:color w:val="000000"/>
                <w:kern w:val="0"/>
                <w:sz w:val="24"/>
                <w:szCs w:val="24"/>
                <w:highlight w:val="none"/>
                <w:lang w:val="en-US" w:eastAsia="zh-CN" w:bidi="ar"/>
              </w:rPr>
              <w:t>根据建设单位提供资料，项目</w:t>
            </w:r>
            <w:r>
              <w:rPr>
                <w:rFonts w:hint="eastAsia" w:ascii="宋体" w:hAnsi="宋体" w:cs="宋体"/>
                <w:color w:val="000000"/>
                <w:kern w:val="0"/>
                <w:sz w:val="24"/>
                <w:szCs w:val="24"/>
                <w:highlight w:val="none"/>
                <w:lang w:val="en-US" w:eastAsia="zh-CN" w:bidi="ar"/>
              </w:rPr>
              <w:t>新增</w:t>
            </w:r>
            <w:r>
              <w:rPr>
                <w:rFonts w:hint="eastAsia" w:ascii="宋体" w:hAnsi="宋体" w:eastAsia="宋体" w:cs="宋体"/>
                <w:color w:val="000000"/>
                <w:kern w:val="0"/>
                <w:sz w:val="24"/>
                <w:szCs w:val="24"/>
                <w:highlight w:val="none"/>
                <w:lang w:val="en-US" w:eastAsia="zh-CN" w:bidi="ar"/>
              </w:rPr>
              <w:t>劳动定员</w:t>
            </w:r>
            <w:r>
              <w:rPr>
                <w:rFonts w:hint="eastAsia" w:cs="Times New Roman"/>
                <w:color w:val="000000"/>
                <w:kern w:val="0"/>
                <w:sz w:val="24"/>
                <w:szCs w:val="24"/>
                <w:highlight w:val="none"/>
                <w:lang w:val="en-US" w:eastAsia="zh-CN" w:bidi="ar"/>
              </w:rPr>
              <w:t>20</w:t>
            </w:r>
            <w:r>
              <w:rPr>
                <w:rFonts w:hint="eastAsia" w:ascii="宋体" w:hAnsi="宋体" w:eastAsia="宋体" w:cs="宋体"/>
                <w:color w:val="000000"/>
                <w:kern w:val="0"/>
                <w:sz w:val="24"/>
                <w:szCs w:val="24"/>
                <w:highlight w:val="none"/>
                <w:lang w:val="en-US" w:eastAsia="zh-CN" w:bidi="ar"/>
              </w:rPr>
              <w:t>人，</w:t>
            </w:r>
            <w:r>
              <w:rPr>
                <w:spacing w:val="-3"/>
                <w:sz w:val="24"/>
              </w:rPr>
              <w:t>项目职工均不在厂</w:t>
            </w:r>
            <w:r>
              <w:rPr>
                <w:sz w:val="24"/>
              </w:rPr>
              <w:t>内住宿</w:t>
            </w:r>
            <w:r>
              <w:rPr>
                <w:rFonts w:hint="eastAsia"/>
                <w:sz w:val="24"/>
                <w:lang w:eastAsia="zh-CN"/>
              </w:rPr>
              <w:t>，</w:t>
            </w:r>
            <w:r>
              <w:rPr>
                <w:rFonts w:hint="eastAsia"/>
                <w:sz w:val="24"/>
                <w:u w:val="single"/>
                <w:lang w:eastAsia="zh-CN"/>
              </w:rPr>
              <w:t>参考</w:t>
            </w:r>
            <w:r>
              <w:rPr>
                <w:rFonts w:hint="eastAsia"/>
                <w:u w:val="single"/>
              </w:rPr>
              <w:t>《建筑给水排水设计标准》（G</w:t>
            </w:r>
            <w:r>
              <w:rPr>
                <w:u w:val="single"/>
              </w:rPr>
              <w:t>B50015-2019</w:t>
            </w:r>
            <w:r>
              <w:rPr>
                <w:rFonts w:hint="eastAsia"/>
                <w:u w:val="single"/>
              </w:rPr>
              <w:t>）</w:t>
            </w:r>
            <w:r>
              <w:rPr>
                <w:rFonts w:hint="eastAsia"/>
                <w:u w:val="single"/>
                <w:lang w:eastAsia="zh-CN"/>
              </w:rPr>
              <w:t>，</w:t>
            </w:r>
            <w:r>
              <w:rPr>
                <w:rFonts w:hint="eastAsia" w:ascii="宋体" w:hAnsi="宋体" w:eastAsia="宋体" w:cs="宋体"/>
                <w:color w:val="000000"/>
                <w:kern w:val="0"/>
                <w:sz w:val="24"/>
                <w:szCs w:val="24"/>
                <w:highlight w:val="none"/>
                <w:u w:val="single"/>
                <w:lang w:val="en-US" w:eastAsia="zh-CN" w:bidi="ar"/>
              </w:rPr>
              <w:t>厂员工生活用水量按每人</w:t>
            </w:r>
            <w:r>
              <w:rPr>
                <w:rFonts w:hint="eastAsia" w:cs="Times New Roman"/>
                <w:color w:val="000000"/>
                <w:kern w:val="0"/>
                <w:sz w:val="24"/>
                <w:szCs w:val="24"/>
                <w:highlight w:val="none"/>
                <w:u w:val="single"/>
                <w:lang w:val="en-US" w:eastAsia="zh-CN" w:bidi="ar"/>
              </w:rPr>
              <w:t>60</w:t>
            </w:r>
            <w:r>
              <w:rPr>
                <w:rFonts w:hint="default" w:ascii="Times New Roman" w:hAnsi="Times New Roman" w:eastAsia="宋体" w:cs="Times New Roman"/>
                <w:color w:val="000000"/>
                <w:kern w:val="0"/>
                <w:sz w:val="24"/>
                <w:szCs w:val="24"/>
                <w:highlight w:val="none"/>
                <w:u w:val="single"/>
                <w:lang w:val="en-US" w:eastAsia="zh-CN" w:bidi="ar"/>
              </w:rPr>
              <w:t>L/d</w:t>
            </w:r>
            <w:r>
              <w:rPr>
                <w:rFonts w:hint="eastAsia" w:cs="Times New Roman"/>
                <w:color w:val="000000"/>
                <w:kern w:val="0"/>
                <w:sz w:val="24"/>
                <w:szCs w:val="24"/>
                <w:highlight w:val="none"/>
                <w:u w:val="single"/>
                <w:lang w:val="en-US" w:eastAsia="zh-CN" w:bidi="ar"/>
              </w:rPr>
              <w:t>·人</w:t>
            </w:r>
            <w:r>
              <w:rPr>
                <w:rFonts w:hint="eastAsia" w:ascii="宋体" w:hAnsi="宋体" w:eastAsia="宋体" w:cs="宋体"/>
                <w:color w:val="000000"/>
                <w:kern w:val="0"/>
                <w:sz w:val="24"/>
                <w:szCs w:val="24"/>
                <w:highlight w:val="none"/>
                <w:u w:val="single"/>
                <w:lang w:val="en-US" w:eastAsia="zh-CN" w:bidi="ar"/>
              </w:rPr>
              <w:t>计，则员工总用水量为</w:t>
            </w:r>
            <w:r>
              <w:rPr>
                <w:rFonts w:hint="eastAsia" w:cs="Times New Roman"/>
                <w:color w:val="000000"/>
                <w:kern w:val="0"/>
                <w:sz w:val="24"/>
                <w:szCs w:val="24"/>
                <w:highlight w:val="none"/>
                <w:u w:val="single"/>
                <w:lang w:val="en-US" w:eastAsia="zh-CN" w:bidi="ar"/>
              </w:rPr>
              <w:t>1.2</w:t>
            </w:r>
            <w:r>
              <w:rPr>
                <w:rFonts w:hint="default" w:ascii="Times New Roman" w:hAnsi="Times New Roman" w:eastAsia="宋体" w:cs="Times New Roman"/>
                <w:color w:val="000000"/>
                <w:kern w:val="0"/>
                <w:sz w:val="24"/>
                <w:szCs w:val="24"/>
                <w:highlight w:val="none"/>
                <w:u w:val="single"/>
                <w:lang w:val="en-US" w:eastAsia="zh-CN" w:bidi="ar"/>
              </w:rPr>
              <w:t>t/d</w:t>
            </w:r>
            <w:r>
              <w:rPr>
                <w:rFonts w:hint="eastAsia" w:ascii="宋体" w:hAnsi="宋体" w:eastAsia="宋体" w:cs="宋体"/>
                <w:color w:val="000000"/>
                <w:kern w:val="0"/>
                <w:sz w:val="24"/>
                <w:szCs w:val="24"/>
                <w:highlight w:val="none"/>
                <w:u w:val="single"/>
                <w:lang w:val="en-US" w:eastAsia="zh-CN" w:bidi="ar"/>
              </w:rPr>
              <w:t>，年工作日为</w:t>
            </w:r>
            <w:r>
              <w:rPr>
                <w:rFonts w:hint="eastAsia" w:cs="Times New Roman"/>
                <w:color w:val="000000"/>
                <w:kern w:val="0"/>
                <w:sz w:val="24"/>
                <w:szCs w:val="24"/>
                <w:highlight w:val="none"/>
                <w:u w:val="single"/>
                <w:lang w:val="en-US" w:eastAsia="zh-CN" w:bidi="ar"/>
              </w:rPr>
              <w:t>30</w:t>
            </w:r>
            <w:r>
              <w:rPr>
                <w:rFonts w:hint="eastAsia" w:eastAsia="宋体" w:cs="Times New Roman"/>
                <w:color w:val="000000"/>
                <w:kern w:val="0"/>
                <w:sz w:val="24"/>
                <w:szCs w:val="24"/>
                <w:highlight w:val="none"/>
                <w:u w:val="single"/>
                <w:lang w:val="en-US" w:eastAsia="zh-CN" w:bidi="ar"/>
              </w:rPr>
              <w:t>0</w:t>
            </w:r>
            <w:r>
              <w:rPr>
                <w:rFonts w:hint="eastAsia" w:ascii="宋体" w:hAnsi="宋体" w:eastAsia="宋体" w:cs="宋体"/>
                <w:color w:val="000000"/>
                <w:kern w:val="0"/>
                <w:sz w:val="24"/>
                <w:szCs w:val="24"/>
                <w:highlight w:val="none"/>
                <w:u w:val="single"/>
                <w:lang w:val="en-US" w:eastAsia="zh-CN" w:bidi="ar"/>
              </w:rPr>
              <w:t>天，则生活用水总量</w:t>
            </w:r>
            <w:r>
              <w:rPr>
                <w:rFonts w:hint="eastAsia" w:cs="Times New Roman"/>
                <w:color w:val="000000"/>
                <w:kern w:val="0"/>
                <w:sz w:val="24"/>
                <w:szCs w:val="24"/>
                <w:highlight w:val="none"/>
                <w:u w:val="single"/>
                <w:lang w:val="en-US" w:eastAsia="zh-CN" w:bidi="ar"/>
              </w:rPr>
              <w:t>360</w:t>
            </w:r>
            <w:r>
              <w:rPr>
                <w:rFonts w:hint="default" w:ascii="Times New Roman" w:hAnsi="Times New Roman" w:eastAsia="宋体" w:cs="Times New Roman"/>
                <w:color w:val="000000"/>
                <w:kern w:val="0"/>
                <w:sz w:val="24"/>
                <w:szCs w:val="24"/>
                <w:highlight w:val="none"/>
                <w:u w:val="single"/>
                <w:lang w:val="en-US" w:eastAsia="zh-CN" w:bidi="ar"/>
              </w:rPr>
              <w:t>t/a</w:t>
            </w:r>
            <w:r>
              <w:rPr>
                <w:rFonts w:hint="eastAsia" w:ascii="宋体" w:hAnsi="宋体" w:eastAsia="宋体" w:cs="宋体"/>
                <w:color w:val="000000"/>
                <w:kern w:val="0"/>
                <w:sz w:val="24"/>
                <w:szCs w:val="24"/>
                <w:highlight w:val="none"/>
                <w:u w:val="single"/>
                <w:lang w:val="en-US" w:eastAsia="zh-CN" w:bidi="ar"/>
              </w:rPr>
              <w:t>。污水量按用水量的</w:t>
            </w:r>
            <w:r>
              <w:rPr>
                <w:rFonts w:hint="default" w:ascii="Times New Roman" w:hAnsi="Times New Roman" w:eastAsia="宋体" w:cs="Times New Roman"/>
                <w:color w:val="000000"/>
                <w:kern w:val="0"/>
                <w:sz w:val="24"/>
                <w:szCs w:val="24"/>
                <w:highlight w:val="none"/>
                <w:u w:val="single"/>
                <w:lang w:val="en-US" w:eastAsia="zh-CN" w:bidi="ar"/>
              </w:rPr>
              <w:t>80%</w:t>
            </w:r>
            <w:r>
              <w:rPr>
                <w:rFonts w:hint="eastAsia" w:ascii="宋体" w:hAnsi="宋体" w:eastAsia="宋体" w:cs="宋体"/>
                <w:color w:val="000000"/>
                <w:kern w:val="0"/>
                <w:sz w:val="24"/>
                <w:szCs w:val="24"/>
                <w:highlight w:val="none"/>
                <w:u w:val="single"/>
                <w:lang w:val="en-US" w:eastAsia="zh-CN" w:bidi="ar"/>
              </w:rPr>
              <w:t>计，污水量产生量为</w:t>
            </w:r>
            <w:r>
              <w:rPr>
                <w:rFonts w:hint="eastAsia" w:cs="Times New Roman"/>
                <w:color w:val="000000"/>
                <w:kern w:val="0"/>
                <w:sz w:val="24"/>
                <w:szCs w:val="24"/>
                <w:highlight w:val="none"/>
                <w:u w:val="single"/>
                <w:lang w:val="en-US" w:eastAsia="zh-CN" w:bidi="ar"/>
              </w:rPr>
              <w:t>288</w:t>
            </w:r>
            <w:r>
              <w:rPr>
                <w:rFonts w:hint="default" w:ascii="Times New Roman" w:hAnsi="Times New Roman" w:eastAsia="宋体" w:cs="Times New Roman"/>
                <w:color w:val="000000"/>
                <w:kern w:val="0"/>
                <w:sz w:val="24"/>
                <w:szCs w:val="24"/>
                <w:highlight w:val="none"/>
                <w:u w:val="single"/>
                <w:lang w:val="en-US" w:eastAsia="zh-CN" w:bidi="ar"/>
              </w:rPr>
              <w:t>t/a</w:t>
            </w:r>
            <w:r>
              <w:rPr>
                <w:rFonts w:hint="eastAsia" w:cs="Times New Roman"/>
                <w:color w:val="000000"/>
                <w:kern w:val="0"/>
                <w:sz w:val="24"/>
                <w:szCs w:val="24"/>
                <w:highlight w:val="none"/>
                <w:lang w:val="en-US" w:eastAsia="zh-CN" w:bidi="ar"/>
              </w:rPr>
              <w:t>。</w:t>
            </w:r>
          </w:p>
          <w:p w14:paraId="6B06EFD1">
            <w:pPr>
              <w:pStyle w:val="12"/>
              <w:rPr>
                <w:rFonts w:hint="eastAsia" w:eastAsia="宋体"/>
                <w:lang w:eastAsia="zh-CN"/>
              </w:rPr>
            </w:pPr>
            <w:r>
              <w:rPr>
                <w:rFonts w:hint="eastAsia"/>
                <w:lang w:eastAsia="zh-CN"/>
              </w:rPr>
              <w:t>类比</w:t>
            </w:r>
            <w:r>
              <w:rPr>
                <w:rFonts w:hint="default" w:ascii="Times New Roman" w:hAnsi="Times New Roman" w:eastAsia="宋体" w:cs="Times New Roman"/>
                <w:b w:val="0"/>
                <w:bCs w:val="0"/>
                <w:color w:val="auto"/>
                <w:highlight w:val="none"/>
                <w:lang w:eastAsia="zh-CN"/>
              </w:rPr>
              <w:t>已通过验收的《高安市动物无害化处理有限公司高安市死禽畜无害化处理BOT项目竣工环境保护验收监测报告》，该项目与本项目均采用相同的生产工艺，根据其验收监测数据</w:t>
            </w:r>
            <w:r>
              <w:rPr>
                <w:rFonts w:hint="eastAsia" w:cs="Times New Roman"/>
                <w:b w:val="0"/>
                <w:bCs w:val="0"/>
                <w:color w:val="auto"/>
                <w:highlight w:val="none"/>
                <w:lang w:eastAsia="zh-CN"/>
              </w:rPr>
              <w:t>，</w:t>
            </w:r>
            <w:r>
              <w:rPr>
                <w:rFonts w:hint="eastAsia" w:cs="Times New Roman"/>
                <w:b w:val="0"/>
                <w:bCs w:val="0"/>
                <w:color w:val="auto"/>
                <w:highlight w:val="none"/>
                <w:lang w:val="en-US" w:eastAsia="zh-CN"/>
              </w:rPr>
              <w:t>废水处理系统</w:t>
            </w:r>
            <w:r>
              <w:rPr>
                <w:rFonts w:hint="default" w:ascii="Times New Roman" w:hAnsi="Times New Roman" w:eastAsia="宋体" w:cs="Times New Roman"/>
                <w:b w:val="0"/>
                <w:bCs w:val="0"/>
                <w:color w:val="auto"/>
                <w:highlight w:val="none"/>
                <w:lang w:eastAsia="zh-CN"/>
              </w:rPr>
              <w:t>进口水质情况见下表</w:t>
            </w:r>
            <w:r>
              <w:rPr>
                <w:rFonts w:hint="eastAsia" w:ascii="Times New Roman" w:hAnsi="Times New Roman" w:eastAsia="宋体" w:cs="Times New Roman"/>
                <w:b w:val="0"/>
                <w:bCs w:val="0"/>
                <w:color w:val="auto"/>
                <w:highlight w:val="none"/>
                <w:lang w:eastAsia="zh-CN"/>
              </w:rPr>
              <w:t>，</w:t>
            </w:r>
            <w:r>
              <w:rPr>
                <w:rFonts w:hint="eastAsia"/>
                <w:lang w:eastAsia="zh-CN"/>
              </w:rPr>
              <w:t>本项目废水产生水质分析见下表。</w:t>
            </w:r>
          </w:p>
          <w:p w14:paraId="3809E58A">
            <w:pPr>
              <w:pStyle w:val="8"/>
              <w:keepNext/>
              <w:keepLines w:val="0"/>
              <w:pageBreakBefore w:val="0"/>
              <w:widowControl w:val="0"/>
              <w:numPr>
                <w:ilvl w:val="5"/>
                <w:numId w:val="0"/>
              </w:numPr>
              <w:kinsoku/>
              <w:wordWrap/>
              <w:overflowPunct w:val="0"/>
              <w:topLinePunct w:val="0"/>
              <w:autoSpaceDE/>
              <w:autoSpaceDN/>
              <w:bidi w:val="0"/>
              <w:adjustRightInd/>
              <w:snapToGrid/>
              <w:ind w:left="0" w:leftChars="0" w:firstLine="0" w:firstLineChars="0"/>
              <w:textAlignment w:val="auto"/>
              <w:rPr>
                <w:rFonts w:hint="eastAsia"/>
              </w:rPr>
            </w:pPr>
            <w:r>
              <w:rPr>
                <w:rFonts w:hint="default" w:ascii="Times New Roman" w:hAnsi="Times New Roman" w:eastAsia="宋体" w:cs="Times New Roman"/>
                <w:b/>
                <w:i w:val="0"/>
                <w:color w:val="auto"/>
                <w:kern w:val="2"/>
                <w:sz w:val="24"/>
                <w:szCs w:val="24"/>
                <w:shd w:val="clear" w:fill="FFFFFF"/>
                <w:lang w:val="en-US" w:eastAsia="zh-CN" w:bidi="ar-SA"/>
              </w:rPr>
              <w:t>表4-19</w:t>
            </w:r>
            <w:r>
              <w:rPr>
                <w:rFonts w:hint="eastAsia"/>
                <w:lang w:eastAsia="zh-CN"/>
              </w:rPr>
              <w:t>全场废水产生水质分析</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1515"/>
              <w:gridCol w:w="1006"/>
              <w:gridCol w:w="935"/>
              <w:gridCol w:w="901"/>
              <w:gridCol w:w="1044"/>
              <w:gridCol w:w="1338"/>
            </w:tblGrid>
            <w:tr w14:paraId="5DD7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gridSpan w:val="2"/>
                  <w:vMerge w:val="restart"/>
                  <w:vAlign w:val="center"/>
                </w:tcPr>
                <w:p w14:paraId="0FA702ED">
                  <w:pPr>
                    <w:pStyle w:val="42"/>
                    <w:bidi w:val="0"/>
                    <w:jc w:val="center"/>
                    <w:rPr>
                      <w:rFonts w:hint="eastAsia"/>
                      <w:lang w:eastAsia="zh-CN"/>
                    </w:rPr>
                  </w:pPr>
                  <w:r>
                    <w:rPr>
                      <w:rFonts w:hint="eastAsia"/>
                      <w:lang w:eastAsia="zh-CN"/>
                    </w:rPr>
                    <w:t>废水种类</w:t>
                  </w:r>
                </w:p>
              </w:tc>
              <w:tc>
                <w:tcPr>
                  <w:tcW w:w="3027" w:type="pct"/>
                  <w:gridSpan w:val="5"/>
                  <w:vAlign w:val="center"/>
                </w:tcPr>
                <w:p w14:paraId="7732C505">
                  <w:pPr>
                    <w:pStyle w:val="42"/>
                    <w:bidi w:val="0"/>
                    <w:jc w:val="center"/>
                    <w:rPr>
                      <w:rFonts w:hint="eastAsia"/>
                      <w:lang w:eastAsia="zh-CN"/>
                    </w:rPr>
                  </w:pPr>
                  <w:r>
                    <w:rPr>
                      <w:rFonts w:hint="eastAsia"/>
                      <w:lang w:eastAsia="zh-CN"/>
                    </w:rPr>
                    <w:t>污染因子</w:t>
                  </w:r>
                </w:p>
              </w:tc>
            </w:tr>
            <w:tr w14:paraId="28B5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gridSpan w:val="2"/>
                  <w:vMerge w:val="continue"/>
                  <w:vAlign w:val="center"/>
                </w:tcPr>
                <w:p w14:paraId="45798243">
                  <w:pPr>
                    <w:pStyle w:val="42"/>
                    <w:bidi w:val="0"/>
                    <w:jc w:val="center"/>
                    <w:rPr>
                      <w:rFonts w:hint="eastAsia"/>
                    </w:rPr>
                  </w:pPr>
                </w:p>
              </w:tc>
              <w:tc>
                <w:tcPr>
                  <w:tcW w:w="583" w:type="pct"/>
                  <w:vAlign w:val="center"/>
                </w:tcPr>
                <w:p w14:paraId="0A9DE93D">
                  <w:pPr>
                    <w:pStyle w:val="42"/>
                    <w:bidi w:val="0"/>
                    <w:jc w:val="center"/>
                    <w:rPr>
                      <w:rFonts w:hint="default"/>
                      <w:lang w:val="en-US" w:eastAsia="zh-CN"/>
                    </w:rPr>
                  </w:pPr>
                  <w:r>
                    <w:rPr>
                      <w:rFonts w:hint="eastAsia"/>
                      <w:lang w:val="en-US" w:eastAsia="zh-CN"/>
                    </w:rPr>
                    <w:t>COD</w:t>
                  </w:r>
                </w:p>
              </w:tc>
              <w:tc>
                <w:tcPr>
                  <w:tcW w:w="542" w:type="pct"/>
                  <w:vAlign w:val="center"/>
                </w:tcPr>
                <w:p w14:paraId="09441639">
                  <w:pPr>
                    <w:pStyle w:val="42"/>
                    <w:bidi w:val="0"/>
                    <w:jc w:val="center"/>
                    <w:rPr>
                      <w:rFonts w:hint="default"/>
                      <w:lang w:val="en-US" w:eastAsia="zh-CN"/>
                    </w:rPr>
                  </w:pPr>
                  <w:r>
                    <w:rPr>
                      <w:rFonts w:hint="eastAsia"/>
                      <w:lang w:val="en-US" w:eastAsia="zh-CN"/>
                    </w:rPr>
                    <w:t>BOD</w:t>
                  </w:r>
                  <w:r>
                    <w:rPr>
                      <w:rFonts w:hint="eastAsia"/>
                      <w:vertAlign w:val="subscript"/>
                      <w:lang w:val="en-US" w:eastAsia="zh-CN"/>
                    </w:rPr>
                    <w:t>5</w:t>
                  </w:r>
                </w:p>
              </w:tc>
              <w:tc>
                <w:tcPr>
                  <w:tcW w:w="522" w:type="pct"/>
                  <w:vAlign w:val="center"/>
                </w:tcPr>
                <w:p w14:paraId="44593793">
                  <w:pPr>
                    <w:pStyle w:val="42"/>
                    <w:bidi w:val="0"/>
                    <w:jc w:val="center"/>
                    <w:rPr>
                      <w:rFonts w:hint="default"/>
                      <w:lang w:val="en-US" w:eastAsia="zh-CN"/>
                    </w:rPr>
                  </w:pPr>
                  <w:r>
                    <w:rPr>
                      <w:rFonts w:hint="eastAsia"/>
                      <w:lang w:val="en-US" w:eastAsia="zh-CN"/>
                    </w:rPr>
                    <w:t>SS</w:t>
                  </w:r>
                </w:p>
              </w:tc>
              <w:tc>
                <w:tcPr>
                  <w:tcW w:w="605" w:type="pct"/>
                  <w:vAlign w:val="center"/>
                </w:tcPr>
                <w:p w14:paraId="15BCD43B">
                  <w:pPr>
                    <w:pStyle w:val="42"/>
                    <w:bidi w:val="0"/>
                    <w:jc w:val="center"/>
                    <w:rPr>
                      <w:rFonts w:hint="default"/>
                      <w:lang w:val="en-US" w:eastAsia="zh-CN"/>
                    </w:rPr>
                  </w:pPr>
                  <w:r>
                    <w:rPr>
                      <w:rFonts w:hint="eastAsia"/>
                      <w:lang w:val="en-US" w:eastAsia="zh-CN"/>
                    </w:rPr>
                    <w:t>NH</w:t>
                  </w:r>
                  <w:r>
                    <w:rPr>
                      <w:rFonts w:hint="eastAsia"/>
                      <w:vertAlign w:val="subscript"/>
                      <w:lang w:val="en-US" w:eastAsia="zh-CN"/>
                    </w:rPr>
                    <w:t>3</w:t>
                  </w:r>
                  <w:r>
                    <w:rPr>
                      <w:rFonts w:hint="eastAsia"/>
                      <w:lang w:val="en-US" w:eastAsia="zh-CN"/>
                    </w:rPr>
                    <w:t>-N</w:t>
                  </w:r>
                </w:p>
              </w:tc>
              <w:tc>
                <w:tcPr>
                  <w:tcW w:w="772" w:type="pct"/>
                  <w:vAlign w:val="center"/>
                </w:tcPr>
                <w:p w14:paraId="3CDD016A">
                  <w:pPr>
                    <w:pStyle w:val="42"/>
                    <w:bidi w:val="0"/>
                    <w:jc w:val="center"/>
                    <w:rPr>
                      <w:rFonts w:hint="eastAsia"/>
                      <w:lang w:val="en-US" w:eastAsia="zh-CN"/>
                    </w:rPr>
                  </w:pPr>
                  <w:r>
                    <w:rPr>
                      <w:rFonts w:hint="eastAsia"/>
                      <w:lang w:val="en-US" w:eastAsia="zh-CN"/>
                    </w:rPr>
                    <w:t>动植物油</w:t>
                  </w:r>
                </w:p>
              </w:tc>
            </w:tr>
            <w:tr w14:paraId="6550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pct"/>
                  <w:vMerge w:val="restart"/>
                  <w:vAlign w:val="center"/>
                </w:tcPr>
                <w:p w14:paraId="30C92B85">
                  <w:pPr>
                    <w:pStyle w:val="42"/>
                    <w:bidi w:val="0"/>
                    <w:jc w:val="center"/>
                    <w:rPr>
                      <w:rFonts w:hint="eastAsia" w:eastAsia="宋体"/>
                      <w:u w:val="single"/>
                      <w:lang w:eastAsia="zh-CN"/>
                    </w:rPr>
                  </w:pPr>
                  <w:r>
                    <w:rPr>
                      <w:rFonts w:hint="eastAsia"/>
                      <w:u w:val="single"/>
                      <w:lang w:eastAsia="zh-CN"/>
                    </w:rPr>
                    <w:t>生活污水（</w:t>
                  </w:r>
                  <w:r>
                    <w:rPr>
                      <w:rFonts w:hint="eastAsia"/>
                      <w:u w:val="single"/>
                      <w:lang w:val="en-US" w:eastAsia="zh-CN"/>
                    </w:rPr>
                    <w:t>288</w:t>
                  </w:r>
                  <w:r>
                    <w:rPr>
                      <w:rFonts w:hint="eastAsia"/>
                      <w:u w:val="single"/>
                    </w:rPr>
                    <w:t>t/a</w:t>
                  </w:r>
                  <w:r>
                    <w:rPr>
                      <w:rFonts w:hint="eastAsia"/>
                      <w:u w:val="single"/>
                      <w:lang w:eastAsia="zh-CN"/>
                    </w:rPr>
                    <w:t>）</w:t>
                  </w:r>
                </w:p>
              </w:tc>
              <w:tc>
                <w:tcPr>
                  <w:tcW w:w="878" w:type="pct"/>
                  <w:vAlign w:val="center"/>
                </w:tcPr>
                <w:p w14:paraId="5B62CFE8">
                  <w:pPr>
                    <w:pStyle w:val="42"/>
                    <w:bidi w:val="0"/>
                    <w:jc w:val="center"/>
                    <w:rPr>
                      <w:rFonts w:hint="eastAsia"/>
                      <w:u w:val="single"/>
                    </w:rPr>
                  </w:pPr>
                  <w:r>
                    <w:rPr>
                      <w:rFonts w:hint="eastAsia"/>
                      <w:u w:val="single"/>
                    </w:rPr>
                    <w:t>产生浓度</w:t>
                  </w:r>
                </w:p>
                <w:p w14:paraId="56FDD87B">
                  <w:pPr>
                    <w:pStyle w:val="42"/>
                    <w:bidi w:val="0"/>
                    <w:ind w:firstLine="0" w:firstLineChars="0"/>
                    <w:jc w:val="center"/>
                    <w:rPr>
                      <w:rFonts w:hint="eastAsia"/>
                      <w:u w:val="single"/>
                    </w:rPr>
                  </w:pPr>
                  <w:r>
                    <w:rPr>
                      <w:rFonts w:hint="eastAsia"/>
                      <w:u w:val="single"/>
                    </w:rPr>
                    <w:t>(mg/L)</w:t>
                  </w:r>
                </w:p>
              </w:tc>
              <w:tc>
                <w:tcPr>
                  <w:tcW w:w="583" w:type="pct"/>
                  <w:vAlign w:val="center"/>
                </w:tcPr>
                <w:p w14:paraId="1EFB1856">
                  <w:pPr>
                    <w:pStyle w:val="42"/>
                    <w:bidi w:val="0"/>
                    <w:jc w:val="center"/>
                    <w:rPr>
                      <w:rFonts w:hint="default" w:eastAsia="宋体"/>
                      <w:u w:val="single"/>
                      <w:lang w:val="en-US" w:eastAsia="zh-CN"/>
                    </w:rPr>
                  </w:pPr>
                  <w:r>
                    <w:rPr>
                      <w:rFonts w:hint="eastAsia"/>
                      <w:u w:val="single"/>
                      <w:lang w:val="en-US" w:eastAsia="zh-CN"/>
                    </w:rPr>
                    <w:t>300</w:t>
                  </w:r>
                </w:p>
              </w:tc>
              <w:tc>
                <w:tcPr>
                  <w:tcW w:w="542" w:type="pct"/>
                  <w:vAlign w:val="center"/>
                </w:tcPr>
                <w:p w14:paraId="45AD8C2A">
                  <w:pPr>
                    <w:pStyle w:val="42"/>
                    <w:bidi w:val="0"/>
                    <w:jc w:val="center"/>
                    <w:rPr>
                      <w:rFonts w:hint="default" w:eastAsia="宋体"/>
                      <w:u w:val="single"/>
                      <w:lang w:val="en-US" w:eastAsia="zh-CN"/>
                    </w:rPr>
                  </w:pPr>
                  <w:r>
                    <w:rPr>
                      <w:rFonts w:hint="eastAsia"/>
                      <w:u w:val="single"/>
                      <w:lang w:val="en-US" w:eastAsia="zh-CN"/>
                    </w:rPr>
                    <w:t>150</w:t>
                  </w:r>
                </w:p>
              </w:tc>
              <w:tc>
                <w:tcPr>
                  <w:tcW w:w="522" w:type="pct"/>
                  <w:vAlign w:val="center"/>
                </w:tcPr>
                <w:p w14:paraId="164BEC7B">
                  <w:pPr>
                    <w:pStyle w:val="42"/>
                    <w:bidi w:val="0"/>
                    <w:jc w:val="center"/>
                    <w:rPr>
                      <w:rFonts w:hint="default" w:eastAsia="宋体"/>
                      <w:u w:val="single"/>
                      <w:lang w:val="en-US" w:eastAsia="zh-CN"/>
                    </w:rPr>
                  </w:pPr>
                  <w:r>
                    <w:rPr>
                      <w:rFonts w:hint="eastAsia"/>
                      <w:u w:val="single"/>
                      <w:lang w:val="en-US" w:eastAsia="zh-CN"/>
                    </w:rPr>
                    <w:t>150</w:t>
                  </w:r>
                </w:p>
              </w:tc>
              <w:tc>
                <w:tcPr>
                  <w:tcW w:w="605" w:type="pct"/>
                  <w:vAlign w:val="center"/>
                </w:tcPr>
                <w:p w14:paraId="0EA6BE17">
                  <w:pPr>
                    <w:pStyle w:val="42"/>
                    <w:bidi w:val="0"/>
                    <w:jc w:val="center"/>
                    <w:rPr>
                      <w:rFonts w:hint="default" w:eastAsia="宋体"/>
                      <w:u w:val="single"/>
                      <w:lang w:val="en-US" w:eastAsia="zh-CN"/>
                    </w:rPr>
                  </w:pPr>
                  <w:r>
                    <w:rPr>
                      <w:rFonts w:hint="eastAsia"/>
                      <w:u w:val="single"/>
                      <w:lang w:val="en-US" w:eastAsia="zh-CN"/>
                    </w:rPr>
                    <w:t>30</w:t>
                  </w:r>
                </w:p>
              </w:tc>
              <w:tc>
                <w:tcPr>
                  <w:tcW w:w="772" w:type="pct"/>
                  <w:vAlign w:val="center"/>
                </w:tcPr>
                <w:p w14:paraId="44D5F9D4">
                  <w:pPr>
                    <w:pStyle w:val="42"/>
                    <w:bidi w:val="0"/>
                    <w:jc w:val="center"/>
                    <w:rPr>
                      <w:rFonts w:hint="default" w:eastAsia="宋体"/>
                      <w:u w:val="single"/>
                      <w:lang w:val="en-US" w:eastAsia="zh-CN"/>
                    </w:rPr>
                  </w:pPr>
                  <w:r>
                    <w:rPr>
                      <w:rFonts w:hint="eastAsia"/>
                      <w:u w:val="single"/>
                      <w:lang w:val="en-US" w:eastAsia="zh-CN"/>
                    </w:rPr>
                    <w:t>40</w:t>
                  </w:r>
                </w:p>
              </w:tc>
            </w:tr>
            <w:tr w14:paraId="213F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pct"/>
                  <w:vMerge w:val="continue"/>
                  <w:vAlign w:val="center"/>
                </w:tcPr>
                <w:p w14:paraId="3FC22AFB">
                  <w:pPr>
                    <w:pStyle w:val="42"/>
                    <w:bidi w:val="0"/>
                    <w:jc w:val="center"/>
                    <w:rPr>
                      <w:rFonts w:hint="eastAsia"/>
                      <w:u w:val="single"/>
                    </w:rPr>
                  </w:pPr>
                </w:p>
              </w:tc>
              <w:tc>
                <w:tcPr>
                  <w:tcW w:w="878" w:type="pct"/>
                  <w:vAlign w:val="center"/>
                </w:tcPr>
                <w:p w14:paraId="41608026">
                  <w:pPr>
                    <w:pStyle w:val="42"/>
                    <w:bidi w:val="0"/>
                    <w:ind w:firstLine="0" w:firstLineChars="0"/>
                    <w:jc w:val="center"/>
                    <w:rPr>
                      <w:rFonts w:hint="eastAsia"/>
                      <w:u w:val="single"/>
                    </w:rPr>
                  </w:pPr>
                  <w:r>
                    <w:rPr>
                      <w:rFonts w:hint="eastAsia"/>
                      <w:u w:val="single"/>
                    </w:rPr>
                    <w:t>产生量(t/a)</w:t>
                  </w:r>
                </w:p>
              </w:tc>
              <w:tc>
                <w:tcPr>
                  <w:tcW w:w="583" w:type="pct"/>
                  <w:vAlign w:val="top"/>
                </w:tcPr>
                <w:p w14:paraId="34849233">
                  <w:pPr>
                    <w:pStyle w:val="42"/>
                    <w:ind w:firstLine="0" w:firstLineChars="0"/>
                    <w:rPr>
                      <w:rFonts w:hint="default"/>
                      <w:u w:val="single"/>
                      <w:lang w:val="en-US"/>
                    </w:rPr>
                  </w:pPr>
                  <w:r>
                    <w:rPr>
                      <w:rFonts w:hint="eastAsia"/>
                      <w:u w:val="single"/>
                      <w:lang w:val="en-US" w:eastAsia="zh-CN"/>
                    </w:rPr>
                    <w:t>0.0864</w:t>
                  </w:r>
                </w:p>
              </w:tc>
              <w:tc>
                <w:tcPr>
                  <w:tcW w:w="542" w:type="pct"/>
                  <w:vAlign w:val="top"/>
                </w:tcPr>
                <w:p w14:paraId="75BF6F8A">
                  <w:pPr>
                    <w:pStyle w:val="42"/>
                    <w:ind w:firstLine="0" w:firstLineChars="0"/>
                    <w:rPr>
                      <w:rFonts w:hint="default"/>
                      <w:u w:val="single"/>
                      <w:lang w:val="en-US"/>
                    </w:rPr>
                  </w:pPr>
                  <w:r>
                    <w:rPr>
                      <w:rFonts w:hint="eastAsia"/>
                      <w:u w:val="single"/>
                      <w:lang w:val="en-US" w:eastAsia="zh-CN"/>
                    </w:rPr>
                    <w:t>0.0432</w:t>
                  </w:r>
                </w:p>
              </w:tc>
              <w:tc>
                <w:tcPr>
                  <w:tcW w:w="522" w:type="pct"/>
                  <w:vAlign w:val="top"/>
                </w:tcPr>
                <w:p w14:paraId="726D85E8">
                  <w:pPr>
                    <w:pStyle w:val="42"/>
                    <w:ind w:firstLine="0" w:firstLineChars="0"/>
                    <w:rPr>
                      <w:rFonts w:hint="default"/>
                      <w:u w:val="single"/>
                      <w:lang w:val="en-US"/>
                    </w:rPr>
                  </w:pPr>
                  <w:r>
                    <w:rPr>
                      <w:rFonts w:hint="eastAsia"/>
                      <w:u w:val="single"/>
                      <w:lang w:val="en-US" w:eastAsia="zh-CN"/>
                    </w:rPr>
                    <w:t>0.0432</w:t>
                  </w:r>
                </w:p>
              </w:tc>
              <w:tc>
                <w:tcPr>
                  <w:tcW w:w="605" w:type="pct"/>
                  <w:vAlign w:val="center"/>
                </w:tcPr>
                <w:p w14:paraId="042BA81B">
                  <w:pPr>
                    <w:pStyle w:val="42"/>
                    <w:bidi w:val="0"/>
                    <w:jc w:val="center"/>
                    <w:rPr>
                      <w:rFonts w:hint="default" w:eastAsia="宋体"/>
                      <w:u w:val="single"/>
                      <w:lang w:val="en-US" w:eastAsia="zh-CN"/>
                    </w:rPr>
                  </w:pPr>
                  <w:r>
                    <w:rPr>
                      <w:rFonts w:hint="eastAsia"/>
                      <w:u w:val="single"/>
                      <w:lang w:val="en-US" w:eastAsia="zh-CN"/>
                    </w:rPr>
                    <w:t>0.0086</w:t>
                  </w:r>
                </w:p>
              </w:tc>
              <w:tc>
                <w:tcPr>
                  <w:tcW w:w="772" w:type="pct"/>
                  <w:vAlign w:val="center"/>
                </w:tcPr>
                <w:p w14:paraId="36E8C0BB">
                  <w:pPr>
                    <w:pStyle w:val="42"/>
                    <w:bidi w:val="0"/>
                    <w:jc w:val="center"/>
                    <w:rPr>
                      <w:rFonts w:hint="default" w:eastAsia="宋体"/>
                      <w:u w:val="single"/>
                      <w:lang w:val="en-US" w:eastAsia="zh-CN"/>
                    </w:rPr>
                  </w:pPr>
                  <w:r>
                    <w:rPr>
                      <w:rFonts w:hint="eastAsia"/>
                      <w:u w:val="single"/>
                      <w:lang w:val="en-US" w:eastAsia="zh-CN"/>
                    </w:rPr>
                    <w:t>0.0115</w:t>
                  </w:r>
                </w:p>
              </w:tc>
            </w:tr>
            <w:tr w14:paraId="07DF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pct"/>
                  <w:vMerge w:val="restart"/>
                  <w:vAlign w:val="center"/>
                </w:tcPr>
                <w:p w14:paraId="5DB07F32">
                  <w:pPr>
                    <w:pStyle w:val="42"/>
                    <w:bidi w:val="0"/>
                    <w:jc w:val="center"/>
                    <w:rPr>
                      <w:rFonts w:hint="eastAsia" w:eastAsia="宋体"/>
                      <w:u w:val="single"/>
                      <w:lang w:eastAsia="zh-CN"/>
                    </w:rPr>
                  </w:pPr>
                  <w:r>
                    <w:rPr>
                      <w:rFonts w:hint="eastAsia"/>
                      <w:u w:val="single"/>
                      <w:lang w:eastAsia="zh-CN"/>
                    </w:rPr>
                    <w:t>混合废水（</w:t>
                  </w:r>
                  <w:r>
                    <w:rPr>
                      <w:rFonts w:hint="eastAsia"/>
                      <w:sz w:val="21"/>
                      <w:szCs w:val="21"/>
                      <w:u w:val="single"/>
                      <w:lang w:val="en-US" w:eastAsia="zh-CN"/>
                    </w:rPr>
                    <w:t>6231.23</w:t>
                  </w:r>
                  <w:r>
                    <w:rPr>
                      <w:rFonts w:hint="eastAsia"/>
                      <w:u w:val="single"/>
                    </w:rPr>
                    <w:t>t/a</w:t>
                  </w:r>
                  <w:r>
                    <w:rPr>
                      <w:rFonts w:hint="eastAsia"/>
                      <w:u w:val="single"/>
                      <w:lang w:eastAsia="zh-CN"/>
                    </w:rPr>
                    <w:t>）</w:t>
                  </w:r>
                </w:p>
              </w:tc>
              <w:tc>
                <w:tcPr>
                  <w:tcW w:w="878" w:type="pct"/>
                  <w:vAlign w:val="center"/>
                </w:tcPr>
                <w:p w14:paraId="7392042B">
                  <w:pPr>
                    <w:pStyle w:val="42"/>
                    <w:bidi w:val="0"/>
                    <w:jc w:val="center"/>
                    <w:rPr>
                      <w:rFonts w:hint="eastAsia"/>
                      <w:u w:val="single"/>
                    </w:rPr>
                  </w:pPr>
                  <w:r>
                    <w:rPr>
                      <w:rFonts w:hint="eastAsia"/>
                      <w:u w:val="single"/>
                    </w:rPr>
                    <w:t>产生浓度</w:t>
                  </w:r>
                </w:p>
                <w:p w14:paraId="5292A84B">
                  <w:pPr>
                    <w:pStyle w:val="42"/>
                    <w:bidi w:val="0"/>
                    <w:ind w:firstLine="0" w:firstLineChars="0"/>
                    <w:jc w:val="center"/>
                    <w:rPr>
                      <w:rFonts w:hint="eastAsia"/>
                      <w:u w:val="single"/>
                    </w:rPr>
                  </w:pPr>
                  <w:r>
                    <w:rPr>
                      <w:rFonts w:hint="eastAsia"/>
                      <w:u w:val="single"/>
                    </w:rPr>
                    <w:t>(mg/L)</w:t>
                  </w:r>
                </w:p>
              </w:tc>
              <w:tc>
                <w:tcPr>
                  <w:tcW w:w="1004" w:type="dxa"/>
                  <w:vAlign w:val="center"/>
                </w:tcPr>
                <w:p w14:paraId="58948DA2">
                  <w:pPr>
                    <w:pStyle w:val="62"/>
                    <w:keepNext w:val="0"/>
                    <w:keepLines w:val="0"/>
                    <w:suppressLineNumbers w:val="0"/>
                    <w:bidi w:val="0"/>
                    <w:spacing w:before="0" w:beforeAutospacing="0" w:after="0" w:afterAutospacing="0"/>
                    <w:ind w:left="0" w:leftChars="0" w:right="0" w:rightChars="0" w:firstLine="0" w:firstLineChars="0"/>
                    <w:rPr>
                      <w:rFonts w:hint="default" w:eastAsia="宋体"/>
                      <w:u w:val="single"/>
                      <w:lang w:val="en-US" w:eastAsia="zh-CN"/>
                    </w:rPr>
                  </w:pPr>
                  <w:r>
                    <w:rPr>
                      <w:rFonts w:hint="eastAsia" w:cs="Times New Roman"/>
                      <w:color w:val="auto"/>
                      <w:highlight w:val="none"/>
                      <w:u w:val="single"/>
                      <w:lang w:val="en-US" w:eastAsia="zh-CN"/>
                    </w:rPr>
                    <w:t>4371.25</w:t>
                  </w:r>
                </w:p>
              </w:tc>
              <w:tc>
                <w:tcPr>
                  <w:tcW w:w="934" w:type="dxa"/>
                  <w:vAlign w:val="center"/>
                </w:tcPr>
                <w:p w14:paraId="19050C45">
                  <w:pPr>
                    <w:pStyle w:val="62"/>
                    <w:keepNext w:val="0"/>
                    <w:keepLines w:val="0"/>
                    <w:suppressLineNumbers w:val="0"/>
                    <w:bidi w:val="0"/>
                    <w:spacing w:before="0" w:beforeAutospacing="0" w:after="0" w:afterAutospacing="0"/>
                    <w:ind w:left="0" w:leftChars="0" w:right="0" w:rightChars="0" w:firstLine="0" w:firstLineChars="0"/>
                    <w:rPr>
                      <w:rFonts w:hint="default" w:eastAsia="宋体"/>
                      <w:u w:val="single"/>
                      <w:lang w:val="en-US" w:eastAsia="zh-CN"/>
                    </w:rPr>
                  </w:pPr>
                  <w:r>
                    <w:rPr>
                      <w:rFonts w:hint="eastAsia" w:cs="Times New Roman"/>
                      <w:color w:val="auto"/>
                      <w:highlight w:val="none"/>
                      <w:u w:val="single"/>
                      <w:lang w:val="en-US" w:eastAsia="zh-CN"/>
                    </w:rPr>
                    <w:t>1025.75</w:t>
                  </w:r>
                </w:p>
              </w:tc>
              <w:tc>
                <w:tcPr>
                  <w:tcW w:w="899" w:type="dxa"/>
                  <w:vAlign w:val="center"/>
                </w:tcPr>
                <w:p w14:paraId="2EAE397E">
                  <w:pPr>
                    <w:pStyle w:val="62"/>
                    <w:keepNext w:val="0"/>
                    <w:keepLines w:val="0"/>
                    <w:suppressLineNumbers w:val="0"/>
                    <w:bidi w:val="0"/>
                    <w:spacing w:before="0" w:beforeAutospacing="0" w:after="0" w:afterAutospacing="0"/>
                    <w:ind w:left="0" w:leftChars="0" w:right="0" w:rightChars="0" w:firstLine="0" w:firstLineChars="0"/>
                    <w:rPr>
                      <w:rFonts w:hint="default" w:eastAsia="宋体"/>
                      <w:u w:val="single"/>
                      <w:lang w:val="en-US" w:eastAsia="zh-CN"/>
                    </w:rPr>
                  </w:pPr>
                  <w:r>
                    <w:rPr>
                      <w:rFonts w:hint="eastAsia" w:cs="Times New Roman"/>
                      <w:color w:val="auto"/>
                      <w:highlight w:val="none"/>
                      <w:u w:val="single"/>
                      <w:lang w:val="en-US" w:eastAsia="zh-CN"/>
                    </w:rPr>
                    <w:t>476.75</w:t>
                  </w:r>
                </w:p>
              </w:tc>
              <w:tc>
                <w:tcPr>
                  <w:tcW w:w="1042" w:type="dxa"/>
                  <w:vAlign w:val="center"/>
                </w:tcPr>
                <w:p w14:paraId="04C9C4A2">
                  <w:pPr>
                    <w:pStyle w:val="62"/>
                    <w:keepNext w:val="0"/>
                    <w:keepLines w:val="0"/>
                    <w:suppressLineNumbers w:val="0"/>
                    <w:bidi w:val="0"/>
                    <w:spacing w:before="0" w:beforeAutospacing="0" w:after="0" w:afterAutospacing="0"/>
                    <w:ind w:left="0" w:leftChars="0" w:right="0" w:rightChars="0" w:firstLine="0" w:firstLineChars="0"/>
                    <w:rPr>
                      <w:rFonts w:hint="default" w:eastAsia="宋体"/>
                      <w:u w:val="single"/>
                      <w:lang w:val="en-US" w:eastAsia="zh-CN"/>
                    </w:rPr>
                  </w:pPr>
                  <w:r>
                    <w:rPr>
                      <w:rFonts w:hint="eastAsia" w:cs="Times New Roman"/>
                      <w:color w:val="auto"/>
                      <w:highlight w:val="none"/>
                      <w:u w:val="single"/>
                      <w:lang w:val="en-US" w:eastAsia="zh-CN"/>
                    </w:rPr>
                    <w:t>83.15</w:t>
                  </w:r>
                </w:p>
              </w:tc>
              <w:tc>
                <w:tcPr>
                  <w:tcW w:w="772" w:type="pct"/>
                  <w:vAlign w:val="center"/>
                </w:tcPr>
                <w:p w14:paraId="14E71A04">
                  <w:pPr>
                    <w:pStyle w:val="42"/>
                    <w:bidi w:val="0"/>
                    <w:jc w:val="center"/>
                    <w:rPr>
                      <w:rFonts w:hint="default" w:eastAsia="宋体"/>
                      <w:u w:val="single"/>
                      <w:lang w:val="en-US" w:eastAsia="zh-CN"/>
                    </w:rPr>
                  </w:pPr>
                  <w:r>
                    <w:rPr>
                      <w:rFonts w:hint="eastAsia"/>
                      <w:u w:val="single"/>
                      <w:lang w:val="en-US" w:eastAsia="zh-CN"/>
                    </w:rPr>
                    <w:t>12.825</w:t>
                  </w:r>
                </w:p>
              </w:tc>
            </w:tr>
            <w:tr w14:paraId="2673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pct"/>
                  <w:vMerge w:val="continue"/>
                  <w:vAlign w:val="center"/>
                </w:tcPr>
                <w:p w14:paraId="4B1D71FD">
                  <w:pPr>
                    <w:pStyle w:val="42"/>
                    <w:bidi w:val="0"/>
                    <w:jc w:val="center"/>
                    <w:rPr>
                      <w:rFonts w:hint="eastAsia"/>
                      <w:u w:val="single"/>
                    </w:rPr>
                  </w:pPr>
                </w:p>
              </w:tc>
              <w:tc>
                <w:tcPr>
                  <w:tcW w:w="878" w:type="pct"/>
                  <w:vAlign w:val="center"/>
                </w:tcPr>
                <w:p w14:paraId="4F3D1311">
                  <w:pPr>
                    <w:pStyle w:val="42"/>
                    <w:bidi w:val="0"/>
                    <w:ind w:firstLine="0" w:firstLineChars="0"/>
                    <w:jc w:val="center"/>
                    <w:rPr>
                      <w:rFonts w:hint="eastAsia"/>
                      <w:u w:val="single"/>
                    </w:rPr>
                  </w:pPr>
                  <w:r>
                    <w:rPr>
                      <w:rFonts w:hint="eastAsia"/>
                      <w:u w:val="single"/>
                    </w:rPr>
                    <w:t>产生量(t/a)</w:t>
                  </w:r>
                </w:p>
              </w:tc>
              <w:tc>
                <w:tcPr>
                  <w:tcW w:w="1003" w:type="dxa"/>
                  <w:vAlign w:val="center"/>
                </w:tcPr>
                <w:p w14:paraId="06D48BC8">
                  <w:pPr>
                    <w:pStyle w:val="62"/>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highlight w:val="none"/>
                      <w:u w:val="single"/>
                      <w:lang w:val="en-US" w:eastAsia="zh-CN"/>
                    </w:rPr>
                  </w:pPr>
                  <w:r>
                    <w:rPr>
                      <w:rFonts w:hint="eastAsia" w:cs="Times New Roman"/>
                      <w:color w:val="auto"/>
                      <w:highlight w:val="none"/>
                      <w:u w:val="single"/>
                      <w:lang w:val="en-US" w:eastAsia="zh-CN"/>
                    </w:rPr>
                    <w:t>27.238</w:t>
                  </w:r>
                </w:p>
              </w:tc>
              <w:tc>
                <w:tcPr>
                  <w:tcW w:w="933" w:type="dxa"/>
                  <w:vAlign w:val="center"/>
                </w:tcPr>
                <w:p w14:paraId="5CFE390D">
                  <w:pPr>
                    <w:pStyle w:val="62"/>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highlight w:val="none"/>
                      <w:u w:val="single"/>
                      <w:lang w:val="en-US" w:eastAsia="zh-CN"/>
                    </w:rPr>
                  </w:pPr>
                  <w:r>
                    <w:rPr>
                      <w:rFonts w:hint="eastAsia" w:cs="Times New Roman"/>
                      <w:color w:val="auto"/>
                      <w:highlight w:val="none"/>
                      <w:u w:val="single"/>
                      <w:lang w:val="en-US" w:eastAsia="zh-CN"/>
                    </w:rPr>
                    <w:t>6.39</w:t>
                  </w:r>
                </w:p>
              </w:tc>
              <w:tc>
                <w:tcPr>
                  <w:tcW w:w="898" w:type="dxa"/>
                  <w:vAlign w:val="center"/>
                </w:tcPr>
                <w:p w14:paraId="41B3308E">
                  <w:pPr>
                    <w:pStyle w:val="62"/>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highlight w:val="none"/>
                      <w:u w:val="single"/>
                      <w:lang w:val="en-US" w:eastAsia="zh-CN"/>
                    </w:rPr>
                  </w:pPr>
                  <w:r>
                    <w:rPr>
                      <w:rFonts w:hint="eastAsia" w:cs="Times New Roman"/>
                      <w:color w:val="auto"/>
                      <w:highlight w:val="none"/>
                      <w:u w:val="single"/>
                      <w:lang w:val="en-US" w:eastAsia="zh-CN"/>
                    </w:rPr>
                    <w:t>2.97</w:t>
                  </w:r>
                </w:p>
              </w:tc>
              <w:tc>
                <w:tcPr>
                  <w:tcW w:w="1041" w:type="dxa"/>
                  <w:vAlign w:val="center"/>
                </w:tcPr>
                <w:p w14:paraId="513F04AB">
                  <w:pPr>
                    <w:pStyle w:val="62"/>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highlight w:val="none"/>
                      <w:u w:val="single"/>
                      <w:lang w:val="en-US" w:eastAsia="zh-CN"/>
                    </w:rPr>
                  </w:pPr>
                  <w:r>
                    <w:rPr>
                      <w:rFonts w:hint="eastAsia" w:cs="Times New Roman"/>
                      <w:color w:val="auto"/>
                      <w:highlight w:val="none"/>
                      <w:u w:val="single"/>
                      <w:lang w:val="en-US" w:eastAsia="zh-CN"/>
                    </w:rPr>
                    <w:t>0.52</w:t>
                  </w:r>
                </w:p>
              </w:tc>
              <w:tc>
                <w:tcPr>
                  <w:tcW w:w="1334" w:type="dxa"/>
                  <w:vAlign w:val="center"/>
                </w:tcPr>
                <w:p w14:paraId="74999E78">
                  <w:pPr>
                    <w:pStyle w:val="62"/>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highlight w:val="none"/>
                      <w:u w:val="single"/>
                      <w:lang w:val="en-US" w:eastAsia="zh-CN"/>
                    </w:rPr>
                  </w:pPr>
                  <w:r>
                    <w:rPr>
                      <w:rFonts w:hint="eastAsia" w:cs="Times New Roman"/>
                      <w:color w:val="auto"/>
                      <w:highlight w:val="none"/>
                      <w:u w:val="single"/>
                      <w:lang w:val="en-US" w:eastAsia="zh-CN"/>
                    </w:rPr>
                    <w:t>0.08</w:t>
                  </w:r>
                </w:p>
              </w:tc>
            </w:tr>
          </w:tbl>
          <w:p w14:paraId="4E83BB05">
            <w:pPr>
              <w:ind w:firstLine="480"/>
              <w:rPr>
                <w:rFonts w:hint="default" w:eastAsia="宋体"/>
                <w:lang w:val="en-US" w:eastAsia="zh-CN"/>
              </w:rPr>
            </w:pPr>
            <w:r>
              <w:rPr>
                <w:rFonts w:hint="eastAsia"/>
              </w:rPr>
              <w:t>化制冷凝水排入地埋式暂存罐，自然冷却至30</w:t>
            </w:r>
            <w:r>
              <w:rPr>
                <w:rFonts w:hint="eastAsia"/>
                <w:lang w:eastAsia="zh-CN"/>
              </w:rPr>
              <w:t>℃</w:t>
            </w:r>
            <w:r>
              <w:rPr>
                <w:rFonts w:hint="eastAsia"/>
              </w:rPr>
              <w:t>以下</w:t>
            </w:r>
            <w:r>
              <w:rPr>
                <w:rFonts w:hint="eastAsia"/>
                <w:lang w:eastAsia="zh-CN"/>
              </w:rPr>
              <w:t>；</w:t>
            </w:r>
            <w:r>
              <w:rPr>
                <w:rFonts w:hint="eastAsia"/>
              </w:rPr>
              <w:t>车辆清洗废水和车间冲洗废水收集后汇入收集罐中，加入次氯酸钠消毒</w:t>
            </w:r>
            <w:r>
              <w:rPr>
                <w:rFonts w:hint="eastAsia"/>
                <w:lang w:eastAsia="zh-CN"/>
              </w:rPr>
              <w:t>；</w:t>
            </w:r>
            <w:r>
              <w:rPr>
                <w:rFonts w:hint="eastAsia"/>
              </w:rPr>
              <w:t>生活污水经化粪池预处理，上述废水收集后汇同喷淋废水、软水制备产生的废水进入黑膜厌氧池，在黑膜厌氧池内添加菌种和秸秆粉末，经不低于90天的厌氧发酵后，制成沼液制成沼液进行厂内草坪、厂内树林</w:t>
            </w:r>
            <w:r>
              <w:rPr>
                <w:rFonts w:hint="eastAsia"/>
                <w:lang w:eastAsia="zh-CN"/>
              </w:rPr>
              <w:t>及周边田地、</w:t>
            </w:r>
            <w:r>
              <w:rPr>
                <w:rFonts w:hint="eastAsia"/>
                <w:u w:val="single"/>
                <w:lang w:eastAsia="zh-CN"/>
              </w:rPr>
              <w:t>柑橘林</w:t>
            </w:r>
            <w:r>
              <w:rPr>
                <w:rFonts w:hint="eastAsia"/>
                <w:u w:val="single"/>
              </w:rPr>
              <w:t>灌溉。</w:t>
            </w:r>
            <w:r>
              <w:rPr>
                <w:rFonts w:hint="eastAsia"/>
                <w:u w:val="single"/>
                <w:lang w:eastAsia="zh-CN"/>
              </w:rPr>
              <w:t>详见附件</w:t>
            </w:r>
            <w:r>
              <w:rPr>
                <w:rFonts w:hint="eastAsia"/>
                <w:u w:val="single"/>
                <w:lang w:val="en-US" w:eastAsia="zh-CN"/>
              </w:rPr>
              <w:t>7。</w:t>
            </w:r>
          </w:p>
          <w:p w14:paraId="4B7E47C0">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4.6.3、</w:t>
            </w:r>
            <w:r>
              <w:rPr>
                <w:rFonts w:hint="eastAsia"/>
              </w:rPr>
              <w:t>废水处理环保设施可行性分析</w:t>
            </w:r>
          </w:p>
          <w:p w14:paraId="146784CE">
            <w:pPr>
              <w:pStyle w:val="7"/>
              <w:numPr>
                <w:ilvl w:val="4"/>
                <w:numId w:val="0"/>
              </w:numPr>
              <w:bidi w:val="0"/>
              <w:ind w:left="0" w:leftChars="0" w:firstLine="480" w:firstLineChars="200"/>
              <w:rPr>
                <w:rFonts w:hint="eastAsia"/>
                <w:lang w:eastAsia="zh-CN"/>
              </w:rPr>
            </w:pPr>
            <w:r>
              <w:rPr>
                <w:rFonts w:hint="default" w:ascii="Times New Roman" w:hAnsi="Times New Roman" w:eastAsia="宋体" w:cs="Times New Roman"/>
                <w:b/>
                <w:i w:val="0"/>
                <w:kern w:val="2"/>
                <w:sz w:val="24"/>
                <w:szCs w:val="24"/>
                <w:lang w:val="en-US" w:eastAsia="zh-CN" w:bidi="ar-SA"/>
              </w:rPr>
              <w:t>（1）</w:t>
            </w:r>
            <w:r>
              <w:rPr>
                <w:rFonts w:hint="eastAsia"/>
                <w:lang w:eastAsia="zh-CN"/>
              </w:rPr>
              <w:t>化粪池</w:t>
            </w:r>
          </w:p>
          <w:p w14:paraId="46936186">
            <w:pPr>
              <w:ind w:firstLine="480"/>
              <w:rPr>
                <w:rFonts w:hint="eastAsia"/>
              </w:rPr>
            </w:pPr>
            <w:r>
              <w:rPr>
                <w:rFonts w:hint="eastAsia"/>
              </w:rPr>
              <w:t>化粪池是一种利用沉淀和厌氧发酵的原理，去除生活污水中悬浮性有机物的处理设施，属于初级的过渡性生活处理构筑物。污水进入化粪池经过12-24h的沉淀，可去除</w:t>
            </w:r>
            <w:r>
              <w:t>6</w:t>
            </w:r>
            <w:r>
              <w:rPr>
                <w:rFonts w:hint="eastAsia"/>
              </w:rPr>
              <w:t>0%的悬浮物。沉淀下来的污泥经过厌氧发酵分解，使污泥中的有机物分解成稳定的无机物，易腐败的生污泥转化为稳定的熟污泥，改变了污泥的结构，降低了污泥的含水率</w:t>
            </w:r>
            <w:r>
              <w:rPr>
                <w:rFonts w:hint="eastAsia"/>
                <w:lang w:eastAsia="zh-CN"/>
              </w:rPr>
              <w:t>，</w:t>
            </w:r>
            <w:r>
              <w:rPr>
                <w:rFonts w:hint="eastAsia"/>
              </w:rPr>
              <w:t>生活污水经厂区化粪池</w:t>
            </w:r>
            <w:r>
              <w:rPr>
                <w:rFonts w:hint="eastAsia"/>
                <w:lang w:eastAsia="zh-CN"/>
              </w:rPr>
              <w:t>预</w:t>
            </w:r>
            <w:r>
              <w:rPr>
                <w:rFonts w:hint="eastAsia"/>
              </w:rPr>
              <w:t>处理后</w:t>
            </w:r>
            <w:r>
              <w:rPr>
                <w:rFonts w:hint="eastAsia"/>
                <w:lang w:eastAsia="zh-CN"/>
              </w:rPr>
              <w:t>排入黑膜厌氧池</w:t>
            </w:r>
            <w:r>
              <w:rPr>
                <w:rFonts w:hint="eastAsia"/>
              </w:rPr>
              <w:t>。</w:t>
            </w:r>
          </w:p>
          <w:p w14:paraId="0D604991">
            <w:pPr>
              <w:pStyle w:val="12"/>
              <w:rPr>
                <w:rFonts w:hint="eastAsia"/>
                <w:lang w:eastAsia="zh-CN"/>
              </w:rPr>
            </w:pPr>
            <w:r>
              <w:rPr>
                <w:rFonts w:hint="eastAsia"/>
              </w:rPr>
              <w:t>项目生活污水主要为员工如厕、洗手产生的废水，经化粪后具有一定的农肥效力，且不含重金属离子，不含毒性物质，对土壤和植物影响不大。化粪池为《村镇生活污染防治最佳可行技术指南（试行）》中列明的可行性技术，本项目采取的生活污水处理措施可行，</w:t>
            </w:r>
            <w:r>
              <w:rPr>
                <w:rFonts w:hint="eastAsia"/>
                <w:u w:val="single"/>
              </w:rPr>
              <w:t>可长期稳定达标排放。</w:t>
            </w:r>
          </w:p>
          <w:p w14:paraId="1F11242E">
            <w:pPr>
              <w:pStyle w:val="7"/>
              <w:numPr>
                <w:ilvl w:val="4"/>
                <w:numId w:val="0"/>
              </w:numPr>
              <w:bidi w:val="0"/>
              <w:ind w:left="0" w:leftChars="0" w:firstLine="480" w:firstLineChars="200"/>
            </w:pPr>
            <w:r>
              <w:rPr>
                <w:rFonts w:hint="default" w:ascii="Times New Roman" w:hAnsi="Times New Roman" w:eastAsia="宋体" w:cs="Times New Roman"/>
                <w:b/>
                <w:i w:val="0"/>
                <w:kern w:val="2"/>
                <w:sz w:val="24"/>
                <w:szCs w:val="24"/>
                <w:lang w:val="en-US" w:eastAsia="zh-CN" w:bidi="ar-SA"/>
              </w:rPr>
              <w:t>（2）</w:t>
            </w:r>
            <w:r>
              <w:rPr>
                <w:rFonts w:hint="eastAsia"/>
                <w:lang w:eastAsia="zh-CN"/>
              </w:rPr>
              <w:t>黑膜厌氧池</w:t>
            </w:r>
          </w:p>
          <w:p w14:paraId="6CB9AFC7">
            <w:pPr>
              <w:autoSpaceDE/>
              <w:autoSpaceDN/>
              <w:spacing w:line="360" w:lineRule="auto"/>
              <w:ind w:firstLine="480"/>
              <w:jc w:val="both"/>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bidi="ar-SA"/>
              </w:rPr>
              <w:t>污水在封闭池中进行厌氧消化，厌氧是在空气缺乏的条件下，污水中的污染物被厌氧菌在厌氧条件下分解产生甲烷和二氧化碳。本项目为沼气厌氧发酵，参与生化反应的氧都是来自于水、有机物、硝酸盐或被分解的亚硝酸盐。厌氧消化的优点是污泥产生量少，操作简单，残余物可作肥料，投资较少。</w:t>
            </w:r>
          </w:p>
          <w:p w14:paraId="5FAA6F3A">
            <w:pPr>
              <w:autoSpaceDE/>
              <w:autoSpaceDN/>
              <w:spacing w:line="360" w:lineRule="auto"/>
              <w:ind w:firstLine="480"/>
              <w:jc w:val="both"/>
              <w:rPr>
                <w:rFonts w:hint="eastAsia"/>
                <w:highlight w:val="none"/>
                <w:lang w:eastAsia="zh-CN"/>
              </w:rPr>
            </w:pPr>
            <w:r>
              <w:rPr>
                <w:rFonts w:hint="eastAsia"/>
                <w:highlight w:val="none"/>
                <w:lang w:eastAsia="zh-CN"/>
              </w:rPr>
              <w:t>根据工程分析，本项目废水日产量为</w:t>
            </w:r>
            <w:r>
              <w:rPr>
                <w:rFonts w:hint="eastAsia"/>
                <w:highlight w:val="none"/>
                <w:lang w:val="en-US" w:eastAsia="zh-CN"/>
              </w:rPr>
              <w:t>45.19</w:t>
            </w:r>
            <w:r>
              <w:rPr>
                <w:rFonts w:hint="eastAsia"/>
                <w:highlight w:val="none"/>
                <w:lang w:eastAsia="zh-CN"/>
              </w:rPr>
              <w:t>t/d，设计废水发酵时间不低于90天。本项目使用厂区现有黑膜厌氧池处理，黑膜厌氧池设计为2格，容积约</w:t>
            </w:r>
            <w:r>
              <w:rPr>
                <w:rFonts w:hint="eastAsia"/>
                <w:highlight w:val="none"/>
                <w:lang w:val="en-US" w:eastAsia="zh-CN"/>
              </w:rPr>
              <w:t>4440.24</w:t>
            </w:r>
            <w:r>
              <w:rPr>
                <w:rFonts w:hint="eastAsia"/>
                <w:highlight w:val="none"/>
                <w:lang w:eastAsia="zh-CN"/>
              </w:rPr>
              <w:t>m</w:t>
            </w:r>
            <w:r>
              <w:rPr>
                <w:rFonts w:hint="eastAsia"/>
                <w:highlight w:val="none"/>
                <w:vertAlign w:val="superscript"/>
                <w:lang w:eastAsia="zh-CN"/>
              </w:rPr>
              <w:t>3</w:t>
            </w:r>
            <w:r>
              <w:rPr>
                <w:rFonts w:hint="eastAsia"/>
                <w:highlight w:val="none"/>
                <w:lang w:eastAsia="zh-CN"/>
              </w:rPr>
              <w:t>/个，分为发酵区和沼液暂存区。</w:t>
            </w:r>
          </w:p>
          <w:p w14:paraId="783EC549">
            <w:pPr>
              <w:autoSpaceDE/>
              <w:autoSpaceDN/>
              <w:spacing w:line="360" w:lineRule="auto"/>
              <w:ind w:firstLine="480"/>
              <w:jc w:val="both"/>
              <w:rPr>
                <w:rFonts w:hint="eastAsia"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bidi="ar-SA"/>
              </w:rPr>
              <w:t>每个区为独立池，设计最大存水量为</w:t>
            </w:r>
            <w:r>
              <w:rPr>
                <w:rFonts w:hint="eastAsia" w:ascii="Times New Roman" w:hAnsi="Times New Roman" w:cs="Times New Roman"/>
                <w:kern w:val="2"/>
                <w:sz w:val="24"/>
                <w:szCs w:val="24"/>
                <w:lang w:val="en-US" w:eastAsia="zh-CN" w:bidi="ar-SA"/>
              </w:rPr>
              <w:t>9</w:t>
            </w:r>
            <w:r>
              <w:rPr>
                <w:rFonts w:hint="eastAsia" w:ascii="Times New Roman" w:hAnsi="Times New Roman" w:cs="Times New Roman"/>
                <w:kern w:val="2"/>
                <w:sz w:val="24"/>
                <w:szCs w:val="24"/>
                <w:lang w:val="en-US" w:bidi="ar-SA"/>
              </w:rPr>
              <w:t>0个生产日的废水，即</w:t>
            </w:r>
            <w:r>
              <w:rPr>
                <w:rFonts w:hint="eastAsia" w:cs="Times New Roman"/>
                <w:kern w:val="2"/>
                <w:sz w:val="24"/>
                <w:szCs w:val="24"/>
                <w:lang w:val="en-US" w:eastAsia="zh-CN" w:bidi="ar-SA"/>
              </w:rPr>
              <w:t>4067.1</w:t>
            </w:r>
            <w:r>
              <w:rPr>
                <w:rFonts w:hint="eastAsia" w:ascii="Times New Roman" w:hAnsi="Times New Roman" w:cs="Times New Roman"/>
                <w:kern w:val="2"/>
                <w:sz w:val="24"/>
                <w:szCs w:val="24"/>
                <w:lang w:val="en-US" w:bidi="ar-SA"/>
              </w:rPr>
              <w:t>m</w:t>
            </w:r>
            <w:r>
              <w:rPr>
                <w:rFonts w:hint="eastAsia" w:ascii="Times New Roman" w:hAnsi="Times New Roman" w:cs="Times New Roman"/>
                <w:kern w:val="2"/>
                <w:sz w:val="24"/>
                <w:szCs w:val="24"/>
                <w:vertAlign w:val="superscript"/>
                <w:lang w:val="en-US" w:bidi="ar-SA"/>
              </w:rPr>
              <w:t>3</w:t>
            </w:r>
            <w:r>
              <w:rPr>
                <w:rFonts w:hint="eastAsia" w:ascii="Times New Roman" w:hAnsi="Times New Roman" w:cs="Times New Roman"/>
                <w:kern w:val="2"/>
                <w:sz w:val="24"/>
                <w:szCs w:val="24"/>
                <w:lang w:val="en-US" w:bidi="ar-SA"/>
              </w:rPr>
              <w:t>。</w:t>
            </w:r>
            <w:r>
              <w:rPr>
                <w:rFonts w:hint="eastAsia" w:ascii="Times New Roman" w:hAnsi="Times New Roman" w:cs="Times New Roman"/>
                <w:kern w:val="2"/>
                <w:sz w:val="24"/>
                <w:szCs w:val="24"/>
                <w:lang w:val="en-US" w:eastAsia="zh-CN" w:bidi="ar-SA"/>
              </w:rPr>
              <w:t>暂</w:t>
            </w:r>
            <w:r>
              <w:rPr>
                <w:rFonts w:hint="eastAsia" w:ascii="Times New Roman" w:hAnsi="Times New Roman" w:cs="Times New Roman"/>
                <w:kern w:val="2"/>
                <w:sz w:val="24"/>
                <w:szCs w:val="24"/>
                <w:lang w:val="en-US" w:bidi="ar-SA"/>
              </w:rPr>
              <w:t>存</w:t>
            </w:r>
            <w:r>
              <w:rPr>
                <w:rFonts w:hint="eastAsia" w:ascii="Times New Roman" w:hAnsi="Times New Roman" w:cs="Times New Roman"/>
                <w:kern w:val="2"/>
                <w:sz w:val="24"/>
                <w:szCs w:val="24"/>
                <w:lang w:val="en-US" w:eastAsia="zh-CN" w:bidi="ar-SA"/>
              </w:rPr>
              <w:t>区</w:t>
            </w:r>
            <w:r>
              <w:rPr>
                <w:rFonts w:hint="eastAsia" w:ascii="Times New Roman" w:hAnsi="Times New Roman" w:cs="Times New Roman"/>
                <w:kern w:val="2"/>
                <w:sz w:val="24"/>
                <w:szCs w:val="24"/>
                <w:lang w:val="en-US" w:bidi="ar-SA"/>
              </w:rPr>
              <w:t>废水满</w:t>
            </w:r>
            <w:r>
              <w:rPr>
                <w:rFonts w:hint="eastAsia" w:ascii="Times New Roman" w:hAnsi="Times New Roman" w:cs="Times New Roman"/>
                <w:kern w:val="2"/>
                <w:sz w:val="24"/>
                <w:szCs w:val="24"/>
                <w:lang w:val="en-US" w:eastAsia="zh-CN" w:bidi="ar-SA"/>
              </w:rPr>
              <w:t>三</w:t>
            </w:r>
            <w:r>
              <w:rPr>
                <w:rFonts w:hint="eastAsia" w:ascii="Times New Roman" w:hAnsi="Times New Roman" w:cs="Times New Roman"/>
                <w:kern w:val="2"/>
                <w:sz w:val="24"/>
                <w:szCs w:val="24"/>
                <w:lang w:val="en-US" w:bidi="ar-SA"/>
              </w:rPr>
              <w:t>个月后，泵入</w:t>
            </w:r>
            <w:r>
              <w:rPr>
                <w:rFonts w:hint="eastAsia" w:ascii="Times New Roman" w:hAnsi="Times New Roman" w:cs="Times New Roman"/>
                <w:kern w:val="2"/>
                <w:sz w:val="24"/>
                <w:szCs w:val="24"/>
                <w:lang w:val="en-US" w:eastAsia="zh-CN" w:bidi="ar-SA"/>
              </w:rPr>
              <w:t>发酵</w:t>
            </w:r>
            <w:r>
              <w:rPr>
                <w:rFonts w:hint="eastAsia" w:ascii="Times New Roman" w:hAnsi="Times New Roman" w:cs="Times New Roman"/>
                <w:kern w:val="2"/>
                <w:sz w:val="24"/>
                <w:szCs w:val="24"/>
                <w:lang w:val="en-US" w:bidi="ar-SA"/>
              </w:rPr>
              <w:t>区</w:t>
            </w:r>
            <w:r>
              <w:rPr>
                <w:rFonts w:hint="eastAsia" w:ascii="Times New Roman" w:hAnsi="Times New Roman" w:cs="Times New Roman"/>
                <w:kern w:val="2"/>
                <w:sz w:val="24"/>
                <w:szCs w:val="24"/>
                <w:lang w:val="en-US" w:eastAsia="zh-CN" w:bidi="ar-SA"/>
              </w:rPr>
              <w:t>，</w:t>
            </w:r>
            <w:r>
              <w:rPr>
                <w:rFonts w:hint="eastAsia" w:ascii="Times New Roman" w:hAnsi="Times New Roman" w:cs="Times New Roman"/>
                <w:kern w:val="2"/>
                <w:sz w:val="24"/>
                <w:szCs w:val="24"/>
                <w:lang w:val="en-US" w:bidi="ar-SA"/>
              </w:rPr>
              <w:t>而空出来的</w:t>
            </w:r>
            <w:r>
              <w:rPr>
                <w:rFonts w:hint="eastAsia" w:ascii="Times New Roman" w:hAnsi="Times New Roman" w:cs="Times New Roman"/>
                <w:kern w:val="2"/>
                <w:sz w:val="24"/>
                <w:szCs w:val="24"/>
                <w:lang w:val="en-US" w:eastAsia="zh-CN" w:bidi="ar-SA"/>
              </w:rPr>
              <w:t>暂存</w:t>
            </w:r>
            <w:r>
              <w:rPr>
                <w:rFonts w:hint="eastAsia" w:ascii="Times New Roman" w:hAnsi="Times New Roman" w:cs="Times New Roman"/>
                <w:kern w:val="2"/>
                <w:sz w:val="24"/>
                <w:szCs w:val="24"/>
                <w:lang w:val="en-US" w:bidi="ar-SA"/>
              </w:rPr>
              <w:t>区继续收纳生产废水</w:t>
            </w:r>
            <w:r>
              <w:rPr>
                <w:rFonts w:hint="eastAsia" w:ascii="Times New Roman" w:hAnsi="Times New Roman" w:cs="Times New Roman"/>
                <w:kern w:val="2"/>
                <w:sz w:val="24"/>
                <w:szCs w:val="24"/>
                <w:lang w:val="en-US" w:eastAsia="zh-CN" w:bidi="ar-SA"/>
              </w:rPr>
              <w:t>，生产的废水在发酵区</w:t>
            </w:r>
            <w:r>
              <w:rPr>
                <w:rFonts w:hint="eastAsia" w:ascii="Times New Roman" w:hAnsi="Times New Roman" w:cs="Times New Roman"/>
                <w:kern w:val="2"/>
                <w:sz w:val="24"/>
                <w:szCs w:val="24"/>
                <w:lang w:val="en-US" w:bidi="ar-SA"/>
              </w:rPr>
              <w:t>发酵90天后。</w:t>
            </w:r>
            <w:r>
              <w:rPr>
                <w:rFonts w:hint="eastAsia" w:ascii="Times New Roman" w:hAnsi="Times New Roman" w:cs="Times New Roman"/>
                <w:kern w:val="2"/>
                <w:sz w:val="24"/>
                <w:szCs w:val="24"/>
                <w:lang w:val="en-US" w:eastAsia="zh-CN" w:bidi="ar-SA"/>
              </w:rPr>
              <w:t>发酵</w:t>
            </w:r>
            <w:r>
              <w:rPr>
                <w:rFonts w:hint="eastAsia" w:ascii="Times New Roman" w:hAnsi="Times New Roman" w:cs="Times New Roman"/>
                <w:kern w:val="2"/>
                <w:sz w:val="24"/>
                <w:szCs w:val="24"/>
                <w:lang w:val="en-US" w:bidi="ar-SA"/>
              </w:rPr>
              <w:t>区的沼液</w:t>
            </w:r>
            <w:r>
              <w:rPr>
                <w:rFonts w:hint="eastAsia" w:ascii="Times New Roman" w:hAnsi="Times New Roman" w:cs="Times New Roman"/>
                <w:kern w:val="2"/>
                <w:sz w:val="24"/>
                <w:szCs w:val="24"/>
                <w:lang w:val="en-US" w:eastAsia="zh-CN" w:bidi="ar-SA"/>
              </w:rPr>
              <w:t>就可以灌溉林地</w:t>
            </w:r>
            <w:r>
              <w:rPr>
                <w:rFonts w:hint="eastAsia" w:ascii="Times New Roman" w:hAnsi="Times New Roman" w:cs="Times New Roman"/>
                <w:kern w:val="2"/>
                <w:sz w:val="24"/>
                <w:szCs w:val="24"/>
                <w:lang w:val="en-US" w:bidi="ar-SA"/>
              </w:rPr>
              <w:t>。如此反复，能保证所有生产日废水最低发酵时间为90天。</w:t>
            </w:r>
          </w:p>
          <w:p w14:paraId="6F604230">
            <w:pPr>
              <w:autoSpaceDE/>
              <w:autoSpaceDN/>
              <w:spacing w:line="360" w:lineRule="auto"/>
              <w:ind w:firstLine="480"/>
              <w:jc w:val="both"/>
              <w:rPr>
                <w:rFonts w:hint="eastAsia" w:ascii="Times New Roman" w:hAnsi="Times New Roman" w:eastAsia="宋体" w:cs="Times New Roman"/>
                <w:kern w:val="2"/>
                <w:sz w:val="24"/>
                <w:szCs w:val="24"/>
                <w:highlight w:val="yellow"/>
                <w:lang w:val="en-US" w:eastAsia="zh-CN" w:bidi="ar-SA"/>
              </w:rPr>
            </w:pPr>
            <w:r>
              <w:rPr>
                <w:rFonts w:hint="eastAsia" w:ascii="Times New Roman" w:hAnsi="Times New Roman" w:cs="Times New Roman"/>
                <w:kern w:val="2"/>
                <w:sz w:val="24"/>
                <w:szCs w:val="24"/>
                <w:lang w:val="en-US" w:bidi="ar-SA"/>
              </w:rPr>
              <w:t>综上所述，黑膜厌氧池设计合理，废水从入池发酵到形成沼液还林，整个流程合理有效，安全可行</w:t>
            </w:r>
            <w:r>
              <w:rPr>
                <w:rFonts w:hint="eastAsia" w:ascii="Times New Roman" w:hAnsi="Times New Roman" w:cs="Times New Roman"/>
                <w:kern w:val="2"/>
                <w:sz w:val="24"/>
                <w:szCs w:val="24"/>
                <w:lang w:val="en-US" w:eastAsia="zh-CN" w:bidi="ar-SA"/>
              </w:rPr>
              <w:t>。</w:t>
            </w:r>
          </w:p>
          <w:p w14:paraId="4B7CBE71">
            <w:pPr>
              <w:autoSpaceDE/>
              <w:autoSpaceDN/>
              <w:spacing w:line="360" w:lineRule="auto"/>
              <w:ind w:firstLine="480"/>
              <w:jc w:val="both"/>
              <w:rPr>
                <w:rFonts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bidi="ar-SA"/>
              </w:rPr>
              <w:t>本项目所设计的覆膜厌氧池采用双层覆膜技术，具有防渗防蒸发的功能。包括：存储塘由安全膜、报警系统、底膜及浮动膜（覆膜）等组成。</w:t>
            </w:r>
          </w:p>
          <w:p w14:paraId="3AE85E83">
            <w:pPr>
              <w:rPr>
                <w:rFonts w:ascii="Times New Roman" w:hAnsi="Times New Roman" w:cs="Times New Roman"/>
                <w:kern w:val="2"/>
                <w:sz w:val="24"/>
                <w:szCs w:val="24"/>
                <w:lang w:val="en-US" w:bidi="ar-SA"/>
              </w:rPr>
            </w:pPr>
            <w:r>
              <w:rPr>
                <w:rFonts w:ascii="Times New Roman" w:hAnsi="Times New Roman" w:cs="Times New Roman"/>
                <w:kern w:val="2"/>
                <w:sz w:val="24"/>
                <w:szCs w:val="24"/>
                <w:lang w:val="en-US" w:bidi="ar-SA"/>
              </w:rPr>
              <w:drawing>
                <wp:inline distT="0" distB="0" distL="0" distR="0">
                  <wp:extent cx="4804410" cy="1284605"/>
                  <wp:effectExtent l="0" t="0" r="15240" b="10795"/>
                  <wp:docPr id="8" name="图片 2" descr="C:\Users\25817\AppData\Local\Temp\16207908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C:\Users\25817\AppData\Local\Temp\1620790806(1).png"/>
                          <pic:cNvPicPr>
                            <a:picLocks noChangeAspect="1" noChangeArrowheads="1"/>
                          </pic:cNvPicPr>
                        </pic:nvPicPr>
                        <pic:blipFill>
                          <a:blip r:embed="rId14" cstate="print"/>
                          <a:srcRect/>
                          <a:stretch>
                            <a:fillRect/>
                          </a:stretch>
                        </pic:blipFill>
                        <pic:spPr>
                          <a:xfrm>
                            <a:off x="0" y="0"/>
                            <a:ext cx="4804410" cy="1285106"/>
                          </a:xfrm>
                          <a:prstGeom prst="rect">
                            <a:avLst/>
                          </a:prstGeom>
                          <a:noFill/>
                          <a:ln w="9525">
                            <a:noFill/>
                            <a:miter lim="800000"/>
                            <a:headEnd/>
                            <a:tailEnd/>
                          </a:ln>
                        </pic:spPr>
                      </pic:pic>
                    </a:graphicData>
                  </a:graphic>
                </wp:inline>
              </w:drawing>
            </w:r>
          </w:p>
          <w:p w14:paraId="15D776E2">
            <w:pPr>
              <w:pStyle w:val="9"/>
              <w:numPr>
                <w:ilvl w:val="6"/>
                <w:numId w:val="0"/>
              </w:numPr>
              <w:bidi w:val="0"/>
              <w:ind w:left="0" w:leftChars="0" w:firstLine="480" w:firstLineChars="200"/>
              <w:rPr>
                <w:rFonts w:hint="eastAsia" w:hAnsi="宋体" w:eastAsia="宋体"/>
                <w:b/>
                <w:bCs/>
                <w:color w:val="auto"/>
                <w:lang w:bidi="zh-CN"/>
              </w:rPr>
            </w:pPr>
            <w:r>
              <w:rPr>
                <w:rFonts w:hint="default" w:ascii="Times New Roman" w:hAnsi="Times New Roman" w:eastAsia="宋体" w:cs="Times New Roman"/>
                <w:b/>
                <w:i w:val="0"/>
                <w:kern w:val="2"/>
                <w:sz w:val="24"/>
                <w:szCs w:val="24"/>
                <w:shd w:val="clear" w:fill="FFFFFF"/>
                <w:lang w:val="en-US" w:eastAsia="zh-CN" w:bidi="ar-SA"/>
              </w:rPr>
              <w:t>图4-1</w:t>
            </w:r>
            <w:r>
              <w:rPr>
                <w:rFonts w:hint="eastAsia"/>
                <w:b/>
                <w:bCs/>
                <w:color w:val="auto"/>
              </w:rPr>
              <w:t>项目</w:t>
            </w:r>
            <w:r>
              <w:rPr>
                <w:rFonts w:hint="eastAsia" w:hAnsi="宋体" w:eastAsia="宋体"/>
                <w:b/>
                <w:bCs/>
                <w:color w:val="auto"/>
                <w:lang w:bidi="zh-CN"/>
              </w:rPr>
              <w:t>覆膜厌氧池存储示意图</w:t>
            </w:r>
          </w:p>
          <w:p w14:paraId="119499AE">
            <w:pPr>
              <w:rPr>
                <w:rFonts w:hint="eastAsia"/>
                <w:b/>
                <w:bCs/>
                <w:lang w:eastAsia="zh-CN"/>
              </w:rPr>
            </w:pPr>
            <w:r>
              <w:rPr>
                <w:rFonts w:hint="eastAsia"/>
                <w:b/>
                <w:bCs/>
                <w:lang w:eastAsia="zh-CN"/>
              </w:rPr>
              <w:t>（</w:t>
            </w:r>
            <w:r>
              <w:rPr>
                <w:rFonts w:hint="eastAsia"/>
                <w:b/>
                <w:bCs/>
                <w:lang w:val="en-US" w:eastAsia="zh-CN"/>
              </w:rPr>
              <w:t>3</w:t>
            </w:r>
            <w:r>
              <w:rPr>
                <w:rFonts w:hint="eastAsia"/>
                <w:b/>
                <w:bCs/>
                <w:lang w:eastAsia="zh-CN"/>
              </w:rPr>
              <w:t>）沼液使用要求</w:t>
            </w:r>
          </w:p>
          <w:p w14:paraId="2989A596">
            <w:pPr>
              <w:rPr>
                <w:rFonts w:hint="eastAsia"/>
                <w:lang w:eastAsia="zh-CN"/>
              </w:rPr>
            </w:pPr>
            <w:r>
              <w:rPr>
                <w:rFonts w:hint="eastAsia"/>
                <w:lang w:eastAsia="zh-CN"/>
              </w:rPr>
              <w:t>参照《畜禽粪便还田技术规范》(GB/T25246-2010)中“表2 沼气肥的卫生学要求”，用于施肥的沼液需满足下表要求:</w:t>
            </w:r>
          </w:p>
          <w:p w14:paraId="07E388A4">
            <w:pPr>
              <w:pStyle w:val="8"/>
              <w:numPr>
                <w:ilvl w:val="5"/>
                <w:numId w:val="0"/>
              </w:numPr>
              <w:bidi w:val="0"/>
              <w:ind w:leftChars="0"/>
              <w:rPr>
                <w:rFonts w:hint="eastAsia"/>
                <w:lang w:val="en-US" w:eastAsia="zh-CN"/>
              </w:rPr>
            </w:pPr>
            <w:r>
              <w:rPr>
                <w:rFonts w:hint="eastAsia"/>
                <w:lang w:eastAsia="zh-CN"/>
              </w:rPr>
              <w:t>表</w:t>
            </w:r>
            <w:r>
              <w:rPr>
                <w:rFonts w:hint="eastAsia"/>
                <w:lang w:val="en-US" w:eastAsia="zh-CN"/>
              </w:rPr>
              <w:t>4-20 沼气肥的卫生学要求</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6579"/>
            </w:tblGrid>
            <w:tr w14:paraId="637A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pct"/>
                  <w:vAlign w:val="center"/>
                </w:tcPr>
                <w:p w14:paraId="3BBC0B9C">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sz w:val="21"/>
                      <w:szCs w:val="21"/>
                      <w:vertAlign w:val="baseline"/>
                      <w:lang w:val="en-US" w:eastAsia="zh-CN"/>
                    </w:rPr>
                  </w:pPr>
                  <w:r>
                    <w:rPr>
                      <w:rFonts w:hint="default"/>
                      <w:sz w:val="21"/>
                      <w:szCs w:val="21"/>
                      <w:vertAlign w:val="baseline"/>
                      <w:lang w:val="en-US" w:eastAsia="zh-CN"/>
                    </w:rPr>
                    <w:t>项目</w:t>
                  </w:r>
                </w:p>
              </w:tc>
              <w:tc>
                <w:tcPr>
                  <w:tcW w:w="3811" w:type="pct"/>
                  <w:vAlign w:val="center"/>
                </w:tcPr>
                <w:p w14:paraId="0F00D9D9">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sz w:val="21"/>
                      <w:szCs w:val="21"/>
                      <w:vertAlign w:val="baseline"/>
                      <w:lang w:val="en-US" w:eastAsia="zh-CN"/>
                    </w:rPr>
                  </w:pPr>
                  <w:r>
                    <w:rPr>
                      <w:rFonts w:hint="default"/>
                      <w:sz w:val="21"/>
                      <w:szCs w:val="21"/>
                      <w:vertAlign w:val="baseline"/>
                      <w:lang w:val="en-US" w:eastAsia="zh-CN"/>
                    </w:rPr>
                    <w:t>要求</w:t>
                  </w:r>
                </w:p>
              </w:tc>
            </w:tr>
            <w:tr w14:paraId="5A59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pct"/>
                  <w:vAlign w:val="center"/>
                </w:tcPr>
                <w:p w14:paraId="3ACD77E3">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sz w:val="21"/>
                      <w:szCs w:val="21"/>
                      <w:vertAlign w:val="baseline"/>
                      <w:lang w:val="en-US" w:eastAsia="zh-CN"/>
                    </w:rPr>
                  </w:pPr>
                  <w:r>
                    <w:rPr>
                      <w:rFonts w:hint="default"/>
                      <w:sz w:val="21"/>
                      <w:szCs w:val="21"/>
                      <w:vertAlign w:val="baseline"/>
                      <w:lang w:val="en-US" w:eastAsia="zh-CN"/>
                    </w:rPr>
                    <w:t>蛔虫卵沉降率</w:t>
                  </w:r>
                </w:p>
              </w:tc>
              <w:tc>
                <w:tcPr>
                  <w:tcW w:w="3811" w:type="pct"/>
                  <w:vAlign w:val="center"/>
                </w:tcPr>
                <w:p w14:paraId="6DCD20DF">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sz w:val="21"/>
                      <w:szCs w:val="21"/>
                      <w:vertAlign w:val="baseline"/>
                      <w:lang w:val="en-US" w:eastAsia="zh-CN"/>
                    </w:rPr>
                  </w:pPr>
                  <w:r>
                    <w:rPr>
                      <w:rFonts w:hint="default"/>
                      <w:sz w:val="21"/>
                      <w:szCs w:val="21"/>
                      <w:vertAlign w:val="baseline"/>
                      <w:lang w:val="en-US" w:eastAsia="zh-CN"/>
                    </w:rPr>
                    <w:t>95%以上</w:t>
                  </w:r>
                </w:p>
              </w:tc>
            </w:tr>
            <w:tr w14:paraId="26A3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pct"/>
                  <w:vAlign w:val="center"/>
                </w:tcPr>
                <w:p w14:paraId="07B64DD9">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sz w:val="21"/>
                      <w:szCs w:val="21"/>
                      <w:vertAlign w:val="baseline"/>
                      <w:lang w:val="en-US" w:eastAsia="zh-CN"/>
                    </w:rPr>
                  </w:pPr>
                  <w:r>
                    <w:rPr>
                      <w:rFonts w:hint="default"/>
                      <w:sz w:val="21"/>
                      <w:szCs w:val="21"/>
                      <w:vertAlign w:val="baseline"/>
                      <w:lang w:val="en-US" w:eastAsia="zh-CN"/>
                    </w:rPr>
                    <w:t>血吸虫卵和钩虫卵</w:t>
                  </w:r>
                </w:p>
              </w:tc>
              <w:tc>
                <w:tcPr>
                  <w:tcW w:w="3811" w:type="pct"/>
                  <w:vAlign w:val="center"/>
                </w:tcPr>
                <w:p w14:paraId="50AFF997">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sz w:val="21"/>
                      <w:szCs w:val="21"/>
                      <w:vertAlign w:val="baseline"/>
                      <w:lang w:val="en-US" w:eastAsia="zh-CN"/>
                    </w:rPr>
                  </w:pPr>
                  <w:r>
                    <w:rPr>
                      <w:rFonts w:hint="default"/>
                      <w:sz w:val="21"/>
                      <w:szCs w:val="21"/>
                      <w:vertAlign w:val="baseline"/>
                      <w:lang w:val="en-US" w:eastAsia="zh-CN"/>
                    </w:rPr>
                    <w:t>使用的沼液中不应有活的血吸虫卵和钩虫卵</w:t>
                  </w:r>
                </w:p>
              </w:tc>
            </w:tr>
            <w:tr w14:paraId="18C2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pct"/>
                  <w:vAlign w:val="center"/>
                </w:tcPr>
                <w:p w14:paraId="02973C3A">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sz w:val="21"/>
                      <w:szCs w:val="21"/>
                      <w:vertAlign w:val="baseline"/>
                      <w:lang w:val="en-US" w:eastAsia="zh-CN"/>
                    </w:rPr>
                  </w:pPr>
                  <w:r>
                    <w:rPr>
                      <w:rFonts w:hint="default"/>
                      <w:sz w:val="21"/>
                      <w:szCs w:val="21"/>
                      <w:vertAlign w:val="baseline"/>
                      <w:lang w:val="en-US" w:eastAsia="zh-CN"/>
                    </w:rPr>
                    <w:t>粪大肠菌值</w:t>
                  </w:r>
                </w:p>
              </w:tc>
              <w:tc>
                <w:tcPr>
                  <w:tcW w:w="3811" w:type="pct"/>
                  <w:vAlign w:val="center"/>
                </w:tcPr>
                <w:p w14:paraId="03A8C505">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sz w:val="21"/>
                      <w:szCs w:val="21"/>
                      <w:vertAlign w:val="baseline"/>
                      <w:lang w:val="en-US" w:eastAsia="zh-CN"/>
                    </w:rPr>
                  </w:pPr>
                  <w:r>
                    <w:rPr>
                      <w:rFonts w:hint="default"/>
                      <w:sz w:val="21"/>
                      <w:szCs w:val="21"/>
                      <w:vertAlign w:val="baseline"/>
                      <w:lang w:val="en-US" w:eastAsia="zh-CN"/>
                    </w:rPr>
                    <w:t>10</w:t>
                  </w:r>
                  <w:r>
                    <w:rPr>
                      <w:rFonts w:hint="default"/>
                      <w:sz w:val="21"/>
                      <w:szCs w:val="21"/>
                      <w:vertAlign w:val="superscript"/>
                      <w:lang w:val="en-US" w:eastAsia="zh-CN"/>
                    </w:rPr>
                    <w:t>-</w:t>
                  </w:r>
                  <w:r>
                    <w:rPr>
                      <w:rFonts w:hint="eastAsia"/>
                      <w:sz w:val="21"/>
                      <w:szCs w:val="21"/>
                      <w:vertAlign w:val="superscript"/>
                      <w:lang w:val="en-US" w:eastAsia="zh-CN"/>
                    </w:rPr>
                    <w:t>1</w:t>
                  </w:r>
                  <w:r>
                    <w:rPr>
                      <w:rFonts w:hint="default"/>
                      <w:sz w:val="21"/>
                      <w:szCs w:val="21"/>
                      <w:vertAlign w:val="baseline"/>
                      <w:lang w:val="en-US" w:eastAsia="zh-CN"/>
                    </w:rPr>
                    <w:t>~10</w:t>
                  </w:r>
                  <w:r>
                    <w:rPr>
                      <w:rFonts w:hint="default"/>
                      <w:sz w:val="21"/>
                      <w:szCs w:val="21"/>
                      <w:vertAlign w:val="superscript"/>
                      <w:lang w:val="en-US" w:eastAsia="zh-CN"/>
                    </w:rPr>
                    <w:t>-2</w:t>
                  </w:r>
                </w:p>
              </w:tc>
            </w:tr>
            <w:tr w14:paraId="5743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pct"/>
                  <w:vAlign w:val="center"/>
                </w:tcPr>
                <w:p w14:paraId="4167A8F8">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sz w:val="21"/>
                      <w:szCs w:val="21"/>
                      <w:vertAlign w:val="baseline"/>
                      <w:lang w:val="en-US" w:eastAsia="zh-CN"/>
                    </w:rPr>
                  </w:pPr>
                  <w:r>
                    <w:rPr>
                      <w:rFonts w:hint="default"/>
                      <w:sz w:val="21"/>
                      <w:szCs w:val="21"/>
                      <w:vertAlign w:val="baseline"/>
                      <w:lang w:val="en-US" w:eastAsia="zh-CN"/>
                    </w:rPr>
                    <w:t>蚊子、苍蝇</w:t>
                  </w:r>
                </w:p>
              </w:tc>
              <w:tc>
                <w:tcPr>
                  <w:tcW w:w="3811" w:type="pct"/>
                  <w:vAlign w:val="center"/>
                </w:tcPr>
                <w:p w14:paraId="6D796408">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sz w:val="21"/>
                      <w:szCs w:val="21"/>
                      <w:vertAlign w:val="baseline"/>
                      <w:lang w:val="en-US" w:eastAsia="zh-CN"/>
                    </w:rPr>
                  </w:pPr>
                  <w:r>
                    <w:rPr>
                      <w:rFonts w:hint="default"/>
                      <w:sz w:val="21"/>
                      <w:szCs w:val="21"/>
                      <w:vertAlign w:val="baseline"/>
                      <w:lang w:val="en-US" w:eastAsia="zh-CN"/>
                    </w:rPr>
                    <w:t>有效控制蚊蝇孽生,沼液中无孑孓,池的周边无活蛆、蛹或新羽化的成蝇</w:t>
                  </w:r>
                </w:p>
              </w:tc>
            </w:tr>
          </w:tbl>
          <w:p w14:paraId="1B65BB4D">
            <w:pPr>
              <w:ind w:left="0" w:leftChars="0" w:firstLine="480" w:firstLineChars="200"/>
              <w:rPr>
                <w:rFonts w:hint="default"/>
                <w:lang w:val="en-US" w:eastAsia="zh-CN"/>
              </w:rPr>
            </w:pPr>
            <w:r>
              <w:rPr>
                <w:rFonts w:hint="default"/>
                <w:lang w:val="en-US" w:eastAsia="zh-CN"/>
              </w:rPr>
              <w:t>本项目运营期，化制烘干工序产生的化制冷凝水经过高温灭菌处理，车辆清</w:t>
            </w:r>
          </w:p>
          <w:p w14:paraId="55E29229">
            <w:pPr>
              <w:ind w:left="0" w:leftChars="0" w:firstLine="0" w:firstLineChars="0"/>
              <w:rPr>
                <w:rFonts w:hint="default"/>
                <w:lang w:val="en-US" w:eastAsia="zh-CN"/>
              </w:rPr>
            </w:pPr>
            <w:r>
              <w:rPr>
                <w:rFonts w:hint="default"/>
                <w:lang w:val="en-US" w:eastAsia="zh-CN"/>
              </w:rPr>
              <w:t>洗废水和车间冲洗废水经过次氯酸钠消毒处理，因此厌氧池收纳的废水可视为无</w:t>
            </w:r>
          </w:p>
          <w:p w14:paraId="01B7EDD1">
            <w:pPr>
              <w:ind w:left="0" w:leftChars="0" w:firstLine="0" w:firstLineChars="0"/>
              <w:rPr>
                <w:rFonts w:hint="eastAsia"/>
                <w:lang w:val="en-US" w:eastAsia="zh-CN"/>
              </w:rPr>
            </w:pPr>
            <w:r>
              <w:rPr>
                <w:rFonts w:hint="default"/>
                <w:lang w:val="en-US" w:eastAsia="zh-CN"/>
              </w:rPr>
              <w:t>毒无菌，再经90天厌氧发酵后，满足上述卫生学要求，可作为沼液使用</w:t>
            </w:r>
            <w:r>
              <w:rPr>
                <w:rFonts w:hint="eastAsia"/>
                <w:lang w:val="en-US" w:eastAsia="zh-CN"/>
              </w:rPr>
              <w:t>。</w:t>
            </w:r>
          </w:p>
          <w:p w14:paraId="60E8A6A4">
            <w:pPr>
              <w:ind w:left="0" w:leftChars="0" w:firstLine="480" w:firstLineChars="200"/>
              <w:rPr>
                <w:rFonts w:hint="default"/>
                <w:vertAlign w:val="baseline"/>
                <w:lang w:val="en-US" w:eastAsia="zh-CN"/>
              </w:rPr>
            </w:pPr>
            <w:r>
              <w:rPr>
                <w:rFonts w:hint="eastAsia"/>
                <w:lang w:val="en-US" w:eastAsia="zh-CN"/>
              </w:rPr>
              <w:t>本项目沼液共计5895.23t/a，根据企业提供资料,本项目废水发酵后形成的沼液需要按照1:1的肥水比例稀释后使用，则需消纳稀释后的沼液11790.46t/a，d取300，本项目每天每平米消纳的沼液取3.1kg，则11790.46t沼液1年需要约12677.91m</w:t>
            </w:r>
            <w:r>
              <w:rPr>
                <w:rFonts w:hint="eastAsia"/>
                <w:vertAlign w:val="superscript"/>
                <w:lang w:val="en-US" w:eastAsia="zh-CN"/>
              </w:rPr>
              <w:t>2</w:t>
            </w:r>
            <w:r>
              <w:rPr>
                <w:rFonts w:hint="eastAsia"/>
                <w:vertAlign w:val="baseline"/>
                <w:lang w:val="en-US" w:eastAsia="zh-CN"/>
              </w:rPr>
              <w:t>林地、农田消纳，</w:t>
            </w:r>
            <w:r>
              <w:rPr>
                <w:rFonts w:hint="eastAsia"/>
                <w:u w:val="single"/>
              </w:rPr>
              <w:t>项目</w:t>
            </w:r>
            <w:r>
              <w:rPr>
                <w:rFonts w:hint="eastAsia"/>
                <w:u w:val="single"/>
                <w:lang w:eastAsia="zh-CN"/>
              </w:rPr>
              <w:t>签订有</w:t>
            </w:r>
            <w:r>
              <w:rPr>
                <w:rFonts w:hint="eastAsia"/>
                <w:u w:val="single"/>
                <w:lang w:val="en-US" w:eastAsia="zh-CN"/>
              </w:rPr>
              <w:t>50亩柑橘林用于农灌，足够消纳沼液</w:t>
            </w:r>
            <w:r>
              <w:rPr>
                <w:rFonts w:hint="eastAsia"/>
                <w:u w:val="single"/>
                <w:vertAlign w:val="baseline"/>
                <w:lang w:val="en-US" w:eastAsia="zh-CN"/>
              </w:rPr>
              <w:t>。详见附件7。</w:t>
            </w:r>
          </w:p>
          <w:p w14:paraId="250C267A">
            <w:pPr>
              <w:rPr>
                <w:rFonts w:hint="eastAsia"/>
              </w:rPr>
            </w:pPr>
            <w:r>
              <w:rPr>
                <w:rFonts w:hint="eastAsia"/>
              </w:rPr>
              <w:t>综上所述，本项目废水能很好的综合利用，不会降低项目区现有水环境功能，项目废水外排对外界水环境影响较小。</w:t>
            </w:r>
          </w:p>
          <w:p w14:paraId="5E6AA510">
            <w:pPr>
              <w:bidi w:val="0"/>
              <w:rPr>
                <w:rFonts w:hint="eastAsia" w:ascii="Times New Roman" w:hAnsi="Times New Roman" w:eastAsia="宋体" w:cs="Times New Roman"/>
                <w:b/>
                <w:bCs/>
                <w:color w:val="000000"/>
                <w:kern w:val="0"/>
                <w:sz w:val="24"/>
                <w:szCs w:val="24"/>
                <w:highlight w:val="none"/>
                <w:lang w:val="en-US" w:eastAsia="zh-CN" w:bidi="ar-SA"/>
              </w:rPr>
            </w:pPr>
            <w:r>
              <w:rPr>
                <w:rFonts w:hint="eastAsia"/>
                <w:b/>
                <w:bCs/>
                <w:lang w:eastAsia="zh-CN"/>
              </w:rPr>
              <w:t>（</w:t>
            </w:r>
            <w:r>
              <w:rPr>
                <w:rFonts w:hint="eastAsia"/>
                <w:b/>
                <w:bCs/>
                <w:lang w:val="en-US" w:eastAsia="zh-CN"/>
              </w:rPr>
              <w:t>4</w:t>
            </w:r>
            <w:r>
              <w:rPr>
                <w:rFonts w:hint="eastAsia"/>
                <w:b/>
                <w:bCs/>
                <w:lang w:eastAsia="zh-CN"/>
              </w:rPr>
              <w:t>）</w:t>
            </w:r>
            <w:r>
              <w:rPr>
                <w:rFonts w:hint="eastAsia" w:ascii="Times New Roman" w:hAnsi="Times New Roman" w:eastAsia="宋体" w:cs="Times New Roman"/>
                <w:b/>
                <w:bCs/>
                <w:color w:val="000000"/>
                <w:kern w:val="0"/>
                <w:sz w:val="24"/>
                <w:szCs w:val="24"/>
                <w:highlight w:val="none"/>
                <w:lang w:val="en-US" w:eastAsia="zh-CN" w:bidi="ar-SA"/>
              </w:rPr>
              <w:t>黑膜厌氧池发酵水还田的可行性分析</w:t>
            </w:r>
          </w:p>
          <w:p w14:paraId="54F842EB">
            <w:pPr>
              <w:bidi w:val="0"/>
              <w:rPr>
                <w:rFonts w:hint="default"/>
                <w:u w:val="single"/>
                <w:lang w:val="en-US" w:eastAsia="zh-CN"/>
              </w:rPr>
            </w:pPr>
            <w:r>
              <w:rPr>
                <w:rFonts w:hint="eastAsia"/>
                <w:u w:val="single"/>
                <w:lang w:val="en-US" w:eastAsia="zh-CN"/>
              </w:rPr>
              <w:t>1、沼液</w:t>
            </w:r>
            <w:r>
              <w:rPr>
                <w:rFonts w:hint="default"/>
                <w:u w:val="single"/>
                <w:lang w:val="en-US" w:eastAsia="zh-CN"/>
              </w:rPr>
              <w:t>使用要求</w:t>
            </w:r>
          </w:p>
          <w:p w14:paraId="180DE47A">
            <w:pPr>
              <w:bidi w:val="0"/>
              <w:rPr>
                <w:rFonts w:hint="default"/>
                <w:u w:val="single"/>
                <w:lang w:val="en-US" w:eastAsia="zh-CN"/>
              </w:rPr>
            </w:pPr>
            <w:r>
              <w:rPr>
                <w:rFonts w:hint="default"/>
                <w:u w:val="single"/>
                <w:lang w:val="en-US" w:eastAsia="zh-CN"/>
              </w:rPr>
              <w:t>根据《畜禽养殖业污染治理工程技术规范》（HJ479-2009），沼液宜采用紫外线、臭氧、双氧水等非氯化的消毒处理措施，并不得产生二次污染。</w:t>
            </w:r>
          </w:p>
          <w:p w14:paraId="6481C2A4">
            <w:pPr>
              <w:bidi w:val="0"/>
              <w:rPr>
                <w:rFonts w:hint="default"/>
                <w:u w:val="single"/>
                <w:lang w:val="en-US" w:eastAsia="zh-CN"/>
              </w:rPr>
            </w:pPr>
            <w:r>
              <w:rPr>
                <w:rFonts w:hint="default"/>
                <w:u w:val="single"/>
                <w:lang w:val="en-US" w:eastAsia="zh-CN"/>
              </w:rPr>
              <w:t>本项目运营期，化制烘干工序产生的污冷凝水经过高温灭菌处理，再经90天厌氧发酵后</w:t>
            </w:r>
            <w:r>
              <w:rPr>
                <w:rFonts w:hint="eastAsia"/>
                <w:u w:val="single"/>
                <w:lang w:val="en-US" w:eastAsia="zh-CN"/>
              </w:rPr>
              <w:t>，</w:t>
            </w:r>
            <w:r>
              <w:rPr>
                <w:rFonts w:hint="default"/>
                <w:u w:val="single"/>
                <w:lang w:val="en-US" w:eastAsia="zh-CN"/>
              </w:rPr>
              <w:t>蛔虫卵死亡率可达到95％以上，沼液可满足《农用沼液》（GB/T 40750-2021）中表1农用沼液的质量要求与检测方法1类非浓缩沼液肥料的要求。</w:t>
            </w:r>
          </w:p>
          <w:p w14:paraId="5B9C4AD7">
            <w:pPr>
              <w:bidi w:val="0"/>
              <w:rPr>
                <w:rFonts w:hint="default"/>
                <w:u w:val="single"/>
                <w:lang w:val="en-US" w:eastAsia="zh-CN"/>
              </w:rPr>
            </w:pPr>
            <w:r>
              <w:rPr>
                <w:rFonts w:hint="eastAsia"/>
                <w:u w:val="single"/>
                <w:lang w:val="en-US" w:eastAsia="zh-CN"/>
              </w:rPr>
              <w:t>2、沼液</w:t>
            </w:r>
            <w:r>
              <w:rPr>
                <w:rFonts w:hint="default"/>
                <w:u w:val="single"/>
                <w:lang w:val="en-US" w:eastAsia="zh-CN"/>
              </w:rPr>
              <w:t>还</w:t>
            </w:r>
            <w:r>
              <w:rPr>
                <w:rFonts w:hint="eastAsia"/>
                <w:u w:val="single"/>
                <w:lang w:val="en-US" w:eastAsia="zh-CN"/>
              </w:rPr>
              <w:t>田</w:t>
            </w:r>
            <w:r>
              <w:rPr>
                <w:rFonts w:hint="default"/>
                <w:u w:val="single"/>
                <w:lang w:val="en-US" w:eastAsia="zh-CN"/>
              </w:rPr>
              <w:t>设计</w:t>
            </w:r>
          </w:p>
          <w:p w14:paraId="09A81AC8">
            <w:pPr>
              <w:bidi w:val="0"/>
              <w:rPr>
                <w:rFonts w:hint="eastAsia"/>
                <w:u w:val="single"/>
                <w:lang w:val="en-US" w:eastAsia="zh-CN"/>
              </w:rPr>
            </w:pPr>
            <w:r>
              <w:rPr>
                <w:rFonts w:hint="default"/>
                <w:u w:val="single"/>
                <w:lang w:val="en-US" w:eastAsia="zh-CN"/>
              </w:rPr>
              <w:t>参照《畜禽养殖粪肥还田利用技术规范》</w:t>
            </w:r>
            <w:r>
              <w:rPr>
                <w:rFonts w:hint="eastAsia"/>
                <w:u w:val="single"/>
                <w:lang w:val="en-US" w:eastAsia="zh-CN"/>
              </w:rPr>
              <w:t>（GB/T 25246-2025）</w:t>
            </w:r>
            <w:r>
              <w:rPr>
                <w:rFonts w:hint="default"/>
                <w:u w:val="single"/>
                <w:lang w:val="en-US" w:eastAsia="zh-CN"/>
              </w:rPr>
              <w:t>中</w:t>
            </w:r>
            <w:r>
              <w:rPr>
                <w:rFonts w:hint="eastAsia"/>
                <w:u w:val="single"/>
                <w:lang w:val="en-US" w:eastAsia="zh-CN"/>
              </w:rPr>
              <w:t>液体</w:t>
            </w:r>
            <w:r>
              <w:rPr>
                <w:rFonts w:hint="default"/>
                <w:u w:val="single"/>
                <w:lang w:val="en-US" w:eastAsia="zh-CN"/>
              </w:rPr>
              <w:t>粪肥</w:t>
            </w:r>
            <w:r>
              <w:rPr>
                <w:rFonts w:hint="eastAsia"/>
                <w:u w:val="single"/>
                <w:lang w:val="en-US" w:eastAsia="zh-CN"/>
              </w:rPr>
              <w:t>施用方法：</w:t>
            </w:r>
          </w:p>
          <w:p w14:paraId="7EACBAA2">
            <w:pPr>
              <w:bidi w:val="0"/>
              <w:rPr>
                <w:rFonts w:hint="eastAsia"/>
                <w:u w:val="single"/>
                <w:lang w:val="en-US" w:eastAsia="zh-CN"/>
              </w:rPr>
            </w:pPr>
            <w:r>
              <w:rPr>
                <w:rFonts w:hint="eastAsia"/>
                <w:u w:val="single"/>
                <w:lang w:val="en-US" w:eastAsia="zh-CN"/>
              </w:rPr>
              <w:t>6.2.1 基肥（基施）：a）表施：在耕种前，利用罐车等专用设备将液体粪肥直接均匀施用于农田表面，适用于大田作物、蔬菜、果树、经济作物、牧草。b）深施：使用专用设备将液体粪肥施用于农田土壤表面一下，同时用土壤覆盖，使用于大田作物、蔬菜、经济作物；c）淌施：在耕种前，将液体粪肥随水施入，适用于大田作物、蔬菜、果树、经济作物、牧草。</w:t>
            </w:r>
          </w:p>
          <w:p w14:paraId="7E3B3B7F">
            <w:pPr>
              <w:bidi w:val="0"/>
              <w:rPr>
                <w:rFonts w:hint="eastAsia"/>
                <w:u w:val="single"/>
                <w:lang w:val="en-US" w:eastAsia="zh-CN"/>
              </w:rPr>
            </w:pPr>
            <w:r>
              <w:rPr>
                <w:rFonts w:hint="eastAsia"/>
                <w:u w:val="single"/>
                <w:lang w:val="en-US" w:eastAsia="zh-CN"/>
              </w:rPr>
              <w:t>6.2.2 追肥（追施）：a）沟施：在作物行/株间开沟，液体粪肥按条/环状集中施用于作物种植行间，适用于大田作物、蔬菜、果树、经济作物；b）穴施：在苗期按株或在两株间开穴施肥，适用于蔬菜、果树；c）淌灌：将液体粪肥随水施入，适用于大田作物、蔬菜、经济作物、牧草；d）滴灌：液体粪肥经孔径125</w:t>
            </w:r>
            <w:r>
              <w:rPr>
                <w:rFonts w:hint="default"/>
                <w:u w:val="single"/>
                <w:lang w:val="en-US" w:eastAsia="zh-CN"/>
              </w:rPr>
              <w:t>µ</w:t>
            </w:r>
            <w:r>
              <w:rPr>
                <w:rFonts w:hint="eastAsia"/>
                <w:u w:val="single"/>
                <w:lang w:val="en-US" w:eastAsia="zh-CN"/>
              </w:rPr>
              <w:t>m以下（120目以上）筛网过滤颗粒物后，输送到植物根部进行局部灌溉，适用于蔬菜、果树、经济作物。</w:t>
            </w:r>
          </w:p>
          <w:p w14:paraId="392F91F3">
            <w:pPr>
              <w:bidi w:val="0"/>
              <w:rPr>
                <w:rFonts w:hint="default"/>
                <w:u w:val="single"/>
                <w:lang w:val="en-US" w:eastAsia="zh-CN"/>
              </w:rPr>
            </w:pPr>
            <w:r>
              <w:rPr>
                <w:rFonts w:hint="eastAsia"/>
                <w:u w:val="single"/>
                <w:lang w:val="en-US" w:eastAsia="zh-CN"/>
              </w:rPr>
              <w:t>6.2.3 液体粪肥中养分浓度较高时，宜结合水肥一体化措施施用。</w:t>
            </w:r>
          </w:p>
          <w:p w14:paraId="4F7450A5">
            <w:pPr>
              <w:bidi w:val="0"/>
              <w:rPr>
                <w:rFonts w:hint="default"/>
                <w:u w:val="single"/>
                <w:lang w:val="en-US" w:eastAsia="zh-CN"/>
              </w:rPr>
            </w:pPr>
            <w:r>
              <w:rPr>
                <w:rFonts w:hint="eastAsia"/>
                <w:u w:val="single"/>
                <w:lang w:val="en-US" w:eastAsia="zh-CN"/>
              </w:rPr>
              <w:t>本项目拟利用罐车等专用设备将肥水直接均匀施用于农田表面。</w:t>
            </w:r>
          </w:p>
          <w:p w14:paraId="4A2CCE4C">
            <w:pPr>
              <w:bidi w:val="0"/>
              <w:rPr>
                <w:rFonts w:hint="default"/>
                <w:u w:val="single"/>
                <w:lang w:val="en-US" w:eastAsia="zh-CN"/>
              </w:rPr>
            </w:pPr>
            <w:r>
              <w:rPr>
                <w:rFonts w:hint="default"/>
                <w:u w:val="single"/>
                <w:lang w:val="en-US" w:eastAsia="zh-CN"/>
              </w:rPr>
              <w:t>根据企业提供资料，本项目废水发酵后形成的</w:t>
            </w:r>
            <w:r>
              <w:rPr>
                <w:rFonts w:hint="eastAsia"/>
                <w:u w:val="single"/>
                <w:lang w:val="en-US" w:eastAsia="zh-CN"/>
              </w:rPr>
              <w:t>沼液</w:t>
            </w:r>
            <w:r>
              <w:rPr>
                <w:rFonts w:hint="default"/>
                <w:u w:val="single"/>
                <w:lang w:val="en-US" w:eastAsia="zh-CN"/>
              </w:rPr>
              <w:t>需要按照1:1的肥水比例稀释后使用，即配即用。</w:t>
            </w:r>
          </w:p>
          <w:p w14:paraId="5CCF19D5">
            <w:pPr>
              <w:bidi w:val="0"/>
              <w:rPr>
                <w:rFonts w:hint="default"/>
                <w:u w:val="single"/>
                <w:lang w:val="en-US" w:eastAsia="zh-CN"/>
              </w:rPr>
            </w:pPr>
            <w:r>
              <w:rPr>
                <w:rFonts w:hint="eastAsia"/>
                <w:u w:val="single"/>
                <w:lang w:val="en-US" w:eastAsia="zh-CN"/>
              </w:rPr>
              <w:t>3、</w:t>
            </w:r>
            <w:r>
              <w:rPr>
                <w:rFonts w:hint="default"/>
                <w:u w:val="single"/>
              </w:rPr>
              <w:t>沼液处理的可行性分析</w:t>
            </w:r>
          </w:p>
          <w:p w14:paraId="02A27D63">
            <w:pPr>
              <w:bidi w:val="0"/>
              <w:rPr>
                <w:rFonts w:hint="default"/>
                <w:u w:val="single"/>
                <w:lang w:val="en-US" w:eastAsia="zh-CN"/>
              </w:rPr>
            </w:pPr>
            <w:r>
              <w:rPr>
                <w:rFonts w:hint="default"/>
                <w:u w:val="single"/>
                <w:lang w:val="en-US" w:eastAsia="zh-CN"/>
              </w:rPr>
              <w:t>①沼液消纳的可行性分析</w:t>
            </w:r>
          </w:p>
          <w:p w14:paraId="73A3A57E">
            <w:pPr>
              <w:bidi w:val="0"/>
              <w:rPr>
                <w:rFonts w:hint="default"/>
                <w:u w:val="single"/>
              </w:rPr>
            </w:pPr>
            <w:r>
              <w:rPr>
                <w:rFonts w:hint="eastAsia"/>
                <w:u w:val="single"/>
                <w:lang w:eastAsia="zh-CN"/>
              </w:rPr>
              <w:t>参照</w:t>
            </w:r>
            <w:r>
              <w:rPr>
                <w:rFonts w:hint="default"/>
                <w:u w:val="single"/>
              </w:rPr>
              <w:t>2018年1月15日农业部办公厅关于印发《畜禽粪污土地承载力测算技术指南》的通知，本指南适用于区域畜禽粪污土地承载力和畜禽规模养殖场粪污消纳配套土地面积的测算。</w:t>
            </w:r>
          </w:p>
          <w:p w14:paraId="5AC8B53D">
            <w:pPr>
              <w:bidi w:val="0"/>
              <w:rPr>
                <w:rFonts w:hint="default"/>
                <w:u w:val="single"/>
              </w:rPr>
            </w:pPr>
            <w:r>
              <w:rPr>
                <w:rFonts w:hint="default"/>
                <w:u w:val="single"/>
              </w:rPr>
              <w:t>《指南》规定：规模养殖场配套土地面积等于规模养殖场粪肥养分供给量（对外销售部分不计算在内）除以单位土地粪肥养分需求量。</w:t>
            </w:r>
          </w:p>
          <w:p w14:paraId="01BCB43E">
            <w:pPr>
              <w:bidi w:val="0"/>
              <w:rPr>
                <w:rFonts w:hint="eastAsia"/>
                <w:u w:val="single"/>
                <w:lang w:eastAsia="zh-CN"/>
              </w:rPr>
            </w:pPr>
            <w:r>
              <w:rPr>
                <w:rFonts w:hint="eastAsia"/>
                <w:u w:val="single"/>
                <w:lang w:val="en-US" w:eastAsia="zh-CN"/>
              </w:rPr>
              <w:t>A、</w:t>
            </w:r>
            <w:r>
              <w:rPr>
                <w:rFonts w:hint="eastAsia"/>
                <w:u w:val="single"/>
                <w:lang w:eastAsia="zh-CN"/>
              </w:rPr>
              <w:t>单位土地</w:t>
            </w:r>
            <w:r>
              <w:rPr>
                <w:rFonts w:hint="default"/>
                <w:u w:val="single"/>
              </w:rPr>
              <w:t>粪肥养分</w:t>
            </w:r>
            <w:r>
              <w:rPr>
                <w:rFonts w:hint="eastAsia"/>
                <w:u w:val="single"/>
                <w:lang w:eastAsia="zh-CN"/>
              </w:rPr>
              <w:t>需求</w:t>
            </w:r>
            <w:r>
              <w:rPr>
                <w:rFonts w:hint="default"/>
                <w:u w:val="single"/>
              </w:rPr>
              <w:t>量=</w:t>
            </w:r>
            <w:r>
              <w:rPr>
                <w:rFonts w:hint="eastAsia"/>
                <w:u w:val="single"/>
                <w:lang w:eastAsia="zh-CN"/>
              </w:rPr>
              <w:t>（单位土地养分需求量</w:t>
            </w:r>
            <w:r>
              <w:rPr>
                <w:rFonts w:hint="default"/>
                <w:u w:val="single"/>
              </w:rPr>
              <w:t>×</w:t>
            </w:r>
            <w:r>
              <w:rPr>
                <w:rFonts w:hint="eastAsia"/>
                <w:u w:val="single"/>
                <w:lang w:eastAsia="zh-CN"/>
              </w:rPr>
              <w:t>施肥供给养分占比</w:t>
            </w:r>
            <w:r>
              <w:rPr>
                <w:rFonts w:hint="default"/>
                <w:u w:val="single"/>
              </w:rPr>
              <w:t>×</w:t>
            </w:r>
            <w:r>
              <w:rPr>
                <w:rFonts w:hint="eastAsia"/>
                <w:u w:val="single"/>
                <w:lang w:eastAsia="zh-CN"/>
              </w:rPr>
              <w:t>粪便占施肥比例）</w:t>
            </w:r>
            <w:r>
              <w:rPr>
                <w:rFonts w:hint="eastAsia"/>
                <w:u w:val="single"/>
                <w:lang w:val="en-US" w:eastAsia="zh-CN"/>
              </w:rPr>
              <w:t>/</w:t>
            </w:r>
            <w:r>
              <w:rPr>
                <w:rFonts w:hint="default"/>
                <w:u w:val="single"/>
              </w:rPr>
              <w:t>粪肥</w:t>
            </w:r>
            <w:r>
              <w:rPr>
                <w:rFonts w:hint="eastAsia"/>
                <w:u w:val="single"/>
                <w:lang w:eastAsia="zh-CN"/>
              </w:rPr>
              <w:t>当季利用率</w:t>
            </w:r>
          </w:p>
          <w:p w14:paraId="2A75CD05">
            <w:pPr>
              <w:bidi w:val="0"/>
              <w:rPr>
                <w:rFonts w:hint="default"/>
                <w:u w:val="single"/>
              </w:rPr>
            </w:pPr>
            <w:r>
              <w:rPr>
                <w:rFonts w:hint="default"/>
                <w:u w:val="single"/>
              </w:rPr>
              <w:t>本项目租赁的农田分</w:t>
            </w:r>
            <w:r>
              <w:rPr>
                <w:rFonts w:hint="eastAsia"/>
                <w:u w:val="single"/>
                <w:lang w:val="en-US" w:eastAsia="zh-CN"/>
              </w:rPr>
              <w:t>1</w:t>
            </w:r>
            <w:r>
              <w:rPr>
                <w:rFonts w:hint="default"/>
                <w:u w:val="single"/>
              </w:rPr>
              <w:t>季种植，种植</w:t>
            </w:r>
            <w:r>
              <w:rPr>
                <w:rFonts w:hint="eastAsia"/>
                <w:u w:val="single"/>
                <w:lang w:eastAsia="zh-CN"/>
              </w:rPr>
              <w:t>柑橘</w:t>
            </w:r>
            <w:r>
              <w:rPr>
                <w:rFonts w:hint="default"/>
                <w:u w:val="single"/>
              </w:rPr>
              <w:t>，根据调查，</w:t>
            </w:r>
            <w:r>
              <w:rPr>
                <w:rFonts w:hint="eastAsia"/>
                <w:u w:val="single"/>
                <w:lang w:eastAsia="zh-CN"/>
              </w:rPr>
              <w:t>全州</w:t>
            </w:r>
            <w:r>
              <w:rPr>
                <w:rFonts w:hint="default"/>
                <w:u w:val="single"/>
              </w:rPr>
              <w:t>地区</w:t>
            </w:r>
            <w:r>
              <w:rPr>
                <w:rFonts w:hint="eastAsia"/>
                <w:u w:val="single"/>
                <w:lang w:eastAsia="zh-CN"/>
              </w:rPr>
              <w:t>柑橘</w:t>
            </w:r>
            <w:r>
              <w:rPr>
                <w:rFonts w:hint="default"/>
                <w:u w:val="single"/>
              </w:rPr>
              <w:t>亩产量</w:t>
            </w:r>
            <w:r>
              <w:rPr>
                <w:rFonts w:hint="eastAsia"/>
                <w:u w:val="single"/>
                <w:lang w:eastAsia="zh-CN"/>
              </w:rPr>
              <w:t>约</w:t>
            </w:r>
            <w:r>
              <w:rPr>
                <w:rFonts w:hint="default"/>
                <w:u w:val="single"/>
              </w:rPr>
              <w:t>为</w:t>
            </w:r>
            <w:r>
              <w:rPr>
                <w:rFonts w:hint="eastAsia"/>
                <w:u w:val="single"/>
                <w:lang w:val="en-US" w:eastAsia="zh-CN"/>
              </w:rPr>
              <w:t>3000</w:t>
            </w:r>
            <w:r>
              <w:rPr>
                <w:rFonts w:hint="default"/>
                <w:u w:val="single"/>
              </w:rPr>
              <w:t>kg，由《畜禽粪污土地承载力测算技术指南》表1可知：每100kg产量的</w:t>
            </w:r>
            <w:r>
              <w:rPr>
                <w:rFonts w:hint="eastAsia"/>
                <w:u w:val="single"/>
                <w:lang w:eastAsia="zh-CN"/>
              </w:rPr>
              <w:t>柑橘</w:t>
            </w:r>
            <w:r>
              <w:rPr>
                <w:rFonts w:hint="default"/>
                <w:u w:val="single"/>
              </w:rPr>
              <w:t>要吸收氮的量为</w:t>
            </w:r>
            <w:r>
              <w:rPr>
                <w:rFonts w:hint="eastAsia"/>
                <w:u w:val="single"/>
                <w:lang w:val="en-US" w:eastAsia="zh-CN"/>
              </w:rPr>
              <w:t>0.6</w:t>
            </w:r>
            <w:r>
              <w:rPr>
                <w:rFonts w:hint="default"/>
                <w:u w:val="single"/>
              </w:rPr>
              <w:t>kg。配套土地种植</w:t>
            </w:r>
            <w:r>
              <w:rPr>
                <w:rFonts w:hint="eastAsia"/>
                <w:u w:val="single"/>
                <w:lang w:eastAsia="zh-CN"/>
              </w:rPr>
              <w:t>柑橘</w:t>
            </w:r>
            <w:r>
              <w:rPr>
                <w:rFonts w:hint="default"/>
                <w:u w:val="single"/>
              </w:rPr>
              <w:t>的单位土地养分（氮）需求量为</w:t>
            </w:r>
            <w:r>
              <w:rPr>
                <w:rFonts w:hint="eastAsia"/>
                <w:u w:val="single"/>
                <w:lang w:val="en-US" w:eastAsia="zh-CN"/>
              </w:rPr>
              <w:t>18</w:t>
            </w:r>
            <w:r>
              <w:rPr>
                <w:rFonts w:hint="default"/>
                <w:u w:val="single"/>
              </w:rPr>
              <w:t>kg/亩。</w:t>
            </w:r>
          </w:p>
          <w:p w14:paraId="0E7D1441">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both"/>
              <w:textAlignment w:val="auto"/>
              <w:rPr>
                <w:rFonts w:hint="default" w:ascii="Times New Roman" w:hAnsi="Times New Roman" w:eastAsia="宋体" w:cs="Times New Roman"/>
                <w:snapToGrid w:val="0"/>
                <w:color w:val="auto"/>
                <w:spacing w:val="-2"/>
                <w:kern w:val="0"/>
                <w:sz w:val="24"/>
                <w:szCs w:val="24"/>
                <w:highlight w:val="none"/>
                <w:u w:val="single"/>
              </w:rPr>
            </w:pPr>
            <w:r>
              <w:rPr>
                <w:rFonts w:hint="default" w:ascii="Times New Roman" w:hAnsi="Times New Roman" w:eastAsia="宋体" w:cs="Times New Roman"/>
                <w:color w:val="auto"/>
                <w:spacing w:val="-2"/>
                <w:kern w:val="0"/>
                <w:sz w:val="24"/>
                <w:szCs w:val="24"/>
                <w:highlight w:val="none"/>
                <w:u w:val="single"/>
              </w:rPr>
              <w:t>施肥供给养分占比：45%（土壤养分水平为</w:t>
            </w:r>
            <w:r>
              <w:rPr>
                <w:rFonts w:hint="default" w:ascii="Times New Roman" w:hAnsi="Times New Roman" w:eastAsia="宋体" w:cs="Times New Roman"/>
                <w:color w:val="auto"/>
                <w:spacing w:val="-2"/>
                <w:kern w:val="0"/>
                <w:sz w:val="24"/>
                <w:szCs w:val="24"/>
                <w:highlight w:val="none"/>
                <w:u w:val="single"/>
              </w:rPr>
              <w:fldChar w:fldCharType="begin"/>
            </w:r>
            <w:r>
              <w:rPr>
                <w:rFonts w:hint="default" w:ascii="Times New Roman" w:hAnsi="Times New Roman" w:eastAsia="宋体" w:cs="Times New Roman"/>
                <w:color w:val="auto"/>
                <w:spacing w:val="-2"/>
                <w:kern w:val="0"/>
                <w:sz w:val="24"/>
                <w:szCs w:val="24"/>
                <w:highlight w:val="none"/>
                <w:u w:val="single"/>
              </w:rPr>
              <w:instrText xml:space="preserve"> = 2 \* ROMAN </w:instrText>
            </w:r>
            <w:r>
              <w:rPr>
                <w:rFonts w:hint="default" w:ascii="Times New Roman" w:hAnsi="Times New Roman" w:eastAsia="宋体" w:cs="Times New Roman"/>
                <w:color w:val="auto"/>
                <w:spacing w:val="-2"/>
                <w:kern w:val="0"/>
                <w:sz w:val="24"/>
                <w:szCs w:val="24"/>
                <w:highlight w:val="none"/>
                <w:u w:val="single"/>
              </w:rPr>
              <w:fldChar w:fldCharType="separate"/>
            </w:r>
            <w:r>
              <w:rPr>
                <w:rFonts w:hint="default" w:ascii="Times New Roman" w:hAnsi="Times New Roman" w:eastAsia="宋体" w:cs="Times New Roman"/>
                <w:color w:val="auto"/>
                <w:spacing w:val="-2"/>
                <w:kern w:val="0"/>
                <w:sz w:val="24"/>
                <w:szCs w:val="24"/>
                <w:highlight w:val="none"/>
                <w:u w:val="single"/>
              </w:rPr>
              <w:t>II</w:t>
            </w:r>
            <w:r>
              <w:rPr>
                <w:rFonts w:hint="default" w:ascii="Times New Roman" w:hAnsi="Times New Roman" w:eastAsia="宋体" w:cs="Times New Roman"/>
                <w:color w:val="auto"/>
                <w:spacing w:val="-2"/>
                <w:kern w:val="0"/>
                <w:sz w:val="24"/>
                <w:szCs w:val="24"/>
                <w:highlight w:val="none"/>
                <w:u w:val="single"/>
              </w:rPr>
              <w:fldChar w:fldCharType="end"/>
            </w:r>
            <w:r>
              <w:rPr>
                <w:rFonts w:hint="default" w:ascii="Times New Roman" w:hAnsi="Times New Roman" w:eastAsia="宋体" w:cs="Times New Roman"/>
                <w:color w:val="auto"/>
                <w:spacing w:val="-2"/>
                <w:kern w:val="0"/>
                <w:sz w:val="24"/>
                <w:szCs w:val="24"/>
                <w:highlight w:val="none"/>
                <w:u w:val="single"/>
              </w:rPr>
              <w:t>类土壤，根据</w:t>
            </w:r>
            <w:r>
              <w:rPr>
                <w:rFonts w:hint="default" w:ascii="Times New Roman" w:hAnsi="Times New Roman" w:eastAsia="宋体" w:cs="Times New Roman"/>
                <w:snapToGrid w:val="0"/>
                <w:color w:val="auto"/>
                <w:spacing w:val="-2"/>
                <w:kern w:val="0"/>
                <w:sz w:val="24"/>
                <w:szCs w:val="24"/>
                <w:highlight w:val="none"/>
                <w:u w:val="single"/>
              </w:rPr>
              <w:t>《畜禽粪污土地承载力测算技术指南》中表2，施肥供给占比取</w:t>
            </w:r>
            <w:r>
              <w:rPr>
                <w:rFonts w:hint="eastAsia" w:cs="Times New Roman"/>
                <w:snapToGrid w:val="0"/>
                <w:color w:val="auto"/>
                <w:spacing w:val="-2"/>
                <w:kern w:val="0"/>
                <w:sz w:val="24"/>
                <w:szCs w:val="24"/>
                <w:highlight w:val="none"/>
                <w:u w:val="single"/>
                <w:lang w:val="en-US" w:eastAsia="zh-CN"/>
              </w:rPr>
              <w:t>5</w:t>
            </w:r>
            <w:r>
              <w:rPr>
                <w:rFonts w:hint="default" w:ascii="Times New Roman" w:hAnsi="Times New Roman" w:eastAsia="宋体" w:cs="Times New Roman"/>
                <w:snapToGrid w:val="0"/>
                <w:color w:val="auto"/>
                <w:spacing w:val="-2"/>
                <w:kern w:val="0"/>
                <w:sz w:val="24"/>
                <w:szCs w:val="24"/>
                <w:highlight w:val="none"/>
                <w:u w:val="single"/>
              </w:rPr>
              <w:t>5%</w:t>
            </w:r>
            <w:r>
              <w:rPr>
                <w:rFonts w:hint="default" w:ascii="Times New Roman" w:hAnsi="Times New Roman" w:eastAsia="宋体" w:cs="Times New Roman"/>
                <w:color w:val="auto"/>
                <w:spacing w:val="-2"/>
                <w:kern w:val="0"/>
                <w:sz w:val="24"/>
                <w:szCs w:val="24"/>
                <w:highlight w:val="none"/>
                <w:u w:val="single"/>
              </w:rPr>
              <w:t>）</w:t>
            </w:r>
            <w:r>
              <w:rPr>
                <w:rFonts w:hint="default" w:ascii="Times New Roman" w:hAnsi="Times New Roman" w:eastAsia="宋体" w:cs="Times New Roman"/>
                <w:snapToGrid w:val="0"/>
                <w:color w:val="auto"/>
                <w:spacing w:val="-2"/>
                <w:kern w:val="0"/>
                <w:sz w:val="24"/>
                <w:szCs w:val="24"/>
                <w:highlight w:val="none"/>
                <w:u w:val="single"/>
              </w:rPr>
              <w:t>。</w:t>
            </w:r>
          </w:p>
          <w:p w14:paraId="368A429B">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both"/>
              <w:textAlignment w:val="auto"/>
              <w:rPr>
                <w:rFonts w:hint="default" w:ascii="Times New Roman" w:hAnsi="Times New Roman" w:eastAsia="宋体" w:cs="Times New Roman"/>
                <w:snapToGrid w:val="0"/>
                <w:color w:val="auto"/>
                <w:spacing w:val="-2"/>
                <w:kern w:val="0"/>
                <w:sz w:val="24"/>
                <w:szCs w:val="24"/>
                <w:highlight w:val="none"/>
                <w:u w:val="single"/>
              </w:rPr>
            </w:pPr>
            <w:r>
              <w:rPr>
                <w:rFonts w:hint="default" w:ascii="Times New Roman" w:hAnsi="Times New Roman" w:eastAsia="宋体" w:cs="Times New Roman"/>
                <w:color w:val="auto"/>
                <w:spacing w:val="-2"/>
                <w:kern w:val="0"/>
                <w:sz w:val="24"/>
                <w:szCs w:val="24"/>
                <w:highlight w:val="none"/>
                <w:u w:val="single"/>
              </w:rPr>
              <w:t>粪肥占施肥比例：100%（配套消纳土地由本项目</w:t>
            </w:r>
            <w:r>
              <w:rPr>
                <w:rFonts w:hint="eastAsia" w:ascii="Times New Roman" w:hAnsi="Times New Roman" w:eastAsia="宋体" w:cs="Times New Roman"/>
                <w:color w:val="auto"/>
                <w:spacing w:val="-2"/>
                <w:kern w:val="0"/>
                <w:sz w:val="24"/>
                <w:szCs w:val="24"/>
                <w:highlight w:val="none"/>
                <w:u w:val="single"/>
                <w:lang w:eastAsia="zh-CN"/>
              </w:rPr>
              <w:t>黑膜厌氧池</w:t>
            </w:r>
            <w:r>
              <w:rPr>
                <w:rFonts w:hint="default" w:ascii="Times New Roman" w:hAnsi="Times New Roman" w:eastAsia="宋体" w:cs="Times New Roman"/>
                <w:color w:val="auto"/>
                <w:spacing w:val="-2"/>
                <w:kern w:val="0"/>
                <w:sz w:val="24"/>
                <w:szCs w:val="24"/>
                <w:highlight w:val="none"/>
                <w:u w:val="single"/>
              </w:rPr>
              <w:t>处理后的沼液作为肥料使用，不再使用其他肥料，因此取100%）。</w:t>
            </w:r>
          </w:p>
          <w:p w14:paraId="0B20B55B">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both"/>
              <w:textAlignment w:val="auto"/>
              <w:rPr>
                <w:rFonts w:hint="default" w:ascii="Times New Roman" w:hAnsi="Times New Roman" w:eastAsia="宋体" w:cs="Times New Roman"/>
                <w:snapToGrid w:val="0"/>
                <w:color w:val="auto"/>
                <w:spacing w:val="-2"/>
                <w:kern w:val="0"/>
                <w:sz w:val="24"/>
                <w:szCs w:val="24"/>
                <w:highlight w:val="none"/>
                <w:u w:val="single"/>
              </w:rPr>
            </w:pPr>
            <w:r>
              <w:rPr>
                <w:rFonts w:hint="default" w:ascii="Times New Roman" w:hAnsi="Times New Roman" w:eastAsia="宋体" w:cs="Times New Roman"/>
                <w:color w:val="auto"/>
                <w:spacing w:val="-2"/>
                <w:kern w:val="0"/>
                <w:sz w:val="24"/>
                <w:szCs w:val="24"/>
                <w:highlight w:val="none"/>
                <w:u w:val="single"/>
              </w:rPr>
              <w:t>粪肥当季利用率：氮素为25%（根据</w:t>
            </w:r>
            <w:r>
              <w:rPr>
                <w:rFonts w:hint="default" w:ascii="Times New Roman" w:hAnsi="Times New Roman" w:eastAsia="宋体" w:cs="Times New Roman"/>
                <w:snapToGrid w:val="0"/>
                <w:color w:val="auto"/>
                <w:spacing w:val="-2"/>
                <w:kern w:val="0"/>
                <w:sz w:val="24"/>
                <w:szCs w:val="24"/>
                <w:highlight w:val="none"/>
                <w:u w:val="single"/>
              </w:rPr>
              <w:t>《畜禽粪污土地承载力测算技术指南》，粪肥中氮元素当季利用率推荐值为25%</w:t>
            </w:r>
            <w:r>
              <w:rPr>
                <w:rFonts w:hint="default" w:ascii="Times New Roman" w:hAnsi="Times New Roman" w:eastAsia="宋体" w:cs="Times New Roman"/>
                <w:snapToGrid w:val="0"/>
                <w:color w:val="auto"/>
                <w:spacing w:val="-2"/>
                <w:kern w:val="0"/>
                <w:sz w:val="24"/>
                <w:szCs w:val="24"/>
                <w:highlight w:val="none"/>
                <w:u w:val="single"/>
                <w:lang w:val="en-US" w:eastAsia="zh-CN"/>
              </w:rPr>
              <w:t>~</w:t>
            </w:r>
            <w:r>
              <w:rPr>
                <w:rFonts w:hint="default" w:ascii="Times New Roman" w:hAnsi="Times New Roman" w:eastAsia="宋体" w:cs="Times New Roman"/>
                <w:snapToGrid w:val="0"/>
                <w:color w:val="auto"/>
                <w:spacing w:val="-2"/>
                <w:kern w:val="0"/>
                <w:sz w:val="24"/>
                <w:szCs w:val="24"/>
                <w:highlight w:val="none"/>
                <w:u w:val="single"/>
              </w:rPr>
              <w:t>30%</w:t>
            </w:r>
            <w:r>
              <w:rPr>
                <w:rFonts w:hint="default" w:ascii="Times New Roman" w:hAnsi="Times New Roman" w:eastAsia="宋体" w:cs="Times New Roman"/>
                <w:color w:val="auto"/>
                <w:spacing w:val="-2"/>
                <w:kern w:val="0"/>
                <w:sz w:val="24"/>
                <w:szCs w:val="24"/>
                <w:highlight w:val="none"/>
                <w:u w:val="single"/>
              </w:rPr>
              <w:t>）。</w:t>
            </w:r>
          </w:p>
          <w:p w14:paraId="594886E4">
            <w:pPr>
              <w:bidi w:val="0"/>
              <w:jc w:val="both"/>
              <w:rPr>
                <w:rFonts w:hint="default" w:ascii="Times New Roman" w:hAnsi="Times New Roman" w:eastAsia="宋体" w:cs="Times New Roman"/>
                <w:snapToGrid w:val="0"/>
                <w:color w:val="auto"/>
                <w:spacing w:val="-2"/>
                <w:kern w:val="0"/>
                <w:sz w:val="24"/>
                <w:szCs w:val="24"/>
                <w:highlight w:val="none"/>
                <w:u w:val="single"/>
              </w:rPr>
            </w:pPr>
            <w:r>
              <w:rPr>
                <w:rFonts w:hint="default" w:ascii="Times New Roman" w:hAnsi="Times New Roman" w:eastAsia="宋体" w:cs="Times New Roman"/>
                <w:color w:val="auto"/>
                <w:spacing w:val="-2"/>
                <w:kern w:val="0"/>
                <w:sz w:val="24"/>
                <w:szCs w:val="24"/>
                <w:highlight w:val="none"/>
                <w:u w:val="single"/>
              </w:rPr>
              <w:t>根据计算，消纳农田种植</w:t>
            </w:r>
            <w:r>
              <w:rPr>
                <w:rFonts w:hint="eastAsia" w:cs="Times New Roman"/>
                <w:color w:val="auto"/>
                <w:spacing w:val="-2"/>
                <w:kern w:val="0"/>
                <w:sz w:val="24"/>
                <w:szCs w:val="24"/>
                <w:highlight w:val="none"/>
                <w:u w:val="single"/>
                <w:lang w:eastAsia="zh-CN"/>
              </w:rPr>
              <w:t>柑橘</w:t>
            </w:r>
            <w:r>
              <w:rPr>
                <w:rFonts w:hint="default" w:ascii="Times New Roman" w:hAnsi="Times New Roman" w:eastAsia="宋体" w:cs="Times New Roman"/>
                <w:color w:val="auto"/>
                <w:spacing w:val="-2"/>
                <w:kern w:val="0"/>
                <w:sz w:val="24"/>
                <w:szCs w:val="24"/>
                <w:highlight w:val="none"/>
                <w:u w:val="single"/>
              </w:rPr>
              <w:t>时单位土地粪肥养分（氮）需求量为</w:t>
            </w:r>
            <w:r>
              <w:rPr>
                <w:rFonts w:hint="eastAsia" w:ascii="Times New Roman" w:hAnsi="Times New Roman" w:eastAsia="宋体" w:cs="Times New Roman"/>
                <w:snapToGrid w:val="0"/>
                <w:color w:val="auto"/>
                <w:spacing w:val="-2"/>
                <w:kern w:val="0"/>
                <w:sz w:val="24"/>
                <w:szCs w:val="24"/>
                <w:highlight w:val="none"/>
                <w:u w:val="single"/>
                <w:lang w:val="en-US" w:eastAsia="zh-CN"/>
              </w:rPr>
              <w:t>1</w:t>
            </w:r>
            <w:r>
              <w:rPr>
                <w:rFonts w:hint="eastAsia" w:cs="Times New Roman"/>
                <w:snapToGrid w:val="0"/>
                <w:color w:val="auto"/>
                <w:spacing w:val="-2"/>
                <w:kern w:val="0"/>
                <w:sz w:val="24"/>
                <w:szCs w:val="24"/>
                <w:highlight w:val="none"/>
                <w:u w:val="single"/>
                <w:lang w:val="en-US" w:eastAsia="zh-CN"/>
              </w:rPr>
              <w:t>8</w:t>
            </w:r>
            <w:r>
              <w:rPr>
                <w:rFonts w:hint="default" w:ascii="Times New Roman" w:hAnsi="Times New Roman" w:eastAsia="宋体" w:cs="Times New Roman"/>
                <w:snapToGrid w:val="0"/>
                <w:color w:val="auto"/>
                <w:spacing w:val="-2"/>
                <w:kern w:val="0"/>
                <w:sz w:val="24"/>
                <w:szCs w:val="24"/>
                <w:highlight w:val="none"/>
                <w:u w:val="single"/>
              </w:rPr>
              <w:t>kg×</w:t>
            </w:r>
            <w:r>
              <w:rPr>
                <w:rFonts w:hint="eastAsia" w:cs="Times New Roman"/>
                <w:snapToGrid w:val="0"/>
                <w:color w:val="auto"/>
                <w:spacing w:val="-2"/>
                <w:kern w:val="0"/>
                <w:sz w:val="24"/>
                <w:szCs w:val="24"/>
                <w:highlight w:val="none"/>
                <w:u w:val="single"/>
                <w:lang w:val="en-US" w:eastAsia="zh-CN"/>
              </w:rPr>
              <w:t>5</w:t>
            </w:r>
            <w:r>
              <w:rPr>
                <w:rFonts w:hint="default" w:ascii="Times New Roman" w:hAnsi="Times New Roman" w:eastAsia="宋体" w:cs="Times New Roman"/>
                <w:snapToGrid w:val="0"/>
                <w:color w:val="auto"/>
                <w:spacing w:val="-2"/>
                <w:kern w:val="0"/>
                <w:sz w:val="24"/>
                <w:szCs w:val="24"/>
                <w:highlight w:val="none"/>
                <w:u w:val="single"/>
                <w:lang w:val="en-US" w:eastAsia="zh-CN"/>
              </w:rPr>
              <w:t>5%</w:t>
            </w:r>
            <w:r>
              <w:rPr>
                <w:rFonts w:hint="default" w:ascii="Times New Roman" w:hAnsi="Times New Roman" w:eastAsia="宋体" w:cs="Times New Roman"/>
                <w:snapToGrid w:val="0"/>
                <w:color w:val="auto"/>
                <w:spacing w:val="-2"/>
                <w:kern w:val="0"/>
                <w:sz w:val="24"/>
                <w:szCs w:val="24"/>
                <w:highlight w:val="none"/>
                <w:u w:val="single"/>
              </w:rPr>
              <w:t>×</w:t>
            </w:r>
            <w:r>
              <w:rPr>
                <w:rFonts w:hint="default" w:ascii="Times New Roman" w:hAnsi="Times New Roman" w:eastAsia="宋体" w:cs="Times New Roman"/>
                <w:snapToGrid w:val="0"/>
                <w:color w:val="auto"/>
                <w:spacing w:val="-2"/>
                <w:kern w:val="0"/>
                <w:sz w:val="24"/>
                <w:szCs w:val="24"/>
                <w:highlight w:val="none"/>
                <w:u w:val="single"/>
                <w:lang w:val="en-US" w:eastAsia="zh-CN"/>
              </w:rPr>
              <w:t>100%/25%=</w:t>
            </w:r>
            <w:r>
              <w:rPr>
                <w:rFonts w:hint="eastAsia" w:cs="Times New Roman"/>
                <w:snapToGrid w:val="0"/>
                <w:color w:val="auto"/>
                <w:spacing w:val="-2"/>
                <w:kern w:val="0"/>
                <w:sz w:val="24"/>
                <w:szCs w:val="24"/>
                <w:highlight w:val="none"/>
                <w:u w:val="single"/>
                <w:lang w:val="en-US" w:eastAsia="zh-CN"/>
              </w:rPr>
              <w:t>21.6</w:t>
            </w:r>
            <w:r>
              <w:rPr>
                <w:rFonts w:hint="default" w:ascii="Times New Roman" w:hAnsi="Times New Roman" w:eastAsia="宋体" w:cs="Times New Roman"/>
                <w:snapToGrid w:val="0"/>
                <w:color w:val="auto"/>
                <w:spacing w:val="-2"/>
                <w:kern w:val="0"/>
                <w:sz w:val="24"/>
                <w:szCs w:val="24"/>
                <w:highlight w:val="none"/>
                <w:u w:val="single"/>
              </w:rPr>
              <w:t>kg/亩，消纳单位农田全年粪肥养分</w:t>
            </w:r>
            <w:r>
              <w:rPr>
                <w:rFonts w:hint="default" w:ascii="Times New Roman" w:hAnsi="Times New Roman" w:eastAsia="宋体" w:cs="Times New Roman"/>
                <w:color w:val="auto"/>
                <w:spacing w:val="-2"/>
                <w:kern w:val="0"/>
                <w:sz w:val="24"/>
                <w:szCs w:val="24"/>
                <w:highlight w:val="none"/>
                <w:u w:val="single"/>
              </w:rPr>
              <w:t>（氮）</w:t>
            </w:r>
            <w:r>
              <w:rPr>
                <w:rFonts w:hint="default" w:ascii="Times New Roman" w:hAnsi="Times New Roman" w:eastAsia="宋体" w:cs="Times New Roman"/>
                <w:snapToGrid w:val="0"/>
                <w:color w:val="auto"/>
                <w:spacing w:val="-2"/>
                <w:kern w:val="0"/>
                <w:sz w:val="24"/>
                <w:szCs w:val="24"/>
                <w:highlight w:val="none"/>
                <w:u w:val="single"/>
              </w:rPr>
              <w:t>需求量为</w:t>
            </w:r>
            <w:r>
              <w:rPr>
                <w:rFonts w:hint="eastAsia" w:cs="Times New Roman"/>
                <w:snapToGrid w:val="0"/>
                <w:color w:val="auto"/>
                <w:spacing w:val="-2"/>
                <w:kern w:val="0"/>
                <w:sz w:val="24"/>
                <w:szCs w:val="24"/>
                <w:highlight w:val="none"/>
                <w:u w:val="single"/>
                <w:lang w:val="en-US" w:eastAsia="zh-CN"/>
              </w:rPr>
              <w:t>39.6</w:t>
            </w:r>
            <w:r>
              <w:rPr>
                <w:rFonts w:hint="default" w:ascii="Times New Roman" w:hAnsi="Times New Roman" w:eastAsia="宋体" w:cs="Times New Roman"/>
                <w:snapToGrid w:val="0"/>
                <w:color w:val="auto"/>
                <w:spacing w:val="-2"/>
                <w:kern w:val="0"/>
                <w:sz w:val="24"/>
                <w:szCs w:val="24"/>
                <w:highlight w:val="none"/>
                <w:u w:val="single"/>
              </w:rPr>
              <w:t>kg/亩；</w:t>
            </w:r>
          </w:p>
          <w:p w14:paraId="5E5B518B">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both"/>
              <w:textAlignment w:val="auto"/>
              <w:rPr>
                <w:rFonts w:hint="default" w:ascii="Times New Roman" w:hAnsi="Times New Roman" w:eastAsia="宋体" w:cs="Times New Roman"/>
                <w:color w:val="auto"/>
                <w:spacing w:val="-2"/>
                <w:kern w:val="0"/>
                <w:sz w:val="24"/>
                <w:szCs w:val="24"/>
                <w:highlight w:val="none"/>
                <w:u w:val="single"/>
                <w:lang w:val="en-US" w:eastAsia="zh-CN"/>
              </w:rPr>
            </w:pPr>
            <w:r>
              <w:rPr>
                <w:rFonts w:hint="eastAsia" w:ascii="Times New Roman" w:hAnsi="Times New Roman" w:eastAsia="宋体" w:cs="Times New Roman"/>
                <w:color w:val="auto"/>
                <w:spacing w:val="-2"/>
                <w:kern w:val="0"/>
                <w:sz w:val="24"/>
                <w:szCs w:val="24"/>
                <w:highlight w:val="none"/>
                <w:u w:val="single"/>
                <w:lang w:val="en-US" w:eastAsia="zh-CN"/>
              </w:rPr>
              <w:t>B、单位土地养分供给量</w:t>
            </w:r>
          </w:p>
          <w:p w14:paraId="6021B61E">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both"/>
              <w:textAlignment w:val="auto"/>
              <w:rPr>
                <w:rFonts w:hint="default"/>
                <w:color w:val="auto"/>
                <w:lang w:val="en-US" w:eastAsia="zh-CN"/>
              </w:rPr>
            </w:pPr>
            <w:r>
              <w:rPr>
                <w:rFonts w:hint="default" w:ascii="Times New Roman" w:hAnsi="Times New Roman" w:eastAsia="宋体" w:cs="Times New Roman"/>
                <w:color w:val="auto"/>
                <w:spacing w:val="-2"/>
                <w:kern w:val="0"/>
                <w:sz w:val="24"/>
                <w:szCs w:val="24"/>
                <w:highlight w:val="none"/>
                <w:u w:val="single"/>
                <w:lang w:val="en-US" w:eastAsia="zh-CN"/>
              </w:rPr>
              <w:t>参照东北农业大学工程学院生物质高值利用团队《高浓度有机废水资源化处置工艺研究》无害化处理项目送样废水检测数据，总氮浓度约365mg/L。经厌氧发酵后总氮浓度会有所减少，</w:t>
            </w:r>
            <w:r>
              <w:rPr>
                <w:rFonts w:hint="eastAsia" w:ascii="Times New Roman" w:hAnsi="Times New Roman" w:eastAsia="宋体" w:cs="Times New Roman"/>
                <w:color w:val="auto"/>
                <w:spacing w:val="-2"/>
                <w:kern w:val="0"/>
                <w:sz w:val="24"/>
                <w:szCs w:val="24"/>
                <w:highlight w:val="none"/>
                <w:u w:val="single"/>
                <w:lang w:val="en-US" w:eastAsia="zh-CN"/>
              </w:rPr>
              <w:t>本次评价按250</w:t>
            </w:r>
            <w:r>
              <w:rPr>
                <w:rFonts w:hint="default" w:ascii="Times New Roman" w:hAnsi="Times New Roman" w:eastAsia="宋体" w:cs="Times New Roman"/>
                <w:color w:val="auto"/>
                <w:spacing w:val="-2"/>
                <w:kern w:val="0"/>
                <w:sz w:val="24"/>
                <w:szCs w:val="24"/>
                <w:highlight w:val="none"/>
                <w:u w:val="single"/>
                <w:lang w:val="en-US" w:eastAsia="zh-CN"/>
              </w:rPr>
              <w:t>mg/L计。本项目</w:t>
            </w:r>
            <w:r>
              <w:rPr>
                <w:rFonts w:hint="eastAsia" w:ascii="Times New Roman" w:hAnsi="Times New Roman" w:eastAsia="宋体" w:cs="Times New Roman"/>
                <w:color w:val="auto"/>
                <w:spacing w:val="-2"/>
                <w:kern w:val="0"/>
                <w:sz w:val="24"/>
                <w:szCs w:val="24"/>
                <w:highlight w:val="none"/>
                <w:u w:val="single"/>
                <w:lang w:val="en-US" w:eastAsia="zh-CN"/>
              </w:rPr>
              <w:t>沼液</w:t>
            </w:r>
            <w:r>
              <w:rPr>
                <w:rFonts w:hint="default" w:ascii="Times New Roman" w:hAnsi="Times New Roman" w:eastAsia="宋体" w:cs="Times New Roman"/>
                <w:color w:val="auto"/>
                <w:spacing w:val="-2"/>
                <w:kern w:val="0"/>
                <w:sz w:val="24"/>
                <w:szCs w:val="24"/>
                <w:highlight w:val="none"/>
                <w:u w:val="single"/>
                <w:lang w:val="en-US" w:eastAsia="zh-CN"/>
              </w:rPr>
              <w:t>总量为</w:t>
            </w:r>
            <w:r>
              <w:rPr>
                <w:rFonts w:hint="eastAsia" w:ascii="Times New Roman" w:hAnsi="Times New Roman" w:eastAsia="宋体" w:cs="Times New Roman"/>
                <w:color w:val="auto"/>
                <w:spacing w:val="-2"/>
                <w:kern w:val="0"/>
                <w:sz w:val="24"/>
                <w:szCs w:val="24"/>
                <w:highlight w:val="none"/>
                <w:u w:val="single"/>
                <w:lang w:val="en-US" w:eastAsia="zh-CN"/>
              </w:rPr>
              <w:t>6231.23</w:t>
            </w:r>
            <w:r>
              <w:rPr>
                <w:rFonts w:hint="default" w:ascii="Times New Roman" w:hAnsi="Times New Roman" w:eastAsia="宋体" w:cs="Times New Roman"/>
                <w:color w:val="auto"/>
                <w:spacing w:val="-2"/>
                <w:kern w:val="0"/>
                <w:sz w:val="24"/>
                <w:szCs w:val="24"/>
                <w:highlight w:val="none"/>
                <w:u w:val="single"/>
                <w:lang w:val="en-US" w:eastAsia="zh-CN"/>
              </w:rPr>
              <w:t>t/a。计算得含氮量约</w:t>
            </w:r>
            <w:r>
              <w:rPr>
                <w:rFonts w:hint="eastAsia" w:ascii="Times New Roman" w:hAnsi="Times New Roman" w:eastAsia="宋体" w:cs="Times New Roman"/>
                <w:color w:val="auto"/>
                <w:spacing w:val="-2"/>
                <w:kern w:val="0"/>
                <w:sz w:val="24"/>
                <w:szCs w:val="24"/>
                <w:highlight w:val="none"/>
                <w:u w:val="single"/>
                <w:lang w:val="en-US" w:eastAsia="zh-CN"/>
              </w:rPr>
              <w:t>1557.81</w:t>
            </w:r>
            <w:r>
              <w:rPr>
                <w:rFonts w:hint="default" w:ascii="Times New Roman" w:hAnsi="Times New Roman" w:eastAsia="宋体" w:cs="Times New Roman"/>
                <w:color w:val="auto"/>
                <w:spacing w:val="-2"/>
                <w:kern w:val="0"/>
                <w:sz w:val="24"/>
                <w:szCs w:val="24"/>
                <w:highlight w:val="none"/>
                <w:u w:val="single"/>
                <w:lang w:val="en-US" w:eastAsia="zh-CN"/>
              </w:rPr>
              <w:t>kg/a</w:t>
            </w:r>
            <w:r>
              <w:rPr>
                <w:rFonts w:hint="default" w:ascii="Times New Roman" w:hAnsi="Times New Roman" w:cs="Times New Roman"/>
                <w:color w:val="auto"/>
                <w:sz w:val="24"/>
                <w:szCs w:val="24"/>
                <w:highlight w:val="none"/>
                <w:lang w:val="en-US" w:eastAsia="zh-CN"/>
              </w:rPr>
              <w:t>。</w:t>
            </w:r>
          </w:p>
          <w:p w14:paraId="05EFD0FB">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both"/>
              <w:textAlignment w:val="auto"/>
              <w:rPr>
                <w:rFonts w:hint="default" w:ascii="Times New Roman" w:hAnsi="Times New Roman" w:eastAsia="宋体" w:cs="Times New Roman"/>
                <w:color w:val="auto"/>
                <w:spacing w:val="-2"/>
                <w:kern w:val="0"/>
                <w:sz w:val="24"/>
                <w:szCs w:val="24"/>
                <w:highlight w:val="none"/>
                <w:u w:val="single"/>
                <w:lang w:val="en-US" w:eastAsia="zh-CN"/>
              </w:rPr>
            </w:pPr>
            <w:r>
              <w:rPr>
                <w:rFonts w:hint="default" w:ascii="Times New Roman" w:hAnsi="Times New Roman" w:eastAsia="宋体" w:cs="Times New Roman"/>
                <w:color w:val="auto"/>
                <w:spacing w:val="-2"/>
                <w:kern w:val="0"/>
                <w:sz w:val="24"/>
                <w:szCs w:val="24"/>
                <w:highlight w:val="none"/>
                <w:u w:val="single"/>
                <w:lang w:val="en-US" w:eastAsia="zh-CN"/>
              </w:rPr>
              <w:t>则本项目全年粪肥养分（氮）需求的配套农田为：</w:t>
            </w:r>
            <w:r>
              <w:rPr>
                <w:rFonts w:hint="eastAsia" w:ascii="Times New Roman" w:hAnsi="Times New Roman" w:eastAsia="宋体" w:cs="Times New Roman"/>
                <w:color w:val="auto"/>
                <w:spacing w:val="-2"/>
                <w:kern w:val="0"/>
                <w:sz w:val="24"/>
                <w:szCs w:val="24"/>
                <w:highlight w:val="none"/>
                <w:u w:val="single"/>
                <w:lang w:val="en-US" w:eastAsia="zh-CN"/>
              </w:rPr>
              <w:t>1557.81</w:t>
            </w:r>
            <w:r>
              <w:rPr>
                <w:rFonts w:hint="default" w:ascii="Times New Roman" w:hAnsi="Times New Roman" w:eastAsia="宋体" w:cs="Times New Roman"/>
                <w:color w:val="auto"/>
                <w:spacing w:val="-2"/>
                <w:kern w:val="0"/>
                <w:sz w:val="24"/>
                <w:szCs w:val="24"/>
                <w:highlight w:val="none"/>
                <w:u w:val="single"/>
                <w:lang w:val="en-US" w:eastAsia="zh-CN"/>
              </w:rPr>
              <w:t>kg/</w:t>
            </w:r>
            <w:r>
              <w:rPr>
                <w:rFonts w:hint="eastAsia" w:ascii="Times New Roman" w:hAnsi="Times New Roman" w:eastAsia="宋体" w:cs="Times New Roman"/>
                <w:color w:val="auto"/>
                <w:spacing w:val="-2"/>
                <w:kern w:val="0"/>
                <w:sz w:val="24"/>
                <w:szCs w:val="24"/>
                <w:highlight w:val="none"/>
                <w:u w:val="single"/>
                <w:lang w:val="en-US" w:eastAsia="zh-CN"/>
              </w:rPr>
              <w:t>39.6</w:t>
            </w:r>
            <w:r>
              <w:rPr>
                <w:rFonts w:hint="default" w:ascii="Times New Roman" w:hAnsi="Times New Roman" w:eastAsia="宋体" w:cs="Times New Roman"/>
                <w:color w:val="auto"/>
                <w:spacing w:val="-2"/>
                <w:kern w:val="0"/>
                <w:sz w:val="24"/>
                <w:szCs w:val="24"/>
                <w:highlight w:val="none"/>
                <w:u w:val="single"/>
                <w:lang w:val="en-US" w:eastAsia="zh-CN"/>
              </w:rPr>
              <w:t>kg/亩=</w:t>
            </w:r>
            <w:r>
              <w:rPr>
                <w:rFonts w:hint="eastAsia" w:ascii="Times New Roman" w:hAnsi="Times New Roman" w:eastAsia="宋体" w:cs="Times New Roman"/>
                <w:color w:val="auto"/>
                <w:spacing w:val="-2"/>
                <w:kern w:val="0"/>
                <w:sz w:val="24"/>
                <w:szCs w:val="24"/>
                <w:highlight w:val="none"/>
                <w:u w:val="single"/>
                <w:lang w:val="en-US" w:eastAsia="zh-CN"/>
              </w:rPr>
              <w:t>39.34</w:t>
            </w:r>
            <w:r>
              <w:rPr>
                <w:rFonts w:hint="default" w:ascii="Times New Roman" w:hAnsi="Times New Roman" w:eastAsia="宋体" w:cs="Times New Roman"/>
                <w:color w:val="auto"/>
                <w:spacing w:val="-2"/>
                <w:kern w:val="0"/>
                <w:sz w:val="24"/>
                <w:szCs w:val="24"/>
                <w:highlight w:val="none"/>
                <w:u w:val="single"/>
                <w:lang w:val="en-US" w:eastAsia="zh-CN"/>
              </w:rPr>
              <w:t>亩；</w:t>
            </w:r>
          </w:p>
          <w:p w14:paraId="737C60A9">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both"/>
              <w:textAlignment w:val="auto"/>
              <w:rPr>
                <w:rFonts w:hint="default" w:ascii="Times New Roman" w:hAnsi="Times New Roman" w:cs="Times New Roman"/>
                <w:b/>
                <w:bCs/>
                <w:color w:val="auto"/>
                <w:sz w:val="21"/>
                <w:szCs w:val="21"/>
                <w:highlight w:val="none"/>
                <w:u w:val="single"/>
                <w:lang w:val="en-US" w:eastAsia="zh-CN"/>
              </w:rPr>
            </w:pPr>
            <w:r>
              <w:rPr>
                <w:rFonts w:hint="default" w:ascii="Times New Roman" w:hAnsi="Times New Roman" w:eastAsia="宋体" w:cs="Times New Roman"/>
                <w:color w:val="auto"/>
                <w:spacing w:val="-2"/>
                <w:kern w:val="0"/>
                <w:sz w:val="24"/>
                <w:szCs w:val="24"/>
                <w:highlight w:val="none"/>
                <w:u w:val="single"/>
                <w:lang w:val="en-US" w:eastAsia="zh-CN"/>
              </w:rPr>
              <w:t>综上，本项目沼液消纳农田需求量为</w:t>
            </w:r>
            <w:r>
              <w:rPr>
                <w:rFonts w:hint="eastAsia" w:cs="Times New Roman"/>
                <w:color w:val="auto"/>
                <w:spacing w:val="-2"/>
                <w:kern w:val="0"/>
                <w:sz w:val="24"/>
                <w:szCs w:val="24"/>
                <w:highlight w:val="none"/>
                <w:u w:val="single"/>
                <w:lang w:val="en-US" w:eastAsia="zh-CN"/>
              </w:rPr>
              <w:t>39.34</w:t>
            </w:r>
            <w:r>
              <w:rPr>
                <w:rFonts w:hint="default" w:ascii="Times New Roman" w:hAnsi="Times New Roman" w:eastAsia="宋体" w:cs="Times New Roman"/>
                <w:color w:val="auto"/>
                <w:spacing w:val="-2"/>
                <w:kern w:val="0"/>
                <w:sz w:val="24"/>
                <w:szCs w:val="24"/>
                <w:highlight w:val="none"/>
                <w:u w:val="single"/>
                <w:lang w:val="en-US" w:eastAsia="zh-CN"/>
              </w:rPr>
              <w:t>亩，根据《畜禽养殖业污染治理工</w:t>
            </w:r>
            <w:r>
              <w:rPr>
                <w:rFonts w:hint="default" w:ascii="Times New Roman" w:hAnsi="Times New Roman" w:eastAsia="宋体" w:cs="Times New Roman"/>
                <w:snapToGrid w:val="0"/>
                <w:color w:val="auto"/>
                <w:spacing w:val="-2"/>
                <w:kern w:val="0"/>
                <w:sz w:val="24"/>
                <w:szCs w:val="24"/>
                <w:highlight w:val="none"/>
              </w:rPr>
              <w:t>程</w:t>
            </w:r>
            <w:r>
              <w:rPr>
                <w:rFonts w:hint="default" w:ascii="Times New Roman" w:hAnsi="Times New Roman" w:eastAsia="宋体" w:cs="Times New Roman"/>
                <w:snapToGrid w:val="0"/>
                <w:color w:val="auto"/>
                <w:spacing w:val="-2"/>
                <w:kern w:val="0"/>
                <w:sz w:val="24"/>
                <w:szCs w:val="24"/>
                <w:highlight w:val="none"/>
                <w:u w:val="single"/>
              </w:rPr>
              <w:t>技术规范》（HJ497-2009）中要求，应有一倍以上的土地用于轮作施肥，</w:t>
            </w:r>
            <w:r>
              <w:rPr>
                <w:rFonts w:hint="default" w:ascii="Times New Roman" w:hAnsi="Times New Roman" w:eastAsia="宋体" w:cs="Times New Roman"/>
                <w:snapToGrid w:val="0"/>
                <w:color w:val="auto"/>
                <w:spacing w:val="-2"/>
                <w:kern w:val="0"/>
                <w:sz w:val="24"/>
                <w:szCs w:val="24"/>
                <w:highlight w:val="none"/>
                <w:u w:val="single"/>
                <w:lang w:eastAsia="zh-CN"/>
              </w:rPr>
              <w:t>则至少需</w:t>
            </w:r>
            <w:r>
              <w:rPr>
                <w:rFonts w:hint="default" w:ascii="Times New Roman" w:hAnsi="Times New Roman" w:eastAsia="宋体" w:cs="Times New Roman"/>
                <w:snapToGrid w:val="0"/>
                <w:color w:val="auto"/>
                <w:spacing w:val="-2"/>
                <w:kern w:val="0"/>
                <w:sz w:val="24"/>
                <w:szCs w:val="24"/>
                <w:highlight w:val="none"/>
                <w:u w:val="single"/>
              </w:rPr>
              <w:t>沼液消纳农田</w:t>
            </w:r>
            <w:r>
              <w:rPr>
                <w:rFonts w:hint="eastAsia" w:cs="Times New Roman"/>
                <w:snapToGrid w:val="0"/>
                <w:color w:val="auto"/>
                <w:spacing w:val="-2"/>
                <w:kern w:val="0"/>
                <w:sz w:val="24"/>
                <w:szCs w:val="24"/>
                <w:highlight w:val="none"/>
                <w:u w:val="single"/>
                <w:lang w:val="en-US" w:eastAsia="zh-CN"/>
              </w:rPr>
              <w:t>78.68</w:t>
            </w:r>
            <w:r>
              <w:rPr>
                <w:rFonts w:hint="default" w:ascii="Times New Roman" w:hAnsi="Times New Roman" w:eastAsia="宋体" w:cs="Times New Roman"/>
                <w:snapToGrid w:val="0"/>
                <w:color w:val="auto"/>
                <w:spacing w:val="-2"/>
                <w:kern w:val="0"/>
                <w:sz w:val="24"/>
                <w:szCs w:val="24"/>
                <w:highlight w:val="none"/>
                <w:u w:val="single"/>
                <w:lang w:val="en-US" w:eastAsia="zh-CN"/>
              </w:rPr>
              <w:t>亩</w:t>
            </w:r>
            <w:r>
              <w:rPr>
                <w:rFonts w:hint="default" w:ascii="Times New Roman" w:hAnsi="Times New Roman" w:eastAsia="宋体" w:cs="Times New Roman"/>
                <w:snapToGrid w:val="0"/>
                <w:color w:val="auto"/>
                <w:spacing w:val="-2"/>
                <w:kern w:val="0"/>
                <w:sz w:val="24"/>
                <w:szCs w:val="24"/>
                <w:highlight w:val="none"/>
                <w:u w:val="single"/>
                <w:lang w:eastAsia="zh-CN"/>
              </w:rPr>
              <w:t>。</w:t>
            </w:r>
            <w:r>
              <w:rPr>
                <w:rFonts w:hint="eastAsia" w:ascii="Times New Roman" w:hAnsi="Times New Roman" w:cs="Times New Roman"/>
                <w:color w:val="auto"/>
                <w:sz w:val="24"/>
                <w:szCs w:val="24"/>
                <w:u w:val="single"/>
                <w:lang w:val="en-US" w:eastAsia="zh-CN"/>
              </w:rPr>
              <w:t>全州县侨盈环保科技有限公司</w:t>
            </w:r>
            <w:r>
              <w:rPr>
                <w:rFonts w:hint="default" w:ascii="Times New Roman" w:hAnsi="Times New Roman" w:cs="Times New Roman"/>
                <w:color w:val="auto"/>
                <w:sz w:val="24"/>
                <w:szCs w:val="24"/>
                <w:u w:val="single"/>
                <w:lang w:val="en-US" w:eastAsia="zh-CN"/>
              </w:rPr>
              <w:t>已与</w:t>
            </w:r>
            <w:r>
              <w:rPr>
                <w:rFonts w:hint="eastAsia" w:ascii="Times New Roman" w:hAnsi="Times New Roman" w:cs="Times New Roman"/>
                <w:color w:val="auto"/>
                <w:sz w:val="24"/>
                <w:szCs w:val="24"/>
                <w:u w:val="single"/>
                <w:lang w:val="en-US" w:eastAsia="zh-CN"/>
              </w:rPr>
              <w:t>全州县才湾镇邓吉村委高车村</w:t>
            </w:r>
            <w:r>
              <w:rPr>
                <w:rFonts w:hint="default" w:ascii="Times New Roman" w:hAnsi="Times New Roman" w:cs="Times New Roman"/>
                <w:color w:val="auto"/>
                <w:sz w:val="24"/>
                <w:szCs w:val="24"/>
                <w:highlight w:val="none"/>
                <w:u w:val="single"/>
                <w:lang w:val="en-US" w:eastAsia="zh-CN"/>
              </w:rPr>
              <w:t>村民</w:t>
            </w:r>
            <w:r>
              <w:rPr>
                <w:rFonts w:hint="eastAsia" w:cs="Times New Roman"/>
                <w:color w:val="auto"/>
                <w:sz w:val="24"/>
                <w:szCs w:val="24"/>
                <w:highlight w:val="none"/>
                <w:u w:val="single"/>
                <w:lang w:val="en-US" w:eastAsia="zh-CN"/>
              </w:rPr>
              <w:t>蒋传连</w:t>
            </w:r>
            <w:r>
              <w:rPr>
                <w:rFonts w:hint="default" w:ascii="Times New Roman" w:hAnsi="Times New Roman" w:cs="Times New Roman"/>
                <w:color w:val="auto"/>
                <w:sz w:val="24"/>
                <w:szCs w:val="24"/>
                <w:highlight w:val="none"/>
                <w:u w:val="single"/>
                <w:lang w:val="en-US" w:eastAsia="zh-CN"/>
              </w:rPr>
              <w:t>签订</w:t>
            </w:r>
            <w:r>
              <w:rPr>
                <w:rFonts w:hint="eastAsia" w:ascii="Times New Roman" w:hAnsi="Times New Roman" w:cs="Times New Roman"/>
                <w:color w:val="auto"/>
                <w:sz w:val="24"/>
                <w:szCs w:val="24"/>
                <w:highlight w:val="none"/>
                <w:u w:val="single"/>
                <w:lang w:val="en-US" w:eastAsia="zh-CN"/>
              </w:rPr>
              <w:t>有机肥水使用协议</w:t>
            </w:r>
            <w:r>
              <w:rPr>
                <w:rFonts w:hint="default" w:ascii="Times New Roman" w:hAnsi="Times New Roman" w:cs="Times New Roman"/>
                <w:color w:val="auto"/>
                <w:sz w:val="24"/>
                <w:szCs w:val="24"/>
                <w:highlight w:val="none"/>
                <w:u w:val="single"/>
                <w:lang w:val="en-US" w:eastAsia="zh-CN"/>
              </w:rPr>
              <w:t>，</w:t>
            </w:r>
            <w:r>
              <w:rPr>
                <w:rFonts w:hint="eastAsia" w:ascii="Times New Roman" w:hAnsi="Times New Roman" w:cs="Times New Roman"/>
                <w:color w:val="auto"/>
                <w:sz w:val="24"/>
                <w:szCs w:val="24"/>
                <w:highlight w:val="none"/>
                <w:u w:val="single"/>
                <w:lang w:val="en-US" w:eastAsia="zh-CN"/>
              </w:rPr>
              <w:t>对</w:t>
            </w:r>
            <w:r>
              <w:rPr>
                <w:rFonts w:hint="eastAsia" w:ascii="Times New Roman" w:hAnsi="Times New Roman" w:cs="Times New Roman"/>
                <w:color w:val="auto"/>
                <w:sz w:val="24"/>
                <w:szCs w:val="24"/>
                <w:u w:val="single"/>
                <w:lang w:val="en-US" w:eastAsia="zh-CN"/>
              </w:rPr>
              <w:t>高车</w:t>
            </w:r>
            <w:r>
              <w:rPr>
                <w:rFonts w:hint="eastAsia" w:ascii="Times New Roman" w:hAnsi="Times New Roman" w:cs="Times New Roman"/>
                <w:color w:val="auto"/>
                <w:sz w:val="24"/>
                <w:szCs w:val="24"/>
                <w:highlight w:val="none"/>
                <w:u w:val="single"/>
                <w:lang w:val="en-US" w:eastAsia="zh-CN"/>
              </w:rPr>
              <w:t>村约</w:t>
            </w:r>
            <w:r>
              <w:rPr>
                <w:rFonts w:hint="eastAsia" w:cs="Times New Roman"/>
                <w:color w:val="auto"/>
                <w:sz w:val="24"/>
                <w:szCs w:val="24"/>
                <w:highlight w:val="none"/>
                <w:u w:val="single"/>
                <w:lang w:val="en-US" w:eastAsia="zh-CN"/>
              </w:rPr>
              <w:t>100</w:t>
            </w:r>
            <w:r>
              <w:rPr>
                <w:rFonts w:hint="eastAsia" w:ascii="Times New Roman" w:hAnsi="Times New Roman" w:cs="Times New Roman"/>
                <w:color w:val="auto"/>
                <w:sz w:val="24"/>
                <w:szCs w:val="24"/>
                <w:highlight w:val="none"/>
                <w:u w:val="single"/>
                <w:lang w:val="en-US" w:eastAsia="zh-CN"/>
              </w:rPr>
              <w:t>亩土地进行施肥</w:t>
            </w:r>
            <w:r>
              <w:rPr>
                <w:rFonts w:hint="eastAsia" w:cs="Times New Roman"/>
                <w:color w:val="auto"/>
                <w:sz w:val="24"/>
                <w:szCs w:val="24"/>
                <w:highlight w:val="none"/>
                <w:u w:val="single"/>
                <w:lang w:val="en-US" w:eastAsia="zh-CN"/>
              </w:rPr>
              <w:t>（</w:t>
            </w:r>
            <w:r>
              <w:rPr>
                <w:rFonts w:hint="eastAsia"/>
                <w:u w:val="single"/>
                <w:vertAlign w:val="baseline"/>
                <w:lang w:val="en-US" w:eastAsia="zh-CN"/>
              </w:rPr>
              <w:t>详见附件7</w:t>
            </w:r>
            <w:r>
              <w:rPr>
                <w:rFonts w:hint="eastAsia" w:cs="Times New Roman"/>
                <w:color w:val="auto"/>
                <w:sz w:val="24"/>
                <w:szCs w:val="24"/>
                <w:highlight w:val="none"/>
                <w:u w:val="single"/>
                <w:lang w:val="en-US" w:eastAsia="zh-CN"/>
              </w:rPr>
              <w:t>）</w:t>
            </w:r>
            <w:r>
              <w:rPr>
                <w:rFonts w:hint="eastAsia" w:ascii="Times New Roman" w:hAnsi="Times New Roman" w:cs="Times New Roman"/>
                <w:color w:val="auto"/>
                <w:sz w:val="24"/>
                <w:szCs w:val="24"/>
                <w:highlight w:val="none"/>
                <w:u w:val="single"/>
                <w:lang w:val="en-US" w:eastAsia="zh-CN"/>
              </w:rPr>
              <w:t>。</w:t>
            </w:r>
            <w:r>
              <w:rPr>
                <w:rFonts w:hint="default" w:ascii="Times New Roman" w:hAnsi="Times New Roman" w:eastAsia="宋体" w:cs="Times New Roman"/>
                <w:snapToGrid w:val="0"/>
                <w:color w:val="auto"/>
                <w:spacing w:val="-2"/>
                <w:kern w:val="0"/>
                <w:sz w:val="24"/>
                <w:szCs w:val="24"/>
                <w:highlight w:val="none"/>
                <w:u w:val="single"/>
              </w:rPr>
              <w:t>可满足项目产生的粪污养分（氮）全部还田利用所需的土地面积。</w:t>
            </w:r>
          </w:p>
          <w:p w14:paraId="0692F2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color w:val="auto"/>
                <w:sz w:val="24"/>
                <w:szCs w:val="24"/>
                <w:highlight w:val="none"/>
                <w:u w:val="single"/>
                <w:lang w:val="en-US" w:eastAsia="zh-CN"/>
              </w:rPr>
            </w:pPr>
            <w:r>
              <w:rPr>
                <w:rFonts w:hint="eastAsia" w:ascii="Times New Roman" w:hAnsi="Times New Roman" w:eastAsia="宋体" w:cs="Times New Roman"/>
                <w:b w:val="0"/>
                <w:bCs w:val="0"/>
                <w:color w:val="auto"/>
                <w:sz w:val="24"/>
                <w:szCs w:val="24"/>
                <w:highlight w:val="none"/>
                <w:u w:val="single"/>
                <w:lang w:val="en-US" w:eastAsia="zh-CN"/>
              </w:rPr>
              <w:fldChar w:fldCharType="begin"/>
            </w:r>
            <w:r>
              <w:rPr>
                <w:rFonts w:hint="eastAsia" w:ascii="Times New Roman" w:hAnsi="Times New Roman" w:eastAsia="宋体" w:cs="Times New Roman"/>
                <w:b w:val="0"/>
                <w:bCs w:val="0"/>
                <w:color w:val="auto"/>
                <w:sz w:val="24"/>
                <w:szCs w:val="24"/>
                <w:highlight w:val="none"/>
                <w:u w:val="single"/>
                <w:lang w:val="en-US" w:eastAsia="zh-CN"/>
              </w:rPr>
              <w:instrText xml:space="preserve"> = 2 \* GB3 \* MERGEFORMAT </w:instrText>
            </w:r>
            <w:r>
              <w:rPr>
                <w:rFonts w:hint="eastAsia" w:ascii="Times New Roman" w:hAnsi="Times New Roman" w:eastAsia="宋体" w:cs="Times New Roman"/>
                <w:b w:val="0"/>
                <w:bCs w:val="0"/>
                <w:color w:val="auto"/>
                <w:sz w:val="24"/>
                <w:szCs w:val="24"/>
                <w:highlight w:val="none"/>
                <w:u w:val="single"/>
                <w:lang w:val="en-US" w:eastAsia="zh-CN"/>
              </w:rPr>
              <w:fldChar w:fldCharType="separate"/>
            </w:r>
            <w:r>
              <w:rPr>
                <w:rFonts w:hint="default" w:ascii="Times New Roman" w:hAnsi="Times New Roman" w:eastAsia="宋体" w:cs="Times New Roman"/>
                <w:b w:val="0"/>
                <w:bCs w:val="0"/>
                <w:color w:val="auto"/>
                <w:sz w:val="24"/>
                <w:szCs w:val="24"/>
                <w:highlight w:val="none"/>
                <w:u w:val="single"/>
                <w:lang w:val="en-US" w:eastAsia="zh-CN"/>
              </w:rPr>
              <w:t>②</w:t>
            </w:r>
            <w:r>
              <w:rPr>
                <w:rFonts w:hint="eastAsia" w:ascii="Times New Roman" w:hAnsi="Times New Roman" w:eastAsia="宋体" w:cs="Times New Roman"/>
                <w:b w:val="0"/>
                <w:bCs w:val="0"/>
                <w:color w:val="auto"/>
                <w:sz w:val="24"/>
                <w:szCs w:val="24"/>
                <w:highlight w:val="none"/>
                <w:u w:val="single"/>
                <w:lang w:val="en-US" w:eastAsia="zh-CN"/>
              </w:rPr>
              <w:fldChar w:fldCharType="end"/>
            </w:r>
            <w:r>
              <w:rPr>
                <w:rFonts w:hint="eastAsia" w:ascii="Times New Roman" w:hAnsi="Times New Roman" w:eastAsia="宋体" w:cs="Times New Roman"/>
                <w:b w:val="0"/>
                <w:bCs w:val="0"/>
                <w:color w:val="auto"/>
                <w:sz w:val="24"/>
                <w:szCs w:val="24"/>
                <w:highlight w:val="none"/>
                <w:u w:val="single"/>
                <w:lang w:val="en-US" w:eastAsia="zh-CN"/>
              </w:rPr>
              <w:t>沼液输送可行性</w:t>
            </w:r>
          </w:p>
          <w:p w14:paraId="273834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auto"/>
                <w:sz w:val="24"/>
                <w:szCs w:val="24"/>
                <w:u w:val="single"/>
                <w:lang w:val="en-US" w:eastAsia="zh-CN"/>
              </w:rPr>
            </w:pPr>
            <w:r>
              <w:rPr>
                <w:rFonts w:hint="eastAsia" w:ascii="Times New Roman" w:hAnsi="Times New Roman" w:cs="Times New Roman"/>
                <w:color w:val="auto"/>
                <w:sz w:val="24"/>
                <w:szCs w:val="24"/>
                <w:u w:val="single"/>
                <w:lang w:val="en-US" w:eastAsia="zh-CN"/>
              </w:rPr>
              <w:t>参考</w:t>
            </w:r>
            <w:r>
              <w:rPr>
                <w:rFonts w:hint="default" w:ascii="Times New Roman" w:hAnsi="Times New Roman" w:cs="Times New Roman"/>
                <w:color w:val="auto"/>
                <w:sz w:val="24"/>
                <w:szCs w:val="24"/>
                <w:u w:val="single"/>
                <w:lang w:val="en-US" w:eastAsia="zh-CN"/>
              </w:rPr>
              <w:t>《畜禽</w:t>
            </w:r>
            <w:r>
              <w:rPr>
                <w:rFonts w:hint="eastAsia" w:ascii="Times New Roman" w:hAnsi="Times New Roman" w:cs="Times New Roman"/>
                <w:color w:val="auto"/>
                <w:sz w:val="24"/>
                <w:szCs w:val="24"/>
                <w:u w:val="single"/>
                <w:lang w:val="en-US" w:eastAsia="zh-CN"/>
              </w:rPr>
              <w:t>粪水还田技术规程</w:t>
            </w:r>
            <w:r>
              <w:rPr>
                <w:rFonts w:hint="default" w:ascii="Times New Roman" w:hAnsi="Times New Roman" w:cs="Times New Roman"/>
                <w:color w:val="auto"/>
                <w:sz w:val="24"/>
                <w:szCs w:val="24"/>
                <w:u w:val="single"/>
                <w:lang w:val="en-US" w:eastAsia="zh-CN"/>
              </w:rPr>
              <w:t>》（NY∕T 4046-2021）</w:t>
            </w:r>
            <w:r>
              <w:rPr>
                <w:rFonts w:hint="eastAsia" w:ascii="Times New Roman" w:hAnsi="Times New Roman" w:cs="Times New Roman"/>
                <w:color w:val="auto"/>
                <w:sz w:val="24"/>
                <w:szCs w:val="24"/>
                <w:u w:val="single"/>
                <w:lang w:val="en-US" w:eastAsia="zh-CN"/>
              </w:rPr>
              <w:t>，粪水可采用车辆和管道等输送，运输车辆应保持外壳清洁，严禁粪水输送途中抛洒和跑冒滴漏。</w:t>
            </w:r>
          </w:p>
          <w:p w14:paraId="07BC44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u w:val="single"/>
                <w:lang w:val="en-US" w:eastAsia="zh-CN"/>
              </w:rPr>
            </w:pPr>
            <w:r>
              <w:rPr>
                <w:rFonts w:hint="default" w:ascii="Times New Roman" w:hAnsi="Times New Roman" w:cs="Times New Roman"/>
                <w:color w:val="auto"/>
                <w:sz w:val="24"/>
                <w:szCs w:val="24"/>
                <w:u w:val="single"/>
                <w:lang w:val="en-US" w:eastAsia="zh-CN"/>
              </w:rPr>
              <w:t>项目产生的沼液暂存于沼液暂存池，在施肥季节用于种植区作为液态肥料还田。沼液施肥</w:t>
            </w:r>
            <w:r>
              <w:rPr>
                <w:rFonts w:hint="eastAsia" w:ascii="Times New Roman" w:hAnsi="Times New Roman" w:cs="Times New Roman"/>
                <w:color w:val="auto"/>
                <w:sz w:val="24"/>
                <w:szCs w:val="24"/>
                <w:u w:val="single"/>
                <w:lang w:val="en-US" w:eastAsia="zh-CN"/>
              </w:rPr>
              <w:t>利用密闭罐车将肥水直接均匀施用于农田表面</w:t>
            </w:r>
            <w:r>
              <w:rPr>
                <w:rFonts w:hint="default" w:ascii="Times New Roman" w:hAnsi="Times New Roman" w:cs="Times New Roman"/>
                <w:color w:val="auto"/>
                <w:sz w:val="24"/>
                <w:szCs w:val="24"/>
                <w:u w:val="single"/>
                <w:lang w:val="en-US" w:eastAsia="zh-CN"/>
              </w:rPr>
              <w:t>，能够做到适量均匀地施用给农作物。项目沼液输送过程中将严格控制污水的跑、冒、滴、漏。项目沼液对环境的影响主要来自于沼液的事故排放。工程主要的事故排放原因可能有粪污综合利用处理设备工作故障，处理后的沼液无法及时回田，回田阶段遇上暴雨等，无论何种情况，如不进行防范采取必要措施，在发生风险事故时，</w:t>
            </w:r>
            <w:r>
              <w:rPr>
                <w:rFonts w:hint="eastAsia" w:ascii="Times New Roman" w:hAnsi="Times New Roman" w:cs="Times New Roman"/>
                <w:color w:val="auto"/>
                <w:sz w:val="24"/>
                <w:szCs w:val="24"/>
                <w:u w:val="single"/>
                <w:lang w:val="en-US" w:eastAsia="zh-CN"/>
              </w:rPr>
              <w:t>沼液</w:t>
            </w:r>
            <w:r>
              <w:rPr>
                <w:rFonts w:hint="default" w:ascii="Times New Roman" w:hAnsi="Times New Roman" w:cs="Times New Roman"/>
                <w:color w:val="auto"/>
                <w:sz w:val="24"/>
                <w:szCs w:val="24"/>
                <w:u w:val="single"/>
                <w:lang w:val="en-US" w:eastAsia="zh-CN"/>
              </w:rPr>
              <w:t>可能通过地表径流或地下径流污染地表水体；项目若发生泄露事故后，如措施不当，泄露沼液会通过下渗而污染地下水和土壤环境，进而可能对人体健康产生不利影响。</w:t>
            </w:r>
          </w:p>
          <w:p w14:paraId="17B33A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color w:val="auto"/>
                <w:sz w:val="24"/>
                <w:szCs w:val="24"/>
                <w:highlight w:val="none"/>
                <w:u w:val="single"/>
                <w:lang w:val="en-US" w:eastAsia="zh-CN"/>
              </w:rPr>
            </w:pPr>
            <w:r>
              <w:rPr>
                <w:rFonts w:hint="eastAsia" w:ascii="Times New Roman" w:hAnsi="Times New Roman" w:eastAsia="宋体" w:cs="Times New Roman"/>
                <w:b w:val="0"/>
                <w:bCs w:val="0"/>
                <w:color w:val="auto"/>
                <w:sz w:val="24"/>
                <w:szCs w:val="24"/>
                <w:highlight w:val="none"/>
                <w:u w:val="single"/>
                <w:lang w:val="en-US" w:eastAsia="zh-CN"/>
              </w:rPr>
              <w:t>③农田利用系统及附近农田施肥二次污染防治措施</w:t>
            </w:r>
          </w:p>
          <w:p w14:paraId="47E0A7D4">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u w:val="single"/>
              </w:rPr>
              <w:t>1、沼液</w:t>
            </w:r>
            <w:r>
              <w:rPr>
                <w:rFonts w:hint="eastAsia" w:ascii="Times New Roman" w:hAnsi="Times New Roman" w:cs="Times New Roman"/>
                <w:color w:val="auto"/>
                <w:sz w:val="24"/>
                <w:highlight w:val="none"/>
                <w:u w:val="single"/>
                <w:lang w:eastAsia="zh-CN"/>
              </w:rPr>
              <w:t>运输车辆</w:t>
            </w:r>
            <w:r>
              <w:rPr>
                <w:rFonts w:hint="default" w:ascii="Times New Roman" w:hAnsi="Times New Roman" w:eastAsia="宋体" w:cs="Times New Roman"/>
                <w:color w:val="auto"/>
                <w:sz w:val="24"/>
                <w:highlight w:val="none"/>
                <w:u w:val="single"/>
              </w:rPr>
              <w:t>，做好防腐工作，定期进行检修；</w:t>
            </w:r>
          </w:p>
          <w:p w14:paraId="5135CDB0">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u w:val="single"/>
              </w:rPr>
              <w:t>2、沼液施肥区根据地形进行单元划分，分单元进行施肥，施肥完毕后要进行覆土处理，防止农田施肥不匀引起的地下水污染问题；</w:t>
            </w:r>
          </w:p>
          <w:p w14:paraId="3A37AF5D">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u w:val="single"/>
              </w:rPr>
              <w:t>3、严格根据评价要求，控制施肥量，严禁突击浇灌，在非浇灌季节及雨季，沼液由</w:t>
            </w:r>
            <w:r>
              <w:rPr>
                <w:rFonts w:hint="default" w:ascii="Times New Roman" w:hAnsi="Times New Roman" w:eastAsia="宋体" w:cs="Times New Roman"/>
                <w:color w:val="auto"/>
                <w:sz w:val="24"/>
                <w:highlight w:val="none"/>
                <w:u w:val="single"/>
                <w:lang w:eastAsia="zh-CN"/>
              </w:rPr>
              <w:t>沼液池</w:t>
            </w:r>
            <w:r>
              <w:rPr>
                <w:rFonts w:hint="default" w:ascii="Times New Roman" w:hAnsi="Times New Roman" w:eastAsia="宋体" w:cs="Times New Roman"/>
                <w:color w:val="auto"/>
                <w:sz w:val="24"/>
                <w:highlight w:val="none"/>
                <w:u w:val="single"/>
              </w:rPr>
              <w:t>暂存。</w:t>
            </w:r>
            <w:r>
              <w:rPr>
                <w:rFonts w:hint="default" w:ascii="Times New Roman" w:hAnsi="Times New Roman" w:eastAsia="宋体" w:cs="Times New Roman"/>
                <w:color w:val="auto"/>
                <w:sz w:val="24"/>
                <w:highlight w:val="none"/>
                <w:u w:val="single"/>
                <w:lang w:eastAsia="zh-CN"/>
              </w:rPr>
              <w:t>沼液池</w:t>
            </w:r>
            <w:r>
              <w:rPr>
                <w:rFonts w:hint="default" w:ascii="Times New Roman" w:hAnsi="Times New Roman" w:eastAsia="宋体" w:cs="Times New Roman"/>
                <w:color w:val="auto"/>
                <w:sz w:val="24"/>
                <w:highlight w:val="none"/>
                <w:u w:val="single"/>
              </w:rPr>
              <w:t>底部首先进行清场夯压，要做到池底无特殊工艺孔设置且内表面积较大，施工所在地土质情况单一，碎砖块等尖锐性杂物较少，具备防渗膜铺设的要求。其次，池底部设置排气沟，最底部排气沟中放置排水管，并设置导流渠，以防止污染地下水。最后在此基础上铺设HDPE膜，具有良好的断裂延伸率，能抵抗基础沉降或基础变形，正常使用情况下可以防止池内水下渗对地下水的污染。</w:t>
            </w:r>
          </w:p>
          <w:p w14:paraId="5324946F">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u w:val="single"/>
              </w:rPr>
              <w:t>4、对沼液施肥农田区域定期进行观测。</w:t>
            </w:r>
          </w:p>
          <w:p w14:paraId="640DCFCE">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u w:val="single"/>
                <w:lang w:val="en-US" w:eastAsia="zh-CN"/>
              </w:rPr>
              <w:t>④小结</w:t>
            </w:r>
          </w:p>
          <w:p w14:paraId="29B846F7">
            <w:pPr>
              <w:bidi w:val="0"/>
              <w:jc w:val="both"/>
              <w:rPr>
                <w:rFonts w:hint="eastAsia" w:ascii="Times New Roman" w:hAnsi="Times New Roman" w:eastAsia="宋体" w:cs="Times New Roman"/>
                <w:snapToGrid w:val="0"/>
                <w:color w:val="auto"/>
                <w:spacing w:val="-2"/>
                <w:kern w:val="0"/>
                <w:sz w:val="24"/>
                <w:szCs w:val="24"/>
                <w:highlight w:val="none"/>
                <w:u w:val="single"/>
                <w:lang w:val="en-US" w:eastAsia="zh-CN"/>
              </w:rPr>
            </w:pPr>
            <w:r>
              <w:rPr>
                <w:rFonts w:hint="default" w:ascii="Times New Roman" w:hAnsi="Times New Roman" w:eastAsia="宋体" w:cs="Times New Roman"/>
                <w:b w:val="0"/>
                <w:bCs w:val="0"/>
                <w:color w:val="000000"/>
                <w:sz w:val="24"/>
                <w:szCs w:val="24"/>
                <w:highlight w:val="none"/>
                <w:u w:val="single"/>
                <w:lang w:val="en-US" w:eastAsia="zh-CN"/>
              </w:rPr>
              <w:t>本项目废水处理采用业内常用的黑膜沼气池工艺，该工艺在多地采用并经过验收，技术条件成熟。建设单位与</w:t>
            </w:r>
            <w:r>
              <w:rPr>
                <w:rFonts w:hint="eastAsia" w:ascii="Times New Roman" w:hAnsi="Times New Roman" w:cs="Times New Roman"/>
                <w:color w:val="auto"/>
                <w:sz w:val="24"/>
                <w:szCs w:val="24"/>
                <w:u w:val="single"/>
                <w:lang w:val="en-US" w:eastAsia="zh-CN"/>
              </w:rPr>
              <w:t>全州县才湾镇邓吉村委高车村</w:t>
            </w:r>
            <w:r>
              <w:rPr>
                <w:rFonts w:hint="default" w:ascii="Times New Roman" w:hAnsi="Times New Roman" w:eastAsia="宋体" w:cs="Times New Roman"/>
                <w:b w:val="0"/>
                <w:bCs w:val="0"/>
                <w:color w:val="auto"/>
                <w:sz w:val="24"/>
                <w:szCs w:val="24"/>
                <w:highlight w:val="none"/>
                <w:u w:val="single"/>
                <w:lang w:val="en-US" w:eastAsia="zh-CN"/>
              </w:rPr>
              <w:t>签</w:t>
            </w:r>
            <w:r>
              <w:rPr>
                <w:rFonts w:hint="default" w:ascii="Times New Roman" w:hAnsi="Times New Roman" w:eastAsia="宋体" w:cs="Times New Roman"/>
                <w:b w:val="0"/>
                <w:bCs w:val="0"/>
                <w:color w:val="000000"/>
                <w:sz w:val="24"/>
                <w:szCs w:val="24"/>
                <w:highlight w:val="none"/>
                <w:u w:val="single"/>
                <w:lang w:val="en-US" w:eastAsia="zh-CN"/>
              </w:rPr>
              <w:t>订了有机水肥还田协议，项目所产沼液可以就近还田消纳施肥。因此，本项目产生的液态沼肥可全部被消纳。因此，废水经厌氧池发酵还田可行</w:t>
            </w:r>
            <w:r>
              <w:rPr>
                <w:rFonts w:hint="eastAsia" w:cs="Times New Roman"/>
                <w:b w:val="0"/>
                <w:bCs w:val="0"/>
                <w:color w:val="000000"/>
                <w:sz w:val="24"/>
                <w:szCs w:val="24"/>
                <w:highlight w:val="none"/>
                <w:u w:val="single"/>
                <w:lang w:val="en-US" w:eastAsia="zh-CN"/>
              </w:rPr>
              <w:t>。</w:t>
            </w:r>
          </w:p>
          <w:p w14:paraId="73ADF6D9">
            <w:pPr>
              <w:pStyle w:val="5"/>
              <w:numPr>
                <w:ilvl w:val="2"/>
                <w:numId w:val="0"/>
              </w:numPr>
              <w:bidi w:val="0"/>
              <w:ind w:left="0" w:leftChars="0" w:firstLine="0" w:firstLineChars="0"/>
              <w:rPr>
                <w:rFonts w:hint="eastAsia"/>
              </w:rPr>
            </w:pPr>
            <w:r>
              <w:rPr>
                <w:rFonts w:hint="default" w:ascii="Times New Roman" w:hAnsi="Times New Roman" w:eastAsia="宋体" w:cs="Times New Roman"/>
                <w:b/>
                <w:i w:val="0"/>
                <w:color w:val="auto"/>
                <w:kern w:val="2"/>
                <w:sz w:val="24"/>
                <w:szCs w:val="24"/>
                <w:lang w:val="en-US" w:eastAsia="zh-CN" w:bidi="ar-SA"/>
              </w:rPr>
              <w:t>4.6.4、</w:t>
            </w:r>
            <w:r>
              <w:rPr>
                <w:rFonts w:hint="eastAsia"/>
                <w:lang w:eastAsia="zh-CN"/>
              </w:rPr>
              <w:t>监测计划</w:t>
            </w:r>
          </w:p>
          <w:p w14:paraId="1D8C4C9C">
            <w:pPr>
              <w:bidi w:val="0"/>
            </w:pPr>
            <w:r>
              <w:rPr>
                <w:rFonts w:hint="eastAsia"/>
              </w:rPr>
              <w:t>根据《排污单位自行监测技术指南总则》(HJ819-2017)和《排污单位自行监测技术指南火力发电及锅炉(HJ820-2017)》，结合本项目废水产生及排放情况，本项目无需进行废水污染源监测。</w:t>
            </w:r>
          </w:p>
          <w:p w14:paraId="6FA5ABA9">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4.7、</w:t>
            </w:r>
            <w:r>
              <w:rPr>
                <w:rFonts w:hint="eastAsia"/>
              </w:rPr>
              <w:t>运营期声环境保护措施</w:t>
            </w:r>
          </w:p>
          <w:p w14:paraId="41B76004">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4.7.1、</w:t>
            </w:r>
            <w:r>
              <w:rPr>
                <w:rFonts w:hint="eastAsia"/>
              </w:rPr>
              <w:t>预测源强</w:t>
            </w:r>
          </w:p>
          <w:p w14:paraId="32EB4967">
            <w:pPr>
              <w:ind w:firstLine="480"/>
              <w:rPr>
                <w:rFonts w:hint="eastAsia"/>
              </w:rPr>
            </w:pPr>
            <w:r>
              <w:rPr>
                <w:rFonts w:hint="eastAsia"/>
              </w:rPr>
              <w:t>运营</w:t>
            </w:r>
            <w:r>
              <w:t>期噪声的来源主要是生产设备运转时的机械噪声。主要设备噪声源强见</w:t>
            </w:r>
            <w:r>
              <w:rPr>
                <w:rFonts w:hint="eastAsia"/>
              </w:rPr>
              <w:t>下</w:t>
            </w:r>
            <w:r>
              <w:t>表</w:t>
            </w:r>
            <w:r>
              <w:rPr>
                <w:rFonts w:hint="eastAsia"/>
              </w:rPr>
              <w:t>。</w:t>
            </w:r>
          </w:p>
          <w:p w14:paraId="7EF41A45">
            <w:pPr>
              <w:ind w:firstLine="480"/>
              <w:rPr>
                <w:rFonts w:hint="eastAsia"/>
              </w:rPr>
            </w:pPr>
          </w:p>
          <w:p w14:paraId="25024668">
            <w:pPr>
              <w:ind w:firstLine="480"/>
              <w:rPr>
                <w:rFonts w:hint="eastAsia"/>
              </w:rPr>
            </w:pPr>
          </w:p>
          <w:p w14:paraId="0862A79E">
            <w:pPr>
              <w:ind w:firstLine="480"/>
              <w:rPr>
                <w:rFonts w:hint="eastAsia"/>
              </w:rPr>
            </w:pPr>
          </w:p>
          <w:p w14:paraId="54413487">
            <w:pPr>
              <w:ind w:firstLine="480"/>
              <w:rPr>
                <w:rFonts w:hint="eastAsia"/>
              </w:rPr>
            </w:pPr>
          </w:p>
          <w:p w14:paraId="666ED170">
            <w:pPr>
              <w:ind w:firstLine="480"/>
              <w:rPr>
                <w:rFonts w:hint="eastAsia"/>
              </w:rPr>
            </w:pPr>
          </w:p>
          <w:p w14:paraId="1284C8E7">
            <w:pPr>
              <w:ind w:firstLine="480"/>
              <w:rPr>
                <w:rFonts w:hint="eastAsia"/>
              </w:rPr>
            </w:pPr>
          </w:p>
          <w:p w14:paraId="00665739">
            <w:pPr>
              <w:bidi w:val="0"/>
              <w:rPr>
                <w:rFonts w:hint="eastAsia"/>
              </w:rPr>
            </w:pPr>
          </w:p>
          <w:p w14:paraId="21398DFA">
            <w:pPr>
              <w:bidi w:val="0"/>
              <w:rPr>
                <w:rFonts w:hint="eastAsia"/>
              </w:rPr>
            </w:pPr>
          </w:p>
          <w:p w14:paraId="7CDAE347">
            <w:pPr>
              <w:bidi w:val="0"/>
              <w:rPr>
                <w:rFonts w:hint="default"/>
                <w:lang w:val="en-US" w:eastAsia="zh-CN"/>
              </w:rPr>
            </w:pPr>
          </w:p>
          <w:p w14:paraId="4C547BB1">
            <w:pPr>
              <w:bidi w:val="0"/>
              <w:rPr>
                <w:rFonts w:hint="default"/>
                <w:lang w:val="en-US" w:eastAsia="zh-CN"/>
              </w:rPr>
            </w:pPr>
          </w:p>
          <w:p w14:paraId="1381C18F">
            <w:pPr>
              <w:bidi w:val="0"/>
              <w:rPr>
                <w:rFonts w:hint="default"/>
                <w:lang w:val="en-US" w:eastAsia="zh-CN"/>
              </w:rPr>
            </w:pPr>
          </w:p>
          <w:p w14:paraId="05DE3F12">
            <w:pPr>
              <w:bidi w:val="0"/>
              <w:rPr>
                <w:rFonts w:hint="default"/>
                <w:lang w:val="en-US" w:eastAsia="zh-CN"/>
              </w:rPr>
            </w:pPr>
          </w:p>
          <w:p w14:paraId="7871CE25">
            <w:pPr>
              <w:bidi w:val="0"/>
              <w:rPr>
                <w:rFonts w:hint="default"/>
                <w:lang w:val="en-US" w:eastAsia="zh-CN"/>
              </w:rPr>
            </w:pPr>
          </w:p>
          <w:p w14:paraId="4A0A276B">
            <w:pPr>
              <w:bidi w:val="0"/>
              <w:rPr>
                <w:rFonts w:hint="default"/>
                <w:lang w:val="en-US" w:eastAsia="zh-CN"/>
              </w:rPr>
            </w:pPr>
          </w:p>
          <w:p w14:paraId="1AA94DDF">
            <w:pPr>
              <w:bidi w:val="0"/>
              <w:rPr>
                <w:rFonts w:hint="default"/>
                <w:lang w:val="en-US" w:eastAsia="zh-CN"/>
              </w:rPr>
            </w:pPr>
          </w:p>
          <w:p w14:paraId="4835F592">
            <w:pPr>
              <w:bidi w:val="0"/>
              <w:rPr>
                <w:rFonts w:hint="default"/>
                <w:lang w:val="en-US" w:eastAsia="zh-CN"/>
              </w:rPr>
            </w:pPr>
          </w:p>
          <w:p w14:paraId="0ACBCD1B">
            <w:pPr>
              <w:bidi w:val="0"/>
              <w:rPr>
                <w:rFonts w:hint="default"/>
                <w:lang w:val="en-US" w:eastAsia="zh-CN"/>
              </w:rPr>
            </w:pPr>
          </w:p>
          <w:p w14:paraId="753C244C">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104B3B8F">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592DD3BE">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294A9A7A">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19FB7D13">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479F1F8A">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372A8697">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19F8B468">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60A023B5">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2A616F87">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7AD18C25">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17A7930F">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43C2E735">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72DCA8AD">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2B9E1422">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75F428FF">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77E62F35">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090C6FD9">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4D8750F4">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1B7D38E0">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56B9B522">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3A7A0461">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062EF399">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4E652AD5">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40A5B8DA">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58A15DF1">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3065993C">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01CCAEDC">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473F6BFC">
            <w:pPr>
              <w:pStyle w:val="5"/>
              <w:numPr>
                <w:ilvl w:val="2"/>
                <w:numId w:val="0"/>
              </w:numPr>
              <w:ind w:left="0" w:leftChars="0" w:firstLine="0" w:firstLineChars="0"/>
              <w:rPr>
                <w:rFonts w:hint="default" w:ascii="Times New Roman" w:hAnsi="Times New Roman" w:eastAsia="宋体" w:cs="Times New Roman"/>
                <w:b/>
                <w:i w:val="0"/>
                <w:color w:val="auto"/>
                <w:kern w:val="2"/>
                <w:sz w:val="24"/>
                <w:szCs w:val="24"/>
                <w:lang w:val="en-US" w:eastAsia="zh-CN" w:bidi="ar-SA"/>
              </w:rPr>
            </w:pPr>
          </w:p>
          <w:p w14:paraId="2FF370A9">
            <w:pPr>
              <w:rPr>
                <w:rFonts w:hint="default" w:ascii="Times New Roman" w:hAnsi="Times New Roman" w:eastAsia="宋体" w:cs="Times New Roman"/>
                <w:b/>
                <w:i w:val="0"/>
                <w:color w:val="auto"/>
                <w:kern w:val="2"/>
                <w:sz w:val="24"/>
                <w:szCs w:val="24"/>
                <w:lang w:val="en-US" w:eastAsia="zh-CN" w:bidi="ar-SA"/>
              </w:rPr>
            </w:pPr>
          </w:p>
          <w:p w14:paraId="6378B3BE">
            <w:pPr>
              <w:rPr>
                <w:rFonts w:hint="default" w:ascii="Times New Roman" w:hAnsi="Times New Roman" w:eastAsia="宋体" w:cs="Times New Roman"/>
                <w:b/>
                <w:i w:val="0"/>
                <w:color w:val="auto"/>
                <w:kern w:val="2"/>
                <w:sz w:val="24"/>
                <w:szCs w:val="24"/>
                <w:lang w:val="en-US" w:eastAsia="zh-CN" w:bidi="ar-SA"/>
              </w:rPr>
            </w:pPr>
          </w:p>
          <w:p w14:paraId="702044F0">
            <w:pPr>
              <w:rPr>
                <w:rFonts w:hint="default" w:ascii="Times New Roman" w:hAnsi="Times New Roman" w:eastAsia="宋体" w:cs="Times New Roman"/>
                <w:b/>
                <w:i w:val="0"/>
                <w:color w:val="auto"/>
                <w:kern w:val="2"/>
                <w:sz w:val="24"/>
                <w:szCs w:val="24"/>
                <w:lang w:val="en-US" w:eastAsia="zh-CN" w:bidi="ar-SA"/>
              </w:rPr>
            </w:pPr>
          </w:p>
          <w:p w14:paraId="68FFB365">
            <w:pPr>
              <w:rPr>
                <w:rFonts w:hint="default" w:ascii="Times New Roman" w:hAnsi="Times New Roman" w:eastAsia="宋体" w:cs="Times New Roman"/>
                <w:b/>
                <w:i w:val="0"/>
                <w:color w:val="auto"/>
                <w:kern w:val="2"/>
                <w:sz w:val="24"/>
                <w:szCs w:val="24"/>
                <w:lang w:val="en-US" w:eastAsia="zh-CN" w:bidi="ar-SA"/>
              </w:rPr>
            </w:pPr>
          </w:p>
          <w:p w14:paraId="7E88E692">
            <w:pPr>
              <w:rPr>
                <w:rFonts w:hint="default" w:ascii="Times New Roman" w:hAnsi="Times New Roman" w:eastAsia="宋体" w:cs="Times New Roman"/>
                <w:b/>
                <w:i w:val="0"/>
                <w:color w:val="auto"/>
                <w:kern w:val="2"/>
                <w:sz w:val="24"/>
                <w:szCs w:val="24"/>
                <w:lang w:val="en-US" w:eastAsia="zh-CN" w:bidi="ar-SA"/>
              </w:rPr>
            </w:pPr>
          </w:p>
          <w:p w14:paraId="657A6E9D">
            <w:pPr>
              <w:rPr>
                <w:rFonts w:hint="default" w:ascii="Times New Roman" w:hAnsi="Times New Roman" w:eastAsia="宋体" w:cs="Times New Roman"/>
                <w:b/>
                <w:i w:val="0"/>
                <w:color w:val="auto"/>
                <w:kern w:val="2"/>
                <w:sz w:val="24"/>
                <w:szCs w:val="24"/>
                <w:lang w:val="en-US" w:eastAsia="zh-CN" w:bidi="ar-SA"/>
              </w:rPr>
            </w:pPr>
          </w:p>
          <w:p w14:paraId="59FF3DE8">
            <w:pPr>
              <w:rPr>
                <w:rFonts w:hint="default" w:ascii="Times New Roman" w:hAnsi="Times New Roman" w:eastAsia="宋体" w:cs="Times New Roman"/>
                <w:b/>
                <w:i w:val="0"/>
                <w:color w:val="auto"/>
                <w:kern w:val="2"/>
                <w:sz w:val="24"/>
                <w:szCs w:val="24"/>
                <w:lang w:val="en-US" w:eastAsia="zh-CN" w:bidi="ar-SA"/>
              </w:rPr>
            </w:pPr>
          </w:p>
          <w:p w14:paraId="330E0927">
            <w:pPr>
              <w:rPr>
                <w:rFonts w:hint="default" w:ascii="Times New Roman" w:hAnsi="Times New Roman" w:eastAsia="宋体" w:cs="Times New Roman"/>
                <w:b/>
                <w:i w:val="0"/>
                <w:color w:val="auto"/>
                <w:kern w:val="2"/>
                <w:sz w:val="24"/>
                <w:szCs w:val="24"/>
                <w:lang w:val="en-US" w:eastAsia="zh-CN" w:bidi="ar-SA"/>
              </w:rPr>
            </w:pPr>
          </w:p>
          <w:p w14:paraId="3907FBF6">
            <w:pPr>
              <w:rPr>
                <w:rFonts w:hint="default" w:ascii="Times New Roman" w:hAnsi="Times New Roman" w:eastAsia="宋体" w:cs="Times New Roman"/>
                <w:b/>
                <w:i w:val="0"/>
                <w:color w:val="auto"/>
                <w:kern w:val="2"/>
                <w:sz w:val="24"/>
                <w:szCs w:val="24"/>
                <w:lang w:val="en-US" w:eastAsia="zh-CN" w:bidi="ar-SA"/>
              </w:rPr>
            </w:pPr>
          </w:p>
          <w:p w14:paraId="1FB2821C">
            <w:pPr>
              <w:rPr>
                <w:rFonts w:hint="default" w:ascii="Times New Roman" w:hAnsi="Times New Roman" w:eastAsia="宋体" w:cs="Times New Roman"/>
                <w:b/>
                <w:i w:val="0"/>
                <w:color w:val="auto"/>
                <w:kern w:val="2"/>
                <w:sz w:val="24"/>
                <w:szCs w:val="24"/>
                <w:lang w:val="en-US" w:eastAsia="zh-CN" w:bidi="ar-SA"/>
              </w:rPr>
            </w:pPr>
          </w:p>
          <w:p w14:paraId="38DCA5E9">
            <w:pPr>
              <w:rPr>
                <w:rFonts w:hint="default" w:ascii="Times New Roman" w:hAnsi="Times New Roman" w:eastAsia="宋体" w:cs="Times New Roman"/>
                <w:b/>
                <w:i w:val="0"/>
                <w:color w:val="auto"/>
                <w:kern w:val="2"/>
                <w:sz w:val="24"/>
                <w:szCs w:val="24"/>
                <w:lang w:val="en-US" w:eastAsia="zh-CN" w:bidi="ar-SA"/>
              </w:rPr>
            </w:pPr>
          </w:p>
          <w:p w14:paraId="25462311">
            <w:pPr>
              <w:rPr>
                <w:rFonts w:hint="default" w:ascii="Times New Roman" w:hAnsi="Times New Roman" w:eastAsia="宋体" w:cs="Times New Roman"/>
                <w:b/>
                <w:i w:val="0"/>
                <w:color w:val="auto"/>
                <w:kern w:val="2"/>
                <w:sz w:val="24"/>
                <w:szCs w:val="24"/>
                <w:lang w:val="en-US" w:eastAsia="zh-CN" w:bidi="ar-SA"/>
              </w:rPr>
            </w:pPr>
          </w:p>
          <w:p w14:paraId="72676AAA">
            <w:pPr>
              <w:rPr>
                <w:rFonts w:hint="default" w:ascii="Times New Roman" w:hAnsi="Times New Roman" w:eastAsia="宋体" w:cs="Times New Roman"/>
                <w:b/>
                <w:i w:val="0"/>
                <w:color w:val="auto"/>
                <w:kern w:val="2"/>
                <w:sz w:val="24"/>
                <w:szCs w:val="24"/>
                <w:lang w:val="en-US" w:eastAsia="zh-CN" w:bidi="ar-SA"/>
              </w:rPr>
            </w:pPr>
          </w:p>
          <w:p w14:paraId="194F6276">
            <w:pPr>
              <w:rPr>
                <w:rFonts w:hint="default" w:ascii="Times New Roman" w:hAnsi="Times New Roman" w:eastAsia="宋体" w:cs="Times New Roman"/>
                <w:b/>
                <w:i w:val="0"/>
                <w:color w:val="auto"/>
                <w:kern w:val="2"/>
                <w:sz w:val="24"/>
                <w:szCs w:val="24"/>
                <w:lang w:val="en-US" w:eastAsia="zh-CN" w:bidi="ar-SA"/>
              </w:rPr>
            </w:pPr>
          </w:p>
          <w:p w14:paraId="5D45CA02">
            <w:pPr>
              <w:rPr>
                <w:rFonts w:hint="default" w:ascii="Times New Roman" w:hAnsi="Times New Roman" w:eastAsia="宋体" w:cs="Times New Roman"/>
                <w:b/>
                <w:i w:val="0"/>
                <w:color w:val="auto"/>
                <w:kern w:val="2"/>
                <w:sz w:val="24"/>
                <w:szCs w:val="24"/>
                <w:lang w:val="en-US" w:eastAsia="zh-CN" w:bidi="ar-SA"/>
              </w:rPr>
            </w:pPr>
          </w:p>
          <w:p w14:paraId="6C377F7B">
            <w:pPr>
              <w:rPr>
                <w:rFonts w:hint="default" w:ascii="Times New Roman" w:hAnsi="Times New Roman" w:eastAsia="宋体" w:cs="Times New Roman"/>
                <w:b/>
                <w:i w:val="0"/>
                <w:color w:val="auto"/>
                <w:kern w:val="2"/>
                <w:sz w:val="24"/>
                <w:szCs w:val="24"/>
                <w:lang w:val="en-US" w:eastAsia="zh-CN" w:bidi="ar-SA"/>
              </w:rPr>
            </w:pPr>
          </w:p>
          <w:p w14:paraId="3091F095">
            <w:pPr>
              <w:rPr>
                <w:rFonts w:hint="default" w:ascii="Times New Roman" w:hAnsi="Times New Roman" w:eastAsia="宋体" w:cs="Times New Roman"/>
                <w:b/>
                <w:i w:val="0"/>
                <w:color w:val="auto"/>
                <w:kern w:val="2"/>
                <w:sz w:val="24"/>
                <w:szCs w:val="24"/>
                <w:lang w:val="en-US" w:eastAsia="zh-CN" w:bidi="ar-SA"/>
              </w:rPr>
            </w:pPr>
          </w:p>
          <w:p w14:paraId="0132E314">
            <w:pPr>
              <w:rPr>
                <w:rFonts w:hint="default" w:ascii="Times New Roman" w:hAnsi="Times New Roman" w:eastAsia="宋体" w:cs="Times New Roman"/>
                <w:b/>
                <w:i w:val="0"/>
                <w:color w:val="auto"/>
                <w:kern w:val="2"/>
                <w:sz w:val="24"/>
                <w:szCs w:val="24"/>
                <w:lang w:val="en-US" w:eastAsia="zh-CN" w:bidi="ar-SA"/>
              </w:rPr>
            </w:pPr>
          </w:p>
          <w:p w14:paraId="59DA5C12">
            <w:pPr>
              <w:rPr>
                <w:rFonts w:hint="default" w:ascii="Times New Roman" w:hAnsi="Times New Roman" w:eastAsia="宋体" w:cs="Times New Roman"/>
                <w:b/>
                <w:i w:val="0"/>
                <w:color w:val="auto"/>
                <w:kern w:val="2"/>
                <w:sz w:val="24"/>
                <w:szCs w:val="24"/>
                <w:lang w:val="en-US" w:eastAsia="zh-CN" w:bidi="ar-SA"/>
              </w:rPr>
            </w:pPr>
          </w:p>
          <w:p w14:paraId="7B851B8D">
            <w:pPr>
              <w:rPr>
                <w:rFonts w:hint="default" w:ascii="Times New Roman" w:hAnsi="Times New Roman" w:eastAsia="宋体" w:cs="Times New Roman"/>
                <w:b/>
                <w:i w:val="0"/>
                <w:color w:val="auto"/>
                <w:kern w:val="2"/>
                <w:sz w:val="24"/>
                <w:szCs w:val="24"/>
                <w:lang w:val="en-US" w:eastAsia="zh-CN" w:bidi="ar-SA"/>
              </w:rPr>
            </w:pPr>
          </w:p>
          <w:p w14:paraId="2C475310">
            <w:pPr>
              <w:rPr>
                <w:rFonts w:hint="default" w:ascii="Times New Roman" w:hAnsi="Times New Roman" w:eastAsia="宋体" w:cs="Times New Roman"/>
                <w:b/>
                <w:i w:val="0"/>
                <w:color w:val="auto"/>
                <w:kern w:val="2"/>
                <w:sz w:val="24"/>
                <w:szCs w:val="24"/>
                <w:lang w:val="en-US" w:eastAsia="zh-CN" w:bidi="ar-SA"/>
              </w:rPr>
            </w:pPr>
          </w:p>
          <w:p w14:paraId="665A6E71">
            <w:pPr>
              <w:rPr>
                <w:rFonts w:hint="default" w:ascii="Times New Roman" w:hAnsi="Times New Roman" w:eastAsia="宋体" w:cs="Times New Roman"/>
                <w:b/>
                <w:i w:val="0"/>
                <w:color w:val="auto"/>
                <w:kern w:val="2"/>
                <w:sz w:val="24"/>
                <w:szCs w:val="24"/>
                <w:lang w:val="en-US" w:eastAsia="zh-CN" w:bidi="ar-SA"/>
              </w:rPr>
            </w:pPr>
          </w:p>
          <w:p w14:paraId="196BE791">
            <w:pPr>
              <w:rPr>
                <w:rFonts w:hint="default" w:ascii="Times New Roman" w:hAnsi="Times New Roman" w:eastAsia="宋体" w:cs="Times New Roman"/>
                <w:b/>
                <w:i w:val="0"/>
                <w:color w:val="auto"/>
                <w:kern w:val="2"/>
                <w:sz w:val="24"/>
                <w:szCs w:val="24"/>
                <w:lang w:val="en-US" w:eastAsia="zh-CN" w:bidi="ar-SA"/>
              </w:rPr>
            </w:pPr>
          </w:p>
          <w:p w14:paraId="4EE54CFD">
            <w:pPr>
              <w:rPr>
                <w:rFonts w:hint="default" w:ascii="Times New Roman" w:hAnsi="Times New Roman" w:eastAsia="宋体" w:cs="Times New Roman"/>
                <w:b/>
                <w:i w:val="0"/>
                <w:color w:val="auto"/>
                <w:kern w:val="2"/>
                <w:sz w:val="24"/>
                <w:szCs w:val="24"/>
                <w:lang w:val="en-US" w:eastAsia="zh-CN" w:bidi="ar-SA"/>
              </w:rPr>
            </w:pPr>
          </w:p>
          <w:p w14:paraId="1116B451">
            <w:pPr>
              <w:rPr>
                <w:rFonts w:hint="default" w:ascii="Times New Roman" w:hAnsi="Times New Roman" w:eastAsia="宋体" w:cs="Times New Roman"/>
                <w:b/>
                <w:i w:val="0"/>
                <w:color w:val="auto"/>
                <w:kern w:val="2"/>
                <w:sz w:val="24"/>
                <w:szCs w:val="24"/>
                <w:lang w:val="en-US" w:eastAsia="zh-CN" w:bidi="ar-SA"/>
              </w:rPr>
            </w:pPr>
          </w:p>
          <w:p w14:paraId="2848B46B">
            <w:pPr>
              <w:rPr>
                <w:rFonts w:hint="default" w:ascii="Times New Roman" w:hAnsi="Times New Roman" w:eastAsia="宋体" w:cs="Times New Roman"/>
                <w:b/>
                <w:i w:val="0"/>
                <w:color w:val="auto"/>
                <w:kern w:val="2"/>
                <w:sz w:val="24"/>
                <w:szCs w:val="24"/>
                <w:lang w:val="en-US" w:eastAsia="zh-CN" w:bidi="ar-SA"/>
              </w:rPr>
            </w:pPr>
          </w:p>
          <w:p w14:paraId="11C08E44">
            <w:pPr>
              <w:rPr>
                <w:rFonts w:hint="default" w:ascii="Times New Roman" w:hAnsi="Times New Roman" w:eastAsia="宋体" w:cs="Times New Roman"/>
                <w:b/>
                <w:i w:val="0"/>
                <w:color w:val="auto"/>
                <w:kern w:val="2"/>
                <w:sz w:val="24"/>
                <w:szCs w:val="24"/>
                <w:lang w:val="en-US" w:eastAsia="zh-CN" w:bidi="ar-SA"/>
              </w:rPr>
            </w:pPr>
          </w:p>
          <w:p w14:paraId="7B740ABF">
            <w:pPr>
              <w:rPr>
                <w:rFonts w:hint="default" w:ascii="Times New Roman" w:hAnsi="Times New Roman" w:eastAsia="宋体" w:cs="Times New Roman"/>
                <w:b/>
                <w:i w:val="0"/>
                <w:color w:val="auto"/>
                <w:kern w:val="2"/>
                <w:sz w:val="24"/>
                <w:szCs w:val="24"/>
                <w:lang w:val="en-US" w:eastAsia="zh-CN" w:bidi="ar-SA"/>
              </w:rPr>
            </w:pPr>
          </w:p>
          <w:p w14:paraId="07224AAE">
            <w:pPr>
              <w:rPr>
                <w:rFonts w:hint="default" w:ascii="Times New Roman" w:hAnsi="Times New Roman" w:eastAsia="宋体" w:cs="Times New Roman"/>
                <w:b/>
                <w:i w:val="0"/>
                <w:color w:val="auto"/>
                <w:kern w:val="2"/>
                <w:sz w:val="24"/>
                <w:szCs w:val="24"/>
                <w:lang w:val="en-US" w:eastAsia="zh-CN" w:bidi="ar-SA"/>
              </w:rPr>
            </w:pPr>
          </w:p>
          <w:p w14:paraId="6DDE5AE4">
            <w:pPr>
              <w:rPr>
                <w:rFonts w:hint="default" w:ascii="Times New Roman" w:hAnsi="Times New Roman" w:eastAsia="宋体" w:cs="Times New Roman"/>
                <w:b/>
                <w:i w:val="0"/>
                <w:color w:val="auto"/>
                <w:kern w:val="2"/>
                <w:sz w:val="24"/>
                <w:szCs w:val="24"/>
                <w:lang w:val="en-US" w:eastAsia="zh-CN" w:bidi="ar-SA"/>
              </w:rPr>
            </w:pPr>
          </w:p>
          <w:p w14:paraId="362F569D">
            <w:pPr>
              <w:rPr>
                <w:rFonts w:hint="default" w:ascii="Times New Roman" w:hAnsi="Times New Roman" w:eastAsia="宋体" w:cs="Times New Roman"/>
                <w:b/>
                <w:i w:val="0"/>
                <w:color w:val="auto"/>
                <w:kern w:val="2"/>
                <w:sz w:val="24"/>
                <w:szCs w:val="24"/>
                <w:lang w:val="en-US" w:eastAsia="zh-CN" w:bidi="ar-SA"/>
              </w:rPr>
            </w:pPr>
          </w:p>
          <w:p w14:paraId="53193F4F">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4.7.2、</w:t>
            </w:r>
            <w:r>
              <w:rPr>
                <w:rFonts w:hint="eastAsia"/>
              </w:rPr>
              <w:t>预测模式</w:t>
            </w:r>
          </w:p>
          <w:p w14:paraId="0A9EAEAA">
            <w:pPr>
              <w:ind w:firstLine="480"/>
            </w:pPr>
            <w:r>
              <w:rPr>
                <w:rFonts w:hint="eastAsia"/>
              </w:rPr>
              <w:t>根据《环境影响评价技术导则 声环境》（</w:t>
            </w:r>
            <w:r>
              <w:t>HJ 2.4-2021</w:t>
            </w:r>
            <w:r>
              <w:rPr>
                <w:rFonts w:hint="eastAsia"/>
              </w:rPr>
              <w:t>），若声源所在室内声场为近似扩散声场，则室外的倍频带声压级或A声级可按下式近似求出：</w:t>
            </w:r>
          </w:p>
          <w:p w14:paraId="049F77FE">
            <w:pPr>
              <w:ind w:firstLine="480"/>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hint="eastAsia" w:ascii="Cambria Math" w:hAnsi="Cambria Math"/>
                      </w:rPr>
                      <m:t>p</m:t>
                    </m:r>
                    <m:r>
                      <m:rPr/>
                      <w:rPr>
                        <w:rFonts w:ascii="Cambria Math" w:hAnsi="Cambria Math"/>
                      </w:rPr>
                      <m:t>2</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p1</m:t>
                    </m:r>
                    <m:ctrlPr>
                      <w:rPr>
                        <w:rFonts w:ascii="Cambria Math" w:hAnsi="Cambria Math"/>
                      </w:rPr>
                    </m:ctrlPr>
                  </m:sub>
                </m:sSub>
                <m:r>
                  <m:rPr/>
                  <w:rPr>
                    <w:rFonts w:ascii="Cambria Math" w:hAnsi="Cambria Math"/>
                  </w:rPr>
                  <m:t>−(TL+6)</m:t>
                </m:r>
              </m:oMath>
            </m:oMathPara>
          </w:p>
          <w:p w14:paraId="74CB02A4">
            <w:pPr>
              <w:ind w:firstLine="480"/>
            </w:pPr>
            <w:r>
              <w:t>式中：</w:t>
            </w:r>
          </w:p>
          <w:p w14:paraId="2B3156B3">
            <w:pPr>
              <w:ind w:firstLine="480"/>
            </w:pPr>
            <w:r>
              <w:t>L</w:t>
            </w:r>
            <w:r>
              <w:rPr>
                <w:vertAlign w:val="subscript"/>
              </w:rPr>
              <w:t>p1</w:t>
            </w:r>
            <w:r>
              <w:t>——靠近开口处（或窗户）室内某倍频带的声压级或A声级，dB；</w:t>
            </w:r>
          </w:p>
          <w:p w14:paraId="1ED7D417">
            <w:pPr>
              <w:ind w:firstLine="480"/>
            </w:pPr>
            <w:r>
              <w:t>L</w:t>
            </w:r>
            <w:r>
              <w:rPr>
                <w:vertAlign w:val="subscript"/>
              </w:rPr>
              <w:t>p2</w:t>
            </w:r>
            <w:r>
              <w:t>——靠近开口处（或窗户）室外某倍频带的声压级或A声级，dB；</w:t>
            </w:r>
          </w:p>
          <w:p w14:paraId="58F03FA2">
            <w:pPr>
              <w:ind w:firstLine="480"/>
            </w:pPr>
            <w:r>
              <w:t>TL——隔墙（或窗户）倍频带或A声级的隔声量，dB。</w:t>
            </w:r>
          </w:p>
          <w:p w14:paraId="13C61C6C">
            <w:pPr>
              <w:ind w:firstLine="480"/>
            </w:pPr>
            <w:r>
              <w:rPr>
                <w:rFonts w:hint="eastAsia"/>
              </w:rPr>
              <w:t>在只考虑几何发散衰减时，可按下式计算。</w:t>
            </w:r>
          </w:p>
          <w:p w14:paraId="323D044C">
            <w:pPr>
              <w:ind w:firstLine="480"/>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A</m:t>
                    </m:r>
                    <m:ctrlPr>
                      <w:rPr>
                        <w:rFonts w:ascii="Cambria Math" w:hAnsi="Cambria Math"/>
                      </w:rPr>
                    </m:ctrlPr>
                  </m:sub>
                </m:sSub>
                <m:r>
                  <m:rPr/>
                  <w:rPr>
                    <w:rFonts w:ascii="Cambria Math" w:hAnsi="Cambria Math"/>
                  </w:rPr>
                  <m:t>(r)=</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A</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hint="eastAsia"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div</m:t>
                    </m:r>
                    <m:ctrlPr>
                      <w:rPr>
                        <w:rFonts w:ascii="Cambria Math" w:hAnsi="Cambria Math"/>
                      </w:rPr>
                    </m:ctrlPr>
                  </m:sub>
                </m:sSub>
              </m:oMath>
            </m:oMathPara>
          </w:p>
          <w:p w14:paraId="69DA9FC3">
            <w:pPr>
              <w:ind w:firstLine="480"/>
            </w:pPr>
            <w:r>
              <w:rPr>
                <w:rFonts w:hint="eastAsia"/>
              </w:rPr>
              <w:t>式中：</w:t>
            </w:r>
          </w:p>
          <w:p w14:paraId="032FF8F9">
            <w:pPr>
              <w:ind w:firstLine="480"/>
            </w:pPr>
            <w:r>
              <w:t>L</w:t>
            </w:r>
            <w:r>
              <w:rPr>
                <w:vertAlign w:val="subscript"/>
              </w:rPr>
              <w:t>A</w:t>
            </w:r>
            <w:r>
              <w:t>(r)——距声源</w:t>
            </w:r>
            <w:r>
              <w:rPr>
                <w:rFonts w:hint="eastAsia"/>
              </w:rPr>
              <w:t>r</w:t>
            </w:r>
            <w:r>
              <w:t>处A声级，dB(A)；</w:t>
            </w:r>
          </w:p>
          <w:p w14:paraId="626F28F8">
            <w:pPr>
              <w:ind w:firstLine="480"/>
            </w:pPr>
            <w:r>
              <w:t>L</w:t>
            </w:r>
            <w:r>
              <w:rPr>
                <w:vertAlign w:val="subscript"/>
              </w:rPr>
              <w:t>A</w:t>
            </w:r>
            <w:r>
              <w:t>(r</w:t>
            </w:r>
            <w:r>
              <w:rPr>
                <w:vertAlign w:val="subscript"/>
              </w:rPr>
              <w:t>0</w:t>
            </w:r>
            <w:r>
              <w:t>)——参考位置</w:t>
            </w:r>
            <w:r>
              <w:rPr>
                <w:rFonts w:hint="eastAsia"/>
              </w:rPr>
              <w:t>r</w:t>
            </w:r>
            <w:r>
              <w:rPr>
                <w:vertAlign w:val="subscript"/>
              </w:rPr>
              <w:t>0</w:t>
            </w:r>
            <w:r>
              <w:t>处的A声级，dB(A)；</w:t>
            </w:r>
          </w:p>
          <w:p w14:paraId="5D839AFF">
            <w:pPr>
              <w:ind w:firstLine="480"/>
            </w:pPr>
            <w:r>
              <w:t>A</w:t>
            </w:r>
            <w:r>
              <w:rPr>
                <w:vertAlign w:val="subscript"/>
              </w:rPr>
              <w:t>div</w:t>
            </w:r>
            <w:r>
              <w:t>——几何发散引起的衰减，dB。无指向性点声源几何发散衰减的基本公式：</w:t>
            </w:r>
          </w:p>
          <w:p w14:paraId="1CDDFE82">
            <w:pPr>
              <w:ind w:firstLine="480"/>
            </w:pPr>
            <m:oMathPara>
              <m:oMath>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div</m:t>
                    </m:r>
                    <m:ctrlPr>
                      <w:rPr>
                        <w:rFonts w:ascii="Cambria Math" w:hAnsi="Cambria Math"/>
                      </w:rPr>
                    </m:ctrlPr>
                  </m:sub>
                </m:sSub>
                <m:r>
                  <m:rPr/>
                  <w:rPr>
                    <w:rFonts w:ascii="Cambria Math" w:hAnsi="Cambria Math"/>
                  </w:rPr>
                  <m:t>=20lg</m:t>
                </m:r>
                <m:f>
                  <m:fPr>
                    <m:ctrlPr>
                      <w:rPr>
                        <w:rFonts w:ascii="Cambria Math" w:hAnsi="Cambria Math"/>
                      </w:rPr>
                    </m:ctrlPr>
                  </m:fPr>
                  <m:num>
                    <m:r>
                      <m:rPr/>
                      <w:rPr>
                        <w:rFonts w:ascii="Cambria Math" w:hAnsi="Cambria Math"/>
                      </w:rPr>
                      <m:t>r</m:t>
                    </m:r>
                    <m:ctrlPr>
                      <w:rPr>
                        <w:rFonts w:ascii="Cambria Math" w:hAnsi="Cambria Math"/>
                      </w:rPr>
                    </m:ctrlPr>
                  </m:num>
                  <m:den>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0B797ADA">
            <w:pPr>
              <w:ind w:firstLine="480"/>
            </w:pPr>
            <w:r>
              <w:rPr>
                <w:rFonts w:hint="eastAsia"/>
              </w:rPr>
              <w:t>r——预测点距声源的距离；</w:t>
            </w:r>
          </w:p>
          <w:p w14:paraId="4E6AA475">
            <w:pPr>
              <w:ind w:firstLine="480"/>
            </w:pPr>
            <w:r>
              <w:rPr>
                <w:rFonts w:hint="eastAsia"/>
              </w:rPr>
              <w:t>r</w:t>
            </w:r>
            <w:r>
              <w:rPr>
                <w:vertAlign w:val="subscript"/>
              </w:rPr>
              <w:t>0</w:t>
            </w:r>
            <w:r>
              <w:rPr>
                <w:rFonts w:hint="eastAsia"/>
              </w:rPr>
              <w:t>——参考位置距声源的距离。</w:t>
            </w:r>
          </w:p>
          <w:p w14:paraId="6C33FD3C">
            <w:pPr>
              <w:ind w:firstLine="480"/>
            </w:pPr>
            <w:r>
              <w:rPr>
                <w:rFonts w:hint="eastAsia"/>
              </w:rPr>
              <w:t>拟建工程声源在预测点产生的贡献值（</w:t>
            </w:r>
            <w:r>
              <w:t>L</w:t>
            </w:r>
            <w:r>
              <w:rPr>
                <w:vertAlign w:val="subscript"/>
              </w:rPr>
              <w:t>eqg</w:t>
            </w:r>
            <w:r>
              <w:rPr>
                <w:rFonts w:hint="eastAsia"/>
              </w:rPr>
              <w:t>）计算公式：</w:t>
            </w:r>
          </w:p>
          <w:p w14:paraId="2186D3BF">
            <w:pPr>
              <w:ind w:firstLine="480"/>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e</m:t>
                    </m:r>
                    <m:r>
                      <m:rPr/>
                      <w:rPr>
                        <w:rFonts w:hint="eastAsia" w:ascii="Cambria Math" w:hAnsi="Cambria Math"/>
                      </w:rPr>
                      <m:t>qg</m:t>
                    </m:r>
                    <m:ctrlPr>
                      <w:rPr>
                        <w:rFonts w:ascii="Cambria Math" w:hAnsi="Cambria Math"/>
                      </w:rPr>
                    </m:ctrlPr>
                  </m:sub>
                </m:sSub>
                <m:r>
                  <m:rPr/>
                  <w:rPr>
                    <w:rFonts w:ascii="Cambria Math" w:hAnsi="Cambria Math"/>
                  </w:rPr>
                  <m:t>=10lg</m:t>
                </m:r>
                <m:d>
                  <m:dPr>
                    <m:begChr m:val="["/>
                    <m:endChr m:val="]"/>
                    <m:ctrlPr>
                      <w:rPr>
                        <w:rFonts w:ascii="Cambria Math" w:hAnsi="Cambria Math"/>
                      </w:rPr>
                    </m:ctrlPr>
                  </m:dPr>
                  <m:e>
                    <m:f>
                      <m:fPr>
                        <m:ctrlPr>
                          <w:rPr>
                            <w:rFonts w:ascii="Cambria Math" w:hAnsi="Cambria Math"/>
                          </w:rPr>
                        </m:ctrlPr>
                      </m:fPr>
                      <m:num>
                        <m:r>
                          <m:rPr/>
                          <w:rPr>
                            <w:rFonts w:ascii="Cambria Math" w:hAnsi="Cambria Math"/>
                          </w:rPr>
                          <m:t>1</m:t>
                        </m:r>
                        <m:ctrlPr>
                          <w:rPr>
                            <w:rFonts w:ascii="Cambria Math" w:hAnsi="Cambria Math"/>
                          </w:rPr>
                        </m:ctrlPr>
                      </m:num>
                      <m:den>
                        <m:r>
                          <m:rPr/>
                          <w:rPr>
                            <w:rFonts w:ascii="Cambria Math" w:hAnsi="Cambria Math"/>
                          </w:rPr>
                          <m:t>T</m:t>
                        </m:r>
                        <m:ctrlPr>
                          <w:rPr>
                            <w:rFonts w:ascii="Cambria Math" w:hAnsi="Cambria Math"/>
                          </w:rPr>
                        </m:ctrlPr>
                      </m:den>
                    </m:f>
                    <m:d>
                      <m:dPr>
                        <m:ctrlPr>
                          <w:rPr>
                            <w:rFonts w:ascii="Cambria Math" w:hAnsi="Cambria Math"/>
                          </w:rPr>
                        </m:ctrlPr>
                      </m:dPr>
                      <m:e>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N</m:t>
                            </m:r>
                            <m:ctrlPr>
                              <w:rPr>
                                <w:rFonts w:ascii="Cambria Math" w:hAnsi="Cambria Math"/>
                              </w:rPr>
                            </m:ctrlPr>
                          </m:sup>
                          <m:e>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i</m:t>
                                </m:r>
                                <m:ctrlPr>
                                  <w:rPr>
                                    <w:rFonts w:ascii="Cambria Math" w:hAnsi="Cambria Math"/>
                                  </w:rPr>
                                </m:ctrlPr>
                              </m:sub>
                            </m:sSub>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Ai</m:t>
                                    </m:r>
                                    <m:ctrlPr>
                                      <w:rPr>
                                        <w:rFonts w:ascii="Cambria Math" w:hAnsi="Cambria Math"/>
                                      </w:rPr>
                                    </m:ctrlPr>
                                  </m:sub>
                                </m:sSub>
                                <m:ctrlPr>
                                  <w:rPr>
                                    <w:rFonts w:ascii="Cambria Math" w:hAnsi="Cambria Math"/>
                                  </w:rPr>
                                </m:ctrlPr>
                              </m:sup>
                            </m:sSup>
                            <m:ctrlPr>
                              <w:rPr>
                                <w:rFonts w:ascii="Cambria Math" w:hAnsi="Cambria Math"/>
                              </w:rPr>
                            </m:ctrlPr>
                          </m:e>
                        </m:nary>
                        <m:r>
                          <m:rPr/>
                          <w:rPr>
                            <w:rFonts w:ascii="Cambria Math" w:hAnsi="Cambria Math"/>
                          </w:rPr>
                          <m:t>+</m:t>
                        </m:r>
                        <m:nary>
                          <m:naryPr>
                            <m:chr m:val="∑"/>
                            <m:grow m:val="1"/>
                            <m:limLoc m:val="undOvr"/>
                            <m:ctrlPr>
                              <w:rPr>
                                <w:rFonts w:ascii="Cambria Math" w:hAnsi="Cambria Math"/>
                              </w:rPr>
                            </m:ctrlPr>
                          </m:naryPr>
                          <m:sub>
                            <m:r>
                              <m:rPr/>
                              <w:rPr>
                                <w:rFonts w:ascii="Cambria Math" w:hAnsi="Cambria Math"/>
                              </w:rPr>
                              <m:t>j=1</m:t>
                            </m:r>
                            <m:ctrlPr>
                              <w:rPr>
                                <w:rFonts w:ascii="Cambria Math" w:hAnsi="Cambria Math"/>
                              </w:rPr>
                            </m:ctrlPr>
                          </m:sub>
                          <m:sup>
                            <m:r>
                              <m:rPr/>
                              <w:rPr>
                                <w:rFonts w:ascii="Cambria Math" w:hAnsi="Cambria Math"/>
                              </w:rPr>
                              <m:t>M</m:t>
                            </m:r>
                            <m:ctrlPr>
                              <w:rPr>
                                <w:rFonts w:ascii="Cambria Math" w:hAnsi="Cambria Math"/>
                              </w:rPr>
                            </m:ctrlPr>
                          </m:sup>
                          <m:e>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j</m:t>
                                </m:r>
                                <m:ctrlPr>
                                  <w:rPr>
                                    <w:rFonts w:ascii="Cambria Math" w:hAnsi="Cambria Math"/>
                                  </w:rPr>
                                </m:ctrlPr>
                              </m:sub>
                            </m:sSub>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Aj</m:t>
                                    </m:r>
                                    <m:ctrlPr>
                                      <w:rPr>
                                        <w:rFonts w:ascii="Cambria Math" w:hAnsi="Cambria Math"/>
                                      </w:rPr>
                                    </m:ctrlPr>
                                  </m:sub>
                                </m:sSub>
                                <m:ctrlPr>
                                  <w:rPr>
                                    <w:rFonts w:ascii="Cambria Math" w:hAnsi="Cambria Math"/>
                                  </w:rPr>
                                </m:ctrlPr>
                              </m:sup>
                            </m:sSup>
                            <m:ctrlPr>
                              <w:rPr>
                                <w:rFonts w:ascii="Cambria Math" w:hAnsi="Cambria Math"/>
                              </w:rPr>
                            </m:ctrlPr>
                          </m:e>
                        </m:nary>
                        <m:ctrlPr>
                          <w:rPr>
                            <w:rFonts w:ascii="Cambria Math" w:hAnsi="Cambria Math"/>
                          </w:rPr>
                        </m:ctrlPr>
                      </m:e>
                    </m:d>
                    <m:ctrlPr>
                      <w:rPr>
                        <w:rFonts w:ascii="Cambria Math" w:hAnsi="Cambria Math"/>
                      </w:rPr>
                    </m:ctrlPr>
                  </m:e>
                </m:d>
              </m:oMath>
            </m:oMathPara>
          </w:p>
          <w:p w14:paraId="4C75FE0F">
            <w:pPr>
              <w:ind w:firstLine="480"/>
            </w:pPr>
            <w:r>
              <w:rPr>
                <w:rFonts w:hint="eastAsia"/>
              </w:rPr>
              <w:t>式中：</w:t>
            </w:r>
          </w:p>
          <w:p w14:paraId="65A05DB6">
            <w:pPr>
              <w:ind w:firstLine="480"/>
            </w:pPr>
            <w:r>
              <w:t>L</w:t>
            </w:r>
            <w:r>
              <w:rPr>
                <w:vertAlign w:val="subscript"/>
              </w:rPr>
              <w:t>eqg</w:t>
            </w:r>
            <w:r>
              <w:t>——建设项目声源在预测点</w:t>
            </w:r>
            <w:r>
              <w:rPr>
                <w:rFonts w:hint="eastAsia"/>
              </w:rPr>
              <w:t>产生</w:t>
            </w:r>
            <w:r>
              <w:t>的</w:t>
            </w:r>
            <w:r>
              <w:rPr>
                <w:rFonts w:hint="eastAsia"/>
              </w:rPr>
              <w:t>噪声</w:t>
            </w:r>
            <w:r>
              <w:t>贡献值，dB；</w:t>
            </w:r>
          </w:p>
          <w:p w14:paraId="54380E45">
            <w:pPr>
              <w:ind w:firstLine="480"/>
            </w:pPr>
            <w:r>
              <w:rPr>
                <w:rFonts w:hint="eastAsia"/>
              </w:rPr>
              <w:t>T</w:t>
            </w:r>
            <w:r>
              <w:t>——</w:t>
            </w:r>
            <w:r>
              <w:rPr>
                <w:rFonts w:hint="eastAsia"/>
              </w:rPr>
              <w:t>用于计算等效声级的时间，s；</w:t>
            </w:r>
          </w:p>
          <w:p w14:paraId="05885046">
            <w:pPr>
              <w:ind w:firstLine="480"/>
            </w:pPr>
            <w:r>
              <w:rPr>
                <w:rFonts w:hint="eastAsia"/>
              </w:rPr>
              <w:t>N</w:t>
            </w:r>
            <w:r>
              <w:t>——</w:t>
            </w:r>
            <w:r>
              <w:rPr>
                <w:rFonts w:hint="eastAsia"/>
              </w:rPr>
              <w:t>室外声源个数；</w:t>
            </w:r>
          </w:p>
          <w:p w14:paraId="597C53C9">
            <w:pPr>
              <w:ind w:firstLine="480"/>
            </w:pPr>
            <w:r>
              <w:t>t</w:t>
            </w:r>
            <w:r>
              <w:rPr>
                <w:vertAlign w:val="subscript"/>
              </w:rPr>
              <w:t>i</w:t>
            </w:r>
            <w:r>
              <w:t>——</w:t>
            </w:r>
            <w:r>
              <w:rPr>
                <w:rFonts w:hint="eastAsia"/>
              </w:rPr>
              <w:t>在T时间内i声源工作时间，</w:t>
            </w:r>
            <w:r>
              <w:t>s</w:t>
            </w:r>
            <w:r>
              <w:rPr>
                <w:rFonts w:hint="eastAsia"/>
              </w:rPr>
              <w:t>；</w:t>
            </w:r>
          </w:p>
          <w:p w14:paraId="11A7355E">
            <w:pPr>
              <w:ind w:firstLine="480"/>
            </w:pPr>
            <w:r>
              <w:rPr>
                <w:rFonts w:hint="eastAsia"/>
              </w:rPr>
              <w:t>M</w:t>
            </w:r>
            <w:r>
              <w:t>——</w:t>
            </w:r>
            <w:r>
              <w:rPr>
                <w:rFonts w:hint="eastAsia"/>
              </w:rPr>
              <w:t>等效室外声源个数；</w:t>
            </w:r>
          </w:p>
          <w:p w14:paraId="56B7077A">
            <w:pPr>
              <w:ind w:firstLine="480"/>
            </w:pPr>
            <w:r>
              <w:t>t</w:t>
            </w:r>
            <w:r>
              <w:rPr>
                <w:vertAlign w:val="subscript"/>
              </w:rPr>
              <w:t>j</w:t>
            </w:r>
            <w:r>
              <w:t>——</w:t>
            </w:r>
            <w:r>
              <w:rPr>
                <w:rFonts w:hint="eastAsia"/>
              </w:rPr>
              <w:t>在T时间内j声源工作时间，</w:t>
            </w:r>
            <w:r>
              <w:t>s</w:t>
            </w:r>
            <w:r>
              <w:rPr>
                <w:rFonts w:hint="eastAsia"/>
              </w:rPr>
              <w:t>。</w:t>
            </w:r>
          </w:p>
          <w:p w14:paraId="46A6B33A">
            <w:pPr>
              <w:ind w:firstLine="480"/>
            </w:pPr>
            <w:r>
              <w:rPr>
                <w:rFonts w:hint="eastAsia"/>
              </w:rPr>
              <w:t>噪声预测值</w:t>
            </w:r>
            <w:r>
              <w:t>L</w:t>
            </w:r>
            <w:r>
              <w:rPr>
                <w:vertAlign w:val="subscript"/>
              </w:rPr>
              <w:t>eq</w:t>
            </w:r>
            <w:r>
              <w:rPr>
                <w:rFonts w:hint="eastAsia"/>
              </w:rPr>
              <w:t>计算公式为：</w:t>
            </w:r>
          </w:p>
          <w:p w14:paraId="0436A518">
            <w:pPr>
              <w:ind w:firstLine="480"/>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eq</m:t>
                    </m:r>
                    <m:ctrlPr>
                      <w:rPr>
                        <w:rFonts w:ascii="Cambria Math" w:hAnsi="Cambria Math"/>
                      </w:rPr>
                    </m:ctrlPr>
                  </m:sub>
                </m:sSub>
                <m:r>
                  <m:rPr/>
                  <w:rPr>
                    <w:rFonts w:ascii="Cambria Math" w:hAnsi="Cambria Math"/>
                  </w:rPr>
                  <m:t>=10</m:t>
                </m:r>
                <m:r>
                  <m:rPr/>
                  <w:rPr>
                    <w:rFonts w:hint="eastAsia" w:ascii="Cambria Math" w:hAnsi="Cambria Math"/>
                  </w:rPr>
                  <m:t>lg</m:t>
                </m:r>
                <m:d>
                  <m:dPr>
                    <m:ctrlPr>
                      <w:rPr>
                        <w:rFonts w:ascii="Cambria Math" w:hAnsi="Cambria Math"/>
                      </w:rPr>
                    </m:ctrlPr>
                  </m:dPr>
                  <m:e>
                    <m:r>
                      <m:rPr/>
                      <w:rPr>
                        <w:rFonts w:ascii="Cambria Math" w:hAnsi="Cambria Math"/>
                      </w:rPr>
                      <m:t>1</m:t>
                    </m:r>
                    <m:sSup>
                      <m:sSupPr>
                        <m:ctrlPr>
                          <w:rPr>
                            <w:rFonts w:ascii="Cambria Math" w:hAnsi="Cambria Math"/>
                          </w:rPr>
                        </m:ctrlPr>
                      </m:sSupPr>
                      <m:e>
                        <m:r>
                          <m:rPr/>
                          <w:rPr>
                            <w:rFonts w:ascii="Cambria Math" w:hAnsi="Cambria Math"/>
                          </w:rPr>
                          <m:t>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eqg</m:t>
                            </m:r>
                            <m:ctrlPr>
                              <w:rPr>
                                <w:rFonts w:ascii="Cambria Math" w:hAnsi="Cambria Math"/>
                              </w:rPr>
                            </m:ctrlPr>
                          </m:sub>
                        </m:sSub>
                        <m:ctrlPr>
                          <w:rPr>
                            <w:rFonts w:ascii="Cambria Math" w:hAnsi="Cambria Math"/>
                          </w:rPr>
                        </m:ctrlPr>
                      </m:sup>
                    </m:sSup>
                    <m:r>
                      <m:rPr/>
                      <w:rPr>
                        <w:rFonts w:ascii="Cambria Math" w:hAnsi="Cambria Math"/>
                      </w:rPr>
                      <m:t>+1</m:t>
                    </m:r>
                    <m:sSup>
                      <m:sSupPr>
                        <m:ctrlPr>
                          <w:rPr>
                            <w:rFonts w:ascii="Cambria Math" w:hAnsi="Cambria Math"/>
                          </w:rPr>
                        </m:ctrlPr>
                      </m:sSupPr>
                      <m:e>
                        <m:r>
                          <m:rPr/>
                          <w:rPr>
                            <w:rFonts w:ascii="Cambria Math" w:hAnsi="Cambria Math"/>
                          </w:rPr>
                          <m:t>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eqb</m:t>
                            </m:r>
                            <m:ctrlPr>
                              <w:rPr>
                                <w:rFonts w:ascii="Cambria Math" w:hAnsi="Cambria Math"/>
                              </w:rPr>
                            </m:ctrlPr>
                          </m:sub>
                        </m:sSub>
                        <m:ctrlPr>
                          <w:rPr>
                            <w:rFonts w:ascii="Cambria Math" w:hAnsi="Cambria Math"/>
                          </w:rPr>
                        </m:ctrlPr>
                      </m:sup>
                    </m:sSup>
                    <m:ctrlPr>
                      <w:rPr>
                        <w:rFonts w:ascii="Cambria Math" w:hAnsi="Cambria Math"/>
                      </w:rPr>
                    </m:ctrlPr>
                  </m:e>
                </m:d>
              </m:oMath>
            </m:oMathPara>
          </w:p>
          <w:p w14:paraId="3F684836">
            <w:pPr>
              <w:ind w:firstLine="480"/>
            </w:pPr>
            <w:r>
              <w:t>式中：</w:t>
            </w:r>
          </w:p>
          <w:p w14:paraId="1EA705D4">
            <w:pPr>
              <w:ind w:firstLine="480"/>
            </w:pPr>
            <w:r>
              <w:t>L</w:t>
            </w:r>
            <w:r>
              <w:rPr>
                <w:vertAlign w:val="subscript"/>
              </w:rPr>
              <w:t>eq</w:t>
            </w:r>
            <w:r>
              <w:t>——</w:t>
            </w:r>
            <w:r>
              <w:rPr>
                <w:rFonts w:hint="eastAsia"/>
              </w:rPr>
              <w:t>预测点的噪声预测值，dB</w:t>
            </w:r>
            <w:r>
              <w:t>；</w:t>
            </w:r>
          </w:p>
          <w:p w14:paraId="08975110">
            <w:pPr>
              <w:ind w:firstLine="480"/>
            </w:pPr>
            <w:r>
              <w:t>L</w:t>
            </w:r>
            <w:r>
              <w:rPr>
                <w:vertAlign w:val="subscript"/>
              </w:rPr>
              <w:t>eqg</w:t>
            </w:r>
            <w:r>
              <w:t>——建设项目声源在预测点产生的噪声贡献值，dB；</w:t>
            </w:r>
          </w:p>
          <w:p w14:paraId="300D8B62">
            <w:pPr>
              <w:ind w:firstLine="480"/>
            </w:pPr>
            <w:r>
              <w:t>L</w:t>
            </w:r>
            <w:r>
              <w:rPr>
                <w:vertAlign w:val="subscript"/>
              </w:rPr>
              <w:t>eq</w:t>
            </w:r>
            <w:r>
              <w:rPr>
                <w:rFonts w:hint="eastAsia"/>
                <w:vertAlign w:val="subscript"/>
              </w:rPr>
              <w:t>b</w:t>
            </w:r>
            <w:r>
              <w:t>——预测点的背景噪声值，dB。</w:t>
            </w:r>
          </w:p>
          <w:p w14:paraId="12A90DC3">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4.7.3、</w:t>
            </w:r>
            <w:r>
              <w:rPr>
                <w:rFonts w:hint="eastAsia"/>
              </w:rPr>
              <w:t>噪声环境影响预测评价</w:t>
            </w:r>
          </w:p>
          <w:p w14:paraId="7A81BF8A">
            <w:pPr>
              <w:ind w:firstLine="480"/>
            </w:pPr>
            <w:r>
              <w:rPr>
                <w:rFonts w:hint="eastAsia"/>
              </w:rPr>
              <w:t>根据噪声预测模式进行计算，项目运营期噪声对项目各厂界噪声影响预测结果见下表。</w:t>
            </w:r>
          </w:p>
          <w:p w14:paraId="5E9DF8D5">
            <w:pPr>
              <w:pStyle w:val="8"/>
              <w:numPr>
                <w:ilvl w:val="5"/>
                <w:numId w:val="0"/>
              </w:numPr>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表4-2</w:t>
            </w:r>
            <w:r>
              <w:rPr>
                <w:rFonts w:hint="eastAsia" w:cs="Times New Roman"/>
                <w:b/>
                <w:i w:val="0"/>
                <w:color w:val="auto"/>
                <w:kern w:val="2"/>
                <w:sz w:val="24"/>
                <w:szCs w:val="24"/>
                <w:shd w:val="clear" w:fill="FFFFFF"/>
                <w:lang w:val="en-US" w:eastAsia="zh-CN" w:bidi="ar-SA"/>
              </w:rPr>
              <w:t>2</w:t>
            </w:r>
            <w:r>
              <w:rPr>
                <w:color w:val="auto"/>
                <w:highlight w:val="none"/>
              </w:rPr>
              <w:t>项目噪声</w:t>
            </w:r>
            <w:r>
              <w:rPr>
                <w:rFonts w:hint="eastAsia"/>
                <w:color w:val="auto"/>
                <w:highlight w:val="none"/>
                <w:lang w:eastAsia="zh-CN"/>
              </w:rPr>
              <w:t>贡献值</w:t>
            </w:r>
            <w:r>
              <w:rPr>
                <w:color w:val="auto"/>
                <w:highlight w:val="none"/>
              </w:rPr>
              <w:t>统计表  单位：dB(A)</w:t>
            </w:r>
          </w:p>
          <w:tbl>
            <w:tblPr>
              <w:tblStyle w:val="25"/>
              <w:tblW w:w="499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44"/>
              <w:gridCol w:w="3746"/>
              <w:gridCol w:w="2943"/>
            </w:tblGrid>
            <w:tr w14:paraId="52E1A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26" w:type="pct"/>
                  <w:noWrap w:val="0"/>
                  <w:vAlign w:val="center"/>
                </w:tcPr>
                <w:p w14:paraId="542E0485">
                  <w:pPr>
                    <w:pStyle w:val="61"/>
                    <w:keepNext w:val="0"/>
                    <w:keepLines w:val="0"/>
                    <w:pageBreakBefore w:val="0"/>
                    <w:widowControl w:val="0"/>
                    <w:kinsoku/>
                    <w:wordWrap/>
                    <w:overflowPunct w:val="0"/>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序号</w:t>
                  </w:r>
                </w:p>
              </w:tc>
              <w:tc>
                <w:tcPr>
                  <w:tcW w:w="2169" w:type="pct"/>
                  <w:tcBorders>
                    <w:right w:val="single" w:color="auto" w:sz="4" w:space="0"/>
                  </w:tcBorders>
                  <w:noWrap w:val="0"/>
                  <w:vAlign w:val="center"/>
                </w:tcPr>
                <w:p w14:paraId="59349321">
                  <w:pPr>
                    <w:pStyle w:val="61"/>
                    <w:keepNext w:val="0"/>
                    <w:keepLines w:val="0"/>
                    <w:pageBreakBefore w:val="0"/>
                    <w:widowControl w:val="0"/>
                    <w:kinsoku/>
                    <w:wordWrap/>
                    <w:overflowPunct w:val="0"/>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预测点位</w:t>
                  </w:r>
                </w:p>
              </w:tc>
              <w:tc>
                <w:tcPr>
                  <w:tcW w:w="1704" w:type="pct"/>
                  <w:tcBorders>
                    <w:right w:val="single" w:color="auto" w:sz="4" w:space="0"/>
                  </w:tcBorders>
                  <w:noWrap w:val="0"/>
                  <w:vAlign w:val="center"/>
                </w:tcPr>
                <w:p w14:paraId="3B082017">
                  <w:pPr>
                    <w:pStyle w:val="61"/>
                    <w:keepNext w:val="0"/>
                    <w:keepLines w:val="0"/>
                    <w:pageBreakBefore w:val="0"/>
                    <w:widowControl w:val="0"/>
                    <w:kinsoku/>
                    <w:wordWrap/>
                    <w:overflowPunct w:val="0"/>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贡献值</w:t>
                  </w:r>
                </w:p>
              </w:tc>
            </w:tr>
            <w:tr w14:paraId="02C3F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26" w:type="pct"/>
                  <w:noWrap w:val="0"/>
                  <w:vAlign w:val="center"/>
                </w:tcPr>
                <w:p w14:paraId="16801E28">
                  <w:pPr>
                    <w:pStyle w:val="61"/>
                    <w:keepNext w:val="0"/>
                    <w:keepLines w:val="0"/>
                    <w:pageBreakBefore w:val="0"/>
                    <w:widowControl w:val="0"/>
                    <w:kinsoku/>
                    <w:wordWrap/>
                    <w:overflowPunct w:val="0"/>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3735" w:type="dxa"/>
                  <w:tcBorders>
                    <w:right w:val="single" w:color="auto" w:sz="4" w:space="0"/>
                  </w:tcBorders>
                  <w:noWrap w:val="0"/>
                  <w:vAlign w:val="center"/>
                </w:tcPr>
                <w:p w14:paraId="3D08D941">
                  <w:pPr>
                    <w:pStyle w:val="61"/>
                    <w:keepNext w:val="0"/>
                    <w:keepLines w:val="0"/>
                    <w:pageBreakBefore w:val="0"/>
                    <w:widowControl w:val="0"/>
                    <w:kinsoku/>
                    <w:wordWrap/>
                    <w:overflowPunct w:val="0"/>
                    <w:topLinePunct w:val="0"/>
                    <w:autoSpaceDE/>
                    <w:autoSpaceDN/>
                    <w:bidi w:val="0"/>
                    <w:spacing w:beforeLines="0" w:afterLines="0" w:line="240" w:lineRule="auto"/>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厂界</w:t>
                  </w:r>
                  <w:r>
                    <w:rPr>
                      <w:rFonts w:hint="eastAsia" w:ascii="Times New Roman" w:cs="Times New Roman"/>
                      <w:color w:val="auto"/>
                      <w:sz w:val="21"/>
                      <w:szCs w:val="21"/>
                      <w:highlight w:val="none"/>
                      <w:lang w:eastAsia="zh-CN"/>
                    </w:rPr>
                    <w:t>西北</w:t>
                  </w:r>
                  <w:r>
                    <w:rPr>
                      <w:rFonts w:hint="default" w:ascii="Times New Roman" w:hAnsi="Times New Roman" w:cs="Times New Roman"/>
                      <w:color w:val="auto"/>
                      <w:sz w:val="21"/>
                      <w:szCs w:val="21"/>
                      <w:highlight w:val="none"/>
                    </w:rPr>
                    <w:t>1m处</w:t>
                  </w:r>
                </w:p>
              </w:tc>
              <w:tc>
                <w:tcPr>
                  <w:tcW w:w="2794" w:type="dxa"/>
                  <w:tcBorders>
                    <w:right w:val="single" w:color="auto" w:sz="4" w:space="0"/>
                  </w:tcBorders>
                  <w:noWrap w:val="0"/>
                  <w:vAlign w:val="center"/>
                </w:tcPr>
                <w:p w14:paraId="7193A897">
                  <w:pPr>
                    <w:pStyle w:val="61"/>
                    <w:keepNext w:val="0"/>
                    <w:keepLines w:val="0"/>
                    <w:pageBreakBefore w:val="0"/>
                    <w:widowControl w:val="0"/>
                    <w:kinsoku/>
                    <w:wordWrap/>
                    <w:overflowPunct w:val="0"/>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56.01</w:t>
                  </w:r>
                </w:p>
              </w:tc>
            </w:tr>
            <w:tr w14:paraId="671A8A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26" w:type="pct"/>
                  <w:noWrap w:val="0"/>
                  <w:vAlign w:val="center"/>
                </w:tcPr>
                <w:p w14:paraId="715C182D">
                  <w:pPr>
                    <w:pStyle w:val="61"/>
                    <w:keepNext w:val="0"/>
                    <w:keepLines w:val="0"/>
                    <w:pageBreakBefore w:val="0"/>
                    <w:widowControl w:val="0"/>
                    <w:kinsoku/>
                    <w:wordWrap/>
                    <w:overflowPunct w:val="0"/>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3735" w:type="dxa"/>
                  <w:tcBorders>
                    <w:right w:val="single" w:color="auto" w:sz="4" w:space="0"/>
                  </w:tcBorders>
                  <w:noWrap w:val="0"/>
                  <w:vAlign w:val="center"/>
                </w:tcPr>
                <w:p w14:paraId="23A92B40">
                  <w:pPr>
                    <w:pStyle w:val="61"/>
                    <w:keepNext w:val="0"/>
                    <w:keepLines w:val="0"/>
                    <w:pageBreakBefore w:val="0"/>
                    <w:widowControl w:val="0"/>
                    <w:kinsoku/>
                    <w:wordWrap/>
                    <w:overflowPunct w:val="0"/>
                    <w:topLinePunct w:val="0"/>
                    <w:autoSpaceDE/>
                    <w:autoSpaceDN/>
                    <w:bidi w:val="0"/>
                    <w:spacing w:beforeLines="0" w:afterLines="0" w:line="240" w:lineRule="auto"/>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厂界</w:t>
                  </w:r>
                  <w:r>
                    <w:rPr>
                      <w:rFonts w:hint="eastAsia" w:ascii="Times New Roman" w:cs="Times New Roman"/>
                      <w:color w:val="auto"/>
                      <w:sz w:val="21"/>
                      <w:szCs w:val="21"/>
                      <w:highlight w:val="none"/>
                      <w:lang w:eastAsia="zh-CN"/>
                    </w:rPr>
                    <w:t>西南</w:t>
                  </w:r>
                  <w:r>
                    <w:rPr>
                      <w:rFonts w:hint="default" w:ascii="Times New Roman" w:hAnsi="Times New Roman" w:cs="Times New Roman"/>
                      <w:color w:val="auto"/>
                      <w:sz w:val="21"/>
                      <w:szCs w:val="21"/>
                      <w:highlight w:val="none"/>
                    </w:rPr>
                    <w:t>1m处</w:t>
                  </w:r>
                </w:p>
              </w:tc>
              <w:tc>
                <w:tcPr>
                  <w:tcW w:w="2794" w:type="dxa"/>
                  <w:tcBorders>
                    <w:right w:val="single" w:color="auto" w:sz="4" w:space="0"/>
                  </w:tcBorders>
                  <w:noWrap w:val="0"/>
                  <w:vAlign w:val="center"/>
                </w:tcPr>
                <w:p w14:paraId="45F4B847">
                  <w:pPr>
                    <w:pStyle w:val="61"/>
                    <w:keepNext w:val="0"/>
                    <w:keepLines w:val="0"/>
                    <w:pageBreakBefore w:val="0"/>
                    <w:widowControl w:val="0"/>
                    <w:kinsoku/>
                    <w:wordWrap/>
                    <w:overflowPunct w:val="0"/>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35.34</w:t>
                  </w:r>
                </w:p>
              </w:tc>
            </w:tr>
            <w:tr w14:paraId="5D926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26" w:type="pct"/>
                  <w:noWrap w:val="0"/>
                  <w:vAlign w:val="center"/>
                </w:tcPr>
                <w:p w14:paraId="42DD4FD0">
                  <w:pPr>
                    <w:pStyle w:val="61"/>
                    <w:keepNext w:val="0"/>
                    <w:keepLines w:val="0"/>
                    <w:pageBreakBefore w:val="0"/>
                    <w:widowControl w:val="0"/>
                    <w:kinsoku/>
                    <w:wordWrap/>
                    <w:overflowPunct w:val="0"/>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3735" w:type="dxa"/>
                  <w:tcBorders>
                    <w:right w:val="single" w:color="auto" w:sz="4" w:space="0"/>
                  </w:tcBorders>
                  <w:noWrap w:val="0"/>
                  <w:vAlign w:val="center"/>
                </w:tcPr>
                <w:p w14:paraId="77B249C7">
                  <w:pPr>
                    <w:pStyle w:val="61"/>
                    <w:keepNext w:val="0"/>
                    <w:keepLines w:val="0"/>
                    <w:pageBreakBefore w:val="0"/>
                    <w:widowControl w:val="0"/>
                    <w:kinsoku/>
                    <w:wordWrap/>
                    <w:overflowPunct w:val="0"/>
                    <w:topLinePunct w:val="0"/>
                    <w:autoSpaceDE/>
                    <w:autoSpaceDN/>
                    <w:bidi w:val="0"/>
                    <w:spacing w:beforeLines="0" w:afterLines="0" w:line="240" w:lineRule="auto"/>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厂界</w:t>
                  </w:r>
                  <w:r>
                    <w:rPr>
                      <w:rFonts w:hint="eastAsia" w:ascii="Times New Roman" w:cs="Times New Roman"/>
                      <w:color w:val="auto"/>
                      <w:sz w:val="21"/>
                      <w:szCs w:val="21"/>
                      <w:highlight w:val="none"/>
                      <w:lang w:eastAsia="zh-CN"/>
                    </w:rPr>
                    <w:t>东南</w:t>
                  </w:r>
                  <w:r>
                    <w:rPr>
                      <w:rFonts w:hint="default" w:ascii="Times New Roman" w:hAnsi="Times New Roman" w:cs="Times New Roman"/>
                      <w:color w:val="auto"/>
                      <w:sz w:val="21"/>
                      <w:szCs w:val="21"/>
                      <w:highlight w:val="none"/>
                    </w:rPr>
                    <w:t>1m处</w:t>
                  </w:r>
                </w:p>
              </w:tc>
              <w:tc>
                <w:tcPr>
                  <w:tcW w:w="2794" w:type="dxa"/>
                  <w:tcBorders>
                    <w:right w:val="single" w:color="auto" w:sz="4" w:space="0"/>
                  </w:tcBorders>
                  <w:noWrap w:val="0"/>
                  <w:vAlign w:val="center"/>
                </w:tcPr>
                <w:p w14:paraId="6FC0C3FA">
                  <w:pPr>
                    <w:pStyle w:val="61"/>
                    <w:keepNext w:val="0"/>
                    <w:keepLines w:val="0"/>
                    <w:pageBreakBefore w:val="0"/>
                    <w:widowControl w:val="0"/>
                    <w:kinsoku/>
                    <w:wordWrap/>
                    <w:overflowPunct w:val="0"/>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36.64</w:t>
                  </w:r>
                </w:p>
              </w:tc>
            </w:tr>
            <w:tr w14:paraId="2F4B6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26" w:type="pct"/>
                  <w:noWrap w:val="0"/>
                  <w:vAlign w:val="center"/>
                </w:tcPr>
                <w:p w14:paraId="1EA17EE1">
                  <w:pPr>
                    <w:pStyle w:val="61"/>
                    <w:keepNext w:val="0"/>
                    <w:keepLines w:val="0"/>
                    <w:pageBreakBefore w:val="0"/>
                    <w:widowControl w:val="0"/>
                    <w:kinsoku/>
                    <w:wordWrap/>
                    <w:overflowPunct w:val="0"/>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3735" w:type="dxa"/>
                  <w:tcBorders>
                    <w:right w:val="single" w:color="auto" w:sz="4" w:space="0"/>
                  </w:tcBorders>
                  <w:noWrap w:val="0"/>
                  <w:vAlign w:val="center"/>
                </w:tcPr>
                <w:p w14:paraId="776FB5BE">
                  <w:pPr>
                    <w:pStyle w:val="61"/>
                    <w:keepNext w:val="0"/>
                    <w:keepLines w:val="0"/>
                    <w:pageBreakBefore w:val="0"/>
                    <w:widowControl w:val="0"/>
                    <w:kinsoku/>
                    <w:wordWrap/>
                    <w:overflowPunct w:val="0"/>
                    <w:topLinePunct w:val="0"/>
                    <w:autoSpaceDE/>
                    <w:autoSpaceDN/>
                    <w:bidi w:val="0"/>
                    <w:spacing w:beforeLines="0" w:afterLines="0" w:line="240" w:lineRule="auto"/>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厂界</w:t>
                  </w:r>
                  <w:r>
                    <w:rPr>
                      <w:rFonts w:hint="eastAsia" w:ascii="Times New Roman" w:cs="Times New Roman"/>
                      <w:color w:val="auto"/>
                      <w:sz w:val="21"/>
                      <w:szCs w:val="21"/>
                      <w:highlight w:val="none"/>
                      <w:lang w:eastAsia="zh-CN"/>
                    </w:rPr>
                    <w:t>东北</w:t>
                  </w:r>
                  <w:r>
                    <w:rPr>
                      <w:rFonts w:hint="default" w:ascii="Times New Roman" w:hAnsi="Times New Roman" w:cs="Times New Roman"/>
                      <w:color w:val="auto"/>
                      <w:sz w:val="21"/>
                      <w:szCs w:val="21"/>
                      <w:highlight w:val="none"/>
                    </w:rPr>
                    <w:t>1m处</w:t>
                  </w:r>
                </w:p>
              </w:tc>
              <w:tc>
                <w:tcPr>
                  <w:tcW w:w="2794" w:type="dxa"/>
                  <w:tcBorders>
                    <w:right w:val="single" w:color="auto" w:sz="4" w:space="0"/>
                  </w:tcBorders>
                  <w:noWrap w:val="0"/>
                  <w:vAlign w:val="center"/>
                </w:tcPr>
                <w:p w14:paraId="1734CA1F">
                  <w:pPr>
                    <w:pStyle w:val="61"/>
                    <w:keepNext w:val="0"/>
                    <w:keepLines w:val="0"/>
                    <w:pageBreakBefore w:val="0"/>
                    <w:widowControl w:val="0"/>
                    <w:kinsoku/>
                    <w:wordWrap/>
                    <w:overflowPunct w:val="0"/>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55.85</w:t>
                  </w:r>
                </w:p>
              </w:tc>
            </w:tr>
          </w:tbl>
          <w:p w14:paraId="0A78A485">
            <w:pPr>
              <w:ind w:firstLine="480"/>
              <w:rPr>
                <w:rFonts w:hint="default" w:ascii="Times New Roman" w:hAnsi="Times New Roman" w:eastAsia="宋体" w:cs="Times New Roman"/>
                <w:highlight w:val="none"/>
                <w:lang w:val="en-US" w:eastAsia="zh-CN"/>
              </w:rPr>
            </w:pPr>
            <w:r>
              <w:rPr>
                <w:color w:val="auto"/>
                <w:highlight w:val="none"/>
              </w:rPr>
              <w:t>从上表可知，本项目厂界各预测点的噪声贡献值均可达到《工业企业厂界环境噪声排放标准》（GB12348-2008）中</w:t>
            </w:r>
            <w:r>
              <w:rPr>
                <w:rFonts w:hint="eastAsia"/>
                <w:color w:val="auto"/>
                <w:highlight w:val="none"/>
                <w:lang w:val="en-US" w:eastAsia="zh-CN"/>
              </w:rPr>
              <w:t>3</w:t>
            </w:r>
            <w:r>
              <w:rPr>
                <w:color w:val="auto"/>
                <w:highlight w:val="none"/>
              </w:rPr>
              <w:t>类标准。</w:t>
            </w:r>
          </w:p>
          <w:p w14:paraId="54AF5579">
            <w:pPr>
              <w:ind w:firstLine="480"/>
              <w:rPr>
                <w:rFonts w:hint="eastAsia" w:eastAsia="宋体"/>
                <w:u w:val="single"/>
                <w:lang w:eastAsia="zh-CN"/>
              </w:rPr>
            </w:pPr>
            <w:r>
              <w:rPr>
                <w:rFonts w:hint="default" w:ascii="Times New Roman" w:hAnsi="Times New Roman" w:cs="Times New Roman"/>
                <w:color w:val="auto"/>
                <w:highlight w:val="none"/>
              </w:rPr>
              <w:t>项目运营期产生的噪声能够做到达标排放，对周围环境影响较小</w:t>
            </w:r>
            <w:r>
              <w:rPr>
                <w:rFonts w:hint="default" w:ascii="Times New Roman" w:hAnsi="Times New Roman" w:cs="Times New Roman"/>
                <w:color w:val="auto"/>
                <w:highlight w:val="none"/>
                <w:lang w:eastAsia="zh-CN"/>
              </w:rPr>
              <w:t>。</w:t>
            </w:r>
          </w:p>
          <w:p w14:paraId="5A9A601B">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4.7.4、</w:t>
            </w:r>
            <w:r>
              <w:rPr>
                <w:rFonts w:hint="eastAsia"/>
              </w:rPr>
              <w:t>监测计划</w:t>
            </w:r>
          </w:p>
          <w:p w14:paraId="6F65E50A">
            <w:pPr>
              <w:pStyle w:val="57"/>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根据</w:t>
            </w:r>
            <w:r>
              <w:rPr>
                <w:rFonts w:ascii="Times New Roman" w:hAnsi="Times New Roman" w:cs="Times New Roman"/>
                <w:sz w:val="24"/>
                <w:lang w:val="en-US" w:bidi="ar-SA"/>
              </w:rPr>
              <w:t>《排污单位自行监测技术指南 总则》（HJ819-2017）</w:t>
            </w:r>
            <w:r>
              <w:rPr>
                <w:rFonts w:hint="default" w:ascii="Times New Roman" w:hAnsi="Times New Roman" w:eastAsia="宋体" w:cs="Times New Roman"/>
                <w:color w:val="auto"/>
                <w:highlight w:val="none"/>
              </w:rPr>
              <w:t>，制定本项目噪声监测计划如下</w:t>
            </w:r>
            <w:r>
              <w:rPr>
                <w:rFonts w:hint="eastAsia" w:ascii="Times New Roman" w:hAnsi="Times New Roman" w:eastAsia="宋体" w:cs="Times New Roman"/>
                <w:color w:val="auto"/>
                <w:highlight w:val="none"/>
              </w:rPr>
              <w:t>。</w:t>
            </w:r>
          </w:p>
          <w:p w14:paraId="3310ACCA">
            <w:pPr>
              <w:pStyle w:val="8"/>
              <w:numPr>
                <w:ilvl w:val="5"/>
                <w:numId w:val="0"/>
              </w:numPr>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表4-2</w:t>
            </w:r>
            <w:r>
              <w:rPr>
                <w:rFonts w:hint="eastAsia" w:cs="Times New Roman"/>
                <w:b/>
                <w:i w:val="0"/>
                <w:color w:val="auto"/>
                <w:kern w:val="2"/>
                <w:sz w:val="24"/>
                <w:szCs w:val="24"/>
                <w:shd w:val="clear" w:fill="FFFFFF"/>
                <w:lang w:val="en-US" w:eastAsia="zh-CN" w:bidi="ar-SA"/>
              </w:rPr>
              <w:t>3</w:t>
            </w:r>
            <w:r>
              <w:t>运营期厂界噪声排放环境监测计划</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276"/>
              <w:gridCol w:w="1804"/>
              <w:gridCol w:w="3792"/>
            </w:tblGrid>
            <w:tr w14:paraId="2E2F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pct"/>
                  <w:vAlign w:val="center"/>
                </w:tcPr>
                <w:p w14:paraId="21C19A7A">
                  <w:pPr>
                    <w:pStyle w:val="42"/>
                  </w:pPr>
                  <w:r>
                    <w:t>监测点位</w:t>
                  </w:r>
                </w:p>
              </w:tc>
              <w:tc>
                <w:tcPr>
                  <w:tcW w:w="739" w:type="pct"/>
                  <w:vAlign w:val="center"/>
                </w:tcPr>
                <w:p w14:paraId="1B4FECAD">
                  <w:pPr>
                    <w:pStyle w:val="42"/>
                  </w:pPr>
                  <w:r>
                    <w:t>监测因子</w:t>
                  </w:r>
                </w:p>
              </w:tc>
              <w:tc>
                <w:tcPr>
                  <w:tcW w:w="1045" w:type="pct"/>
                  <w:vAlign w:val="center"/>
                </w:tcPr>
                <w:p w14:paraId="64375EB8">
                  <w:pPr>
                    <w:pStyle w:val="42"/>
                  </w:pPr>
                  <w:r>
                    <w:t>监测频次</w:t>
                  </w:r>
                </w:p>
              </w:tc>
              <w:tc>
                <w:tcPr>
                  <w:tcW w:w="2197" w:type="pct"/>
                  <w:vAlign w:val="center"/>
                </w:tcPr>
                <w:p w14:paraId="3B39A9B0">
                  <w:pPr>
                    <w:pStyle w:val="42"/>
                  </w:pPr>
                  <w:r>
                    <w:t>执行标准</w:t>
                  </w:r>
                </w:p>
              </w:tc>
            </w:tr>
            <w:tr w14:paraId="6CB4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pct"/>
                  <w:vAlign w:val="center"/>
                </w:tcPr>
                <w:p w14:paraId="7155E7B5">
                  <w:pPr>
                    <w:pStyle w:val="42"/>
                    <w:rPr>
                      <w:rFonts w:hint="default" w:eastAsia="宋体"/>
                      <w:lang w:val="en-US" w:eastAsia="zh-CN"/>
                    </w:rPr>
                  </w:pPr>
                  <w:r>
                    <w:t>厂界</w:t>
                  </w:r>
                  <w:r>
                    <w:rPr>
                      <w:rFonts w:hint="eastAsia"/>
                    </w:rPr>
                    <w:t>四周</w:t>
                  </w:r>
                  <w:r>
                    <w:rPr>
                      <w:rFonts w:hint="eastAsia"/>
                      <w:lang w:val="en-US" w:eastAsia="zh-CN"/>
                    </w:rPr>
                    <w:t>1m处</w:t>
                  </w:r>
                </w:p>
              </w:tc>
              <w:tc>
                <w:tcPr>
                  <w:tcW w:w="739" w:type="pct"/>
                  <w:vAlign w:val="center"/>
                </w:tcPr>
                <w:p w14:paraId="07A6FF45">
                  <w:pPr>
                    <w:pStyle w:val="42"/>
                  </w:pPr>
                  <w:r>
                    <w:rPr>
                      <w:rFonts w:hint="eastAsia"/>
                    </w:rPr>
                    <w:t>昼</w:t>
                  </w:r>
                  <w:r>
                    <w:rPr>
                      <w:rFonts w:hint="eastAsia"/>
                      <w:lang w:eastAsia="zh-CN"/>
                    </w:rPr>
                    <w:t>夜</w:t>
                  </w:r>
                  <w:r>
                    <w:rPr>
                      <w:rFonts w:hint="eastAsia"/>
                    </w:rPr>
                    <w:t>L</w:t>
                  </w:r>
                  <w:r>
                    <w:rPr>
                      <w:rFonts w:hint="eastAsia"/>
                      <w:vertAlign w:val="subscript"/>
                    </w:rPr>
                    <w:t>eq</w:t>
                  </w:r>
                </w:p>
              </w:tc>
              <w:tc>
                <w:tcPr>
                  <w:tcW w:w="1045" w:type="pct"/>
                  <w:vAlign w:val="center"/>
                </w:tcPr>
                <w:p w14:paraId="2C9BBEED">
                  <w:pPr>
                    <w:pStyle w:val="42"/>
                  </w:pPr>
                  <w:r>
                    <w:t>每季度一次</w:t>
                  </w:r>
                </w:p>
              </w:tc>
              <w:tc>
                <w:tcPr>
                  <w:tcW w:w="2197" w:type="pct"/>
                  <w:vAlign w:val="center"/>
                </w:tcPr>
                <w:p w14:paraId="6DF86129">
                  <w:pPr>
                    <w:pStyle w:val="42"/>
                  </w:pPr>
                  <w:r>
                    <w:rPr>
                      <w:rFonts w:hint="eastAsia"/>
                    </w:rPr>
                    <w:t>《工业企业厂界环境噪声排放标准》（GB12348-2008）</w:t>
                  </w:r>
                  <w:r>
                    <w:rPr>
                      <w:rFonts w:hint="eastAsia"/>
                      <w:lang w:val="en-US" w:eastAsia="zh-CN"/>
                    </w:rPr>
                    <w:t>3</w:t>
                  </w:r>
                  <w:r>
                    <w:rPr>
                      <w:rFonts w:hint="eastAsia"/>
                    </w:rPr>
                    <w:t>类标准</w:t>
                  </w:r>
                </w:p>
              </w:tc>
            </w:tr>
          </w:tbl>
          <w:p w14:paraId="5F85E66E">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4.8、</w:t>
            </w:r>
            <w:r>
              <w:rPr>
                <w:rFonts w:hint="eastAsia"/>
              </w:rPr>
              <w:t>运营期固体废物保护措施</w:t>
            </w:r>
          </w:p>
          <w:p w14:paraId="475D9EBE">
            <w:pPr>
              <w:ind w:firstLine="480"/>
            </w:pPr>
            <w:r>
              <w:rPr>
                <w:spacing w:val="-4"/>
              </w:rPr>
              <w:t>本项目产生的固体废物主要为</w:t>
            </w:r>
            <w:r>
              <w:rPr>
                <w:rFonts w:hint="eastAsia"/>
                <w:spacing w:val="-4"/>
                <w:lang w:eastAsia="zh-CN"/>
              </w:rPr>
              <w:t>一般固废、危险废物和生活垃圾，一般固废为</w:t>
            </w:r>
            <w:r>
              <w:rPr>
                <w:spacing w:val="-4"/>
              </w:rPr>
              <w:t>废包装</w:t>
            </w:r>
            <w:r>
              <w:rPr>
                <w:rFonts w:hint="eastAsia"/>
                <w:spacing w:val="-4"/>
                <w:lang w:eastAsia="zh-CN"/>
              </w:rPr>
              <w:t>桶</w:t>
            </w:r>
            <w:r>
              <w:rPr>
                <w:spacing w:val="-4"/>
              </w:rPr>
              <w:t>、</w:t>
            </w:r>
            <w:r>
              <w:rPr>
                <w:rFonts w:hint="eastAsia"/>
                <w:spacing w:val="-4"/>
                <w:lang w:eastAsia="zh-CN"/>
              </w:rPr>
              <w:t>沼渣</w:t>
            </w:r>
            <w:r>
              <w:rPr>
                <w:spacing w:val="-4"/>
              </w:rPr>
              <w:t>、</w:t>
            </w:r>
            <w:r>
              <w:rPr>
                <w:rFonts w:hint="eastAsia"/>
                <w:spacing w:val="-4"/>
                <w:lang w:eastAsia="zh-CN"/>
              </w:rPr>
              <w:t>废弃树脂；危险废物为废弃防疫装备、</w:t>
            </w:r>
            <w:r>
              <w:rPr>
                <w:rFonts w:hint="eastAsia"/>
                <w:spacing w:val="-2"/>
                <w:lang w:eastAsia="zh-CN"/>
              </w:rPr>
              <w:t>废机油和废活性炭</w:t>
            </w:r>
            <w:r>
              <w:t>。</w:t>
            </w:r>
          </w:p>
          <w:p w14:paraId="6D9FC8BF">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4.8.1、</w:t>
            </w:r>
            <w:r>
              <w:rPr>
                <w:rFonts w:hint="eastAsia"/>
              </w:rPr>
              <w:t>生活垃圾</w:t>
            </w:r>
          </w:p>
          <w:p w14:paraId="25E52C8B">
            <w:pPr>
              <w:ind w:firstLine="480"/>
            </w:pPr>
            <w:r>
              <w:rPr>
                <w:rFonts w:hint="eastAsia"/>
              </w:rPr>
              <w:t>本项目</w:t>
            </w:r>
            <w:r>
              <w:rPr>
                <w:rFonts w:hint="eastAsia"/>
                <w:lang w:eastAsia="zh-CN"/>
              </w:rPr>
              <w:t>新增</w:t>
            </w:r>
            <w:r>
              <w:rPr>
                <w:rFonts w:hint="eastAsia"/>
              </w:rPr>
              <w:t>劳动定员</w:t>
            </w:r>
            <w:r>
              <w:rPr>
                <w:rFonts w:hint="eastAsia"/>
                <w:lang w:val="en-US" w:eastAsia="zh-CN"/>
              </w:rPr>
              <w:t>20</w:t>
            </w:r>
            <w:r>
              <w:rPr>
                <w:rFonts w:hint="eastAsia"/>
              </w:rPr>
              <w:t>人，均</w:t>
            </w:r>
            <w:r>
              <w:rPr>
                <w:rFonts w:hint="eastAsia"/>
                <w:lang w:eastAsia="zh-CN"/>
              </w:rPr>
              <w:t>不</w:t>
            </w:r>
            <w:r>
              <w:rPr>
                <w:rFonts w:hint="eastAsia"/>
              </w:rPr>
              <w:t>在厂区内</w:t>
            </w:r>
            <w:r>
              <w:rPr>
                <w:rFonts w:hint="eastAsia"/>
                <w:lang w:eastAsia="zh-CN"/>
              </w:rPr>
              <w:t>住</w:t>
            </w:r>
            <w:r>
              <w:rPr>
                <w:rFonts w:hint="eastAsia"/>
              </w:rPr>
              <w:t>宿，生活垃圾产生量按</w:t>
            </w:r>
            <w:r>
              <w:t>0.5</w:t>
            </w:r>
            <w:r>
              <w:rPr>
                <w:rFonts w:hint="eastAsia"/>
              </w:rPr>
              <w:t>kg</w:t>
            </w:r>
            <w:r>
              <w:t>/人·d</w:t>
            </w:r>
            <w:r>
              <w:rPr>
                <w:rFonts w:hint="eastAsia"/>
              </w:rPr>
              <w:t>计</w:t>
            </w:r>
            <w:r>
              <w:t>，</w:t>
            </w:r>
            <w:r>
              <w:rPr>
                <w:rFonts w:hint="eastAsia"/>
              </w:rPr>
              <w:t>则工作人员产生的生活垃圾量为</w:t>
            </w:r>
            <w:r>
              <w:rPr>
                <w:rFonts w:hint="eastAsia"/>
                <w:lang w:val="en-US" w:eastAsia="zh-CN"/>
              </w:rPr>
              <w:t>10</w:t>
            </w:r>
            <w:r>
              <w:rPr>
                <w:rFonts w:hint="eastAsia"/>
              </w:rPr>
              <w:t>kg/d（</w:t>
            </w:r>
            <w:r>
              <w:rPr>
                <w:rFonts w:hint="eastAsia"/>
                <w:lang w:val="en-US" w:eastAsia="zh-CN"/>
              </w:rPr>
              <w:t>3</w:t>
            </w:r>
            <w:r>
              <w:rPr>
                <w:rFonts w:hint="eastAsia"/>
              </w:rPr>
              <w:t>t/a），生活垃圾经厂</w:t>
            </w:r>
            <w:r>
              <w:t>内</w:t>
            </w:r>
            <w:r>
              <w:rPr>
                <w:rFonts w:hint="eastAsia"/>
              </w:rPr>
              <w:t>垃圾桶</w:t>
            </w:r>
            <w:r>
              <w:t>集中收集后由当地环卫部门</w:t>
            </w:r>
            <w:r>
              <w:rPr>
                <w:rFonts w:hint="eastAsia"/>
              </w:rPr>
              <w:t>统一</w:t>
            </w:r>
            <w:r>
              <w:t>清运处理。</w:t>
            </w:r>
          </w:p>
          <w:p w14:paraId="3817AAA5">
            <w:pPr>
              <w:pStyle w:val="5"/>
              <w:numPr>
                <w:ilvl w:val="2"/>
                <w:numId w:val="0"/>
              </w:numPr>
              <w:ind w:left="0" w:leftChars="0" w:firstLine="0" w:firstLineChars="0"/>
              <w:rPr>
                <w:rFonts w:hint="eastAsia"/>
                <w:spacing w:val="-4"/>
                <w:lang w:eastAsia="zh-CN"/>
              </w:rPr>
            </w:pPr>
            <w:r>
              <w:rPr>
                <w:rFonts w:hint="default" w:ascii="Times New Roman" w:hAnsi="Times New Roman" w:eastAsia="宋体" w:cs="Times New Roman"/>
                <w:b/>
                <w:i w:val="0"/>
                <w:color w:val="auto"/>
                <w:kern w:val="2"/>
                <w:sz w:val="24"/>
                <w:szCs w:val="24"/>
                <w:lang w:val="en-US" w:eastAsia="zh-CN" w:bidi="ar-SA"/>
              </w:rPr>
              <w:t>4.8.2、</w:t>
            </w:r>
            <w:r>
              <w:rPr>
                <w:rFonts w:hint="eastAsia"/>
                <w:spacing w:val="-4"/>
                <w:lang w:eastAsia="zh-CN"/>
              </w:rPr>
              <w:t>一般固废</w:t>
            </w:r>
          </w:p>
          <w:p w14:paraId="0BB00421">
            <w:pPr>
              <w:pStyle w:val="7"/>
              <w:numPr>
                <w:ilvl w:val="4"/>
                <w:numId w:val="0"/>
              </w:numPr>
              <w:bidi w:val="0"/>
              <w:ind w:left="0" w:leftChars="0" w:firstLine="480" w:firstLineChars="200"/>
            </w:pPr>
            <w:r>
              <w:rPr>
                <w:rFonts w:hint="default" w:ascii="Times New Roman" w:hAnsi="Times New Roman" w:eastAsia="宋体" w:cs="Times New Roman"/>
                <w:b/>
                <w:i w:val="0"/>
                <w:kern w:val="2"/>
                <w:sz w:val="24"/>
                <w:szCs w:val="24"/>
                <w:lang w:val="en-US" w:eastAsia="zh-CN" w:bidi="ar-SA"/>
              </w:rPr>
              <w:t>（1）</w:t>
            </w:r>
            <w:r>
              <w:rPr>
                <w:rFonts w:hint="eastAsia"/>
                <w:lang w:eastAsia="zh-CN"/>
              </w:rPr>
              <w:t>废包装桶</w:t>
            </w:r>
          </w:p>
          <w:p w14:paraId="7EFA5421">
            <w:pPr>
              <w:ind w:firstLine="480"/>
            </w:pPr>
            <w:r>
              <w:rPr>
                <w:spacing w:val="-2"/>
              </w:rPr>
              <w:t>项目原料及辅料包装、产品包装会产生一定量的废弃包装材料，主要为废包</w:t>
            </w:r>
            <w:r>
              <w:rPr>
                <w:spacing w:val="-4"/>
              </w:rPr>
              <w:t>装袋、包装桶等，产生量约</w:t>
            </w:r>
            <w:r>
              <w:rPr>
                <w:rFonts w:hint="eastAsia"/>
                <w:spacing w:val="-2"/>
                <w:highlight w:val="none"/>
                <w:lang w:val="en-US" w:eastAsia="zh-CN"/>
              </w:rPr>
              <w:t>0.01</w:t>
            </w:r>
            <w:r>
              <w:rPr>
                <w:rFonts w:ascii="Times New Roman" w:eastAsia="Times New Roman"/>
                <w:spacing w:val="-2"/>
              </w:rPr>
              <w:t>t/a</w:t>
            </w:r>
            <w:r>
              <w:rPr>
                <w:spacing w:val="-2"/>
              </w:rPr>
              <w:t>，集中收集后暂存于厂区北部的废品库内，交由供应商定期回收利用。</w:t>
            </w:r>
          </w:p>
          <w:p w14:paraId="647A6E2C">
            <w:pPr>
              <w:pStyle w:val="7"/>
              <w:numPr>
                <w:ilvl w:val="4"/>
                <w:numId w:val="0"/>
              </w:numPr>
              <w:bidi w:val="0"/>
              <w:ind w:left="0" w:leftChars="0" w:firstLine="480" w:firstLineChars="200"/>
            </w:pPr>
            <w:r>
              <w:rPr>
                <w:rFonts w:hint="default" w:ascii="Times New Roman" w:hAnsi="Times New Roman" w:eastAsia="宋体" w:cs="Times New Roman"/>
                <w:b/>
                <w:i w:val="0"/>
                <w:kern w:val="2"/>
                <w:sz w:val="24"/>
                <w:szCs w:val="24"/>
                <w:lang w:val="en-US" w:eastAsia="zh-CN" w:bidi="ar-SA"/>
              </w:rPr>
              <w:t>（2）</w:t>
            </w:r>
            <w:r>
              <w:rPr>
                <w:rFonts w:hint="eastAsia"/>
                <w:lang w:eastAsia="zh-CN"/>
              </w:rPr>
              <w:t>沼渣</w:t>
            </w:r>
          </w:p>
          <w:p w14:paraId="47E1754F">
            <w:pPr>
              <w:ind w:firstLine="480"/>
              <w:rPr>
                <w:rFonts w:hint="eastAsia"/>
                <w:spacing w:val="-2"/>
                <w:lang w:eastAsia="zh-CN"/>
              </w:rPr>
            </w:pPr>
            <w:r>
              <w:rPr>
                <w:rFonts w:hint="eastAsia"/>
                <w:spacing w:val="-2"/>
                <w:lang w:eastAsia="zh-CN"/>
              </w:rPr>
              <w:t>黑膜厌氧池产生的沼渣，</w:t>
            </w:r>
            <w:r>
              <w:rPr>
                <w:spacing w:val="-4"/>
              </w:rPr>
              <w:t>产生量约</w:t>
            </w:r>
            <w:r>
              <w:rPr>
                <w:rFonts w:hint="eastAsia"/>
                <w:spacing w:val="-2"/>
                <w:highlight w:val="none"/>
                <w:lang w:val="en-US" w:eastAsia="zh-CN"/>
              </w:rPr>
              <w:t>0.3</w:t>
            </w:r>
            <w:r>
              <w:rPr>
                <w:rFonts w:ascii="Times New Roman" w:eastAsia="Times New Roman"/>
                <w:spacing w:val="-2"/>
              </w:rPr>
              <w:t>t/a</w:t>
            </w:r>
            <w:r>
              <w:rPr>
                <w:spacing w:val="-2"/>
              </w:rPr>
              <w:t>，</w:t>
            </w:r>
            <w:r>
              <w:rPr>
                <w:rFonts w:hint="eastAsia"/>
                <w:spacing w:val="-2"/>
              </w:rPr>
              <w:t>通过排渣管道(一年一次)抽出后放化制罐和病死猪高温消毒后，一起制作做有机肥基料</w:t>
            </w:r>
            <w:r>
              <w:rPr>
                <w:rFonts w:hint="eastAsia"/>
                <w:spacing w:val="-2"/>
                <w:lang w:eastAsia="zh-CN"/>
              </w:rPr>
              <w:t>。</w:t>
            </w:r>
          </w:p>
          <w:p w14:paraId="183499BD">
            <w:pPr>
              <w:pStyle w:val="7"/>
              <w:numPr>
                <w:ilvl w:val="4"/>
                <w:numId w:val="0"/>
              </w:numPr>
              <w:bidi w:val="0"/>
              <w:ind w:left="0" w:leftChars="0" w:firstLine="480" w:firstLineChars="200"/>
              <w:rPr>
                <w:rFonts w:hint="eastAsia"/>
                <w:lang w:eastAsia="zh-CN"/>
              </w:rPr>
            </w:pPr>
            <w:r>
              <w:rPr>
                <w:rFonts w:hint="default" w:ascii="Times New Roman" w:hAnsi="Times New Roman" w:eastAsia="宋体" w:cs="Times New Roman"/>
                <w:b/>
                <w:i w:val="0"/>
                <w:kern w:val="2"/>
                <w:sz w:val="24"/>
                <w:szCs w:val="24"/>
                <w:lang w:val="en-US" w:eastAsia="zh-CN" w:bidi="ar-SA"/>
              </w:rPr>
              <w:t>（3）</w:t>
            </w:r>
            <w:r>
              <w:rPr>
                <w:rFonts w:hint="eastAsia"/>
                <w:lang w:eastAsia="zh-CN"/>
              </w:rPr>
              <w:t>废弃树脂</w:t>
            </w:r>
          </w:p>
          <w:p w14:paraId="30634434">
            <w:pPr>
              <w:rPr>
                <w:rFonts w:hint="eastAsia" w:eastAsia="宋体"/>
                <w:spacing w:val="-2"/>
                <w:lang w:eastAsia="zh-CN"/>
              </w:rPr>
            </w:pPr>
            <w:r>
              <w:rPr>
                <w:rFonts w:hint="eastAsia"/>
                <w:lang w:eastAsia="zh-CN"/>
              </w:rPr>
              <w:t>软水制备过程替换的废弃树脂（废过滤介质），</w:t>
            </w:r>
            <w:r>
              <w:rPr>
                <w:spacing w:val="-4"/>
              </w:rPr>
              <w:t>产生量约</w:t>
            </w:r>
            <w:r>
              <w:rPr>
                <w:rFonts w:hint="eastAsia"/>
                <w:spacing w:val="-2"/>
                <w:highlight w:val="none"/>
                <w:lang w:val="en-US" w:eastAsia="zh-CN"/>
              </w:rPr>
              <w:t>0.05</w:t>
            </w:r>
            <w:r>
              <w:rPr>
                <w:rFonts w:ascii="Times New Roman" w:eastAsia="Times New Roman"/>
                <w:spacing w:val="-2"/>
              </w:rPr>
              <w:t>t/a</w:t>
            </w:r>
            <w:r>
              <w:rPr>
                <w:rFonts w:hint="eastAsia" w:eastAsia="宋体"/>
                <w:spacing w:val="-2"/>
                <w:lang w:eastAsia="zh-CN"/>
              </w:rPr>
              <w:t>，由厂家回收利用。</w:t>
            </w:r>
          </w:p>
          <w:p w14:paraId="134D9127">
            <w:pPr>
              <w:pStyle w:val="7"/>
              <w:numPr>
                <w:ilvl w:val="4"/>
                <w:numId w:val="0"/>
              </w:numPr>
              <w:bidi w:val="0"/>
              <w:ind w:left="0" w:leftChars="0" w:firstLine="480" w:firstLineChars="200"/>
              <w:rPr>
                <w:rFonts w:hint="eastAsia" w:ascii="Times New Roman" w:hAnsi="Times New Roman" w:eastAsia="宋体" w:cs="Times New Roman"/>
                <w:b/>
                <w:i w:val="0"/>
                <w:kern w:val="2"/>
                <w:sz w:val="24"/>
                <w:szCs w:val="24"/>
                <w:lang w:val="en-US" w:eastAsia="zh-CN" w:bidi="ar-SA"/>
              </w:rPr>
            </w:pPr>
            <w:r>
              <w:rPr>
                <w:rFonts w:hint="eastAsia" w:ascii="Times New Roman" w:hAnsi="Times New Roman" w:eastAsia="宋体" w:cs="Times New Roman"/>
                <w:b/>
                <w:i w:val="0"/>
                <w:kern w:val="2"/>
                <w:sz w:val="24"/>
                <w:szCs w:val="24"/>
                <w:lang w:val="en-US" w:eastAsia="zh-CN" w:bidi="ar-SA"/>
              </w:rPr>
              <w:t>（4）除尘</w:t>
            </w:r>
            <w:r>
              <w:rPr>
                <w:rFonts w:hint="eastAsia" w:cs="Times New Roman"/>
                <w:b/>
                <w:i w:val="0"/>
                <w:kern w:val="2"/>
                <w:sz w:val="24"/>
                <w:szCs w:val="24"/>
                <w:lang w:val="en-US" w:eastAsia="zh-CN" w:bidi="ar-SA"/>
              </w:rPr>
              <w:t>灰</w:t>
            </w:r>
          </w:p>
          <w:p w14:paraId="07FE3F18">
            <w:pPr>
              <w:rPr>
                <w:rFonts w:hint="eastAsia" w:eastAsia="宋体"/>
                <w:lang w:val="en-US" w:eastAsia="zh-CN"/>
              </w:rPr>
            </w:pPr>
            <w:r>
              <w:rPr>
                <w:rFonts w:hint="eastAsia"/>
                <w:lang w:val="en-US" w:eastAsia="zh-CN"/>
              </w:rPr>
              <w:t>袋式除尘器处理后产生的除尘渣。</w:t>
            </w:r>
            <w:r>
              <w:rPr>
                <w:spacing w:val="-4"/>
              </w:rPr>
              <w:t>产生量约</w:t>
            </w:r>
            <w:r>
              <w:rPr>
                <w:rFonts w:hint="eastAsia"/>
                <w:spacing w:val="-2"/>
                <w:highlight w:val="none"/>
                <w:lang w:val="en-US" w:eastAsia="zh-CN"/>
              </w:rPr>
              <w:t>0.0057</w:t>
            </w:r>
            <w:r>
              <w:rPr>
                <w:rFonts w:ascii="Times New Roman" w:eastAsia="Times New Roman"/>
                <w:spacing w:val="-2"/>
              </w:rPr>
              <w:t>t/a</w:t>
            </w:r>
            <w:r>
              <w:rPr>
                <w:rFonts w:hint="eastAsia" w:eastAsia="宋体"/>
                <w:spacing w:val="-2"/>
                <w:lang w:eastAsia="zh-CN"/>
              </w:rPr>
              <w:t>，</w:t>
            </w:r>
            <w:r>
              <w:t>暂存于一般固废区，外售废品回收公司利用</w:t>
            </w:r>
            <w:r>
              <w:rPr>
                <w:rFonts w:hint="eastAsia"/>
                <w:lang w:eastAsia="zh-CN"/>
              </w:rPr>
              <w:t>。</w:t>
            </w:r>
          </w:p>
          <w:p w14:paraId="2F4F82D6">
            <w:pPr>
              <w:pStyle w:val="5"/>
              <w:numPr>
                <w:ilvl w:val="2"/>
                <w:numId w:val="0"/>
              </w:numPr>
              <w:bidi w:val="0"/>
              <w:ind w:left="0" w:leftChars="0" w:firstLine="0" w:firstLineChars="0"/>
              <w:rPr>
                <w:rFonts w:hint="eastAsia" w:cs="Times New Roman"/>
                <w:b/>
                <w:i w:val="0"/>
                <w:color w:val="auto"/>
                <w:kern w:val="2"/>
                <w:sz w:val="24"/>
                <w:szCs w:val="24"/>
                <w:lang w:val="en-US" w:eastAsia="zh-CN" w:bidi="ar-SA"/>
              </w:rPr>
            </w:pPr>
            <w:r>
              <w:rPr>
                <w:rFonts w:hint="eastAsia" w:cs="Times New Roman"/>
                <w:b/>
                <w:i w:val="0"/>
                <w:color w:val="auto"/>
                <w:kern w:val="2"/>
                <w:sz w:val="24"/>
                <w:szCs w:val="24"/>
                <w:lang w:val="en-US" w:eastAsia="zh-CN" w:bidi="ar-SA"/>
              </w:rPr>
              <w:t>4</w:t>
            </w:r>
            <w:r>
              <w:rPr>
                <w:rFonts w:hint="default" w:ascii="Times New Roman" w:hAnsi="Times New Roman" w:eastAsia="宋体" w:cs="Times New Roman"/>
                <w:b/>
                <w:i w:val="0"/>
                <w:color w:val="auto"/>
                <w:kern w:val="2"/>
                <w:sz w:val="24"/>
                <w:szCs w:val="24"/>
                <w:lang w:val="en-US" w:eastAsia="zh-CN" w:bidi="ar-SA"/>
              </w:rPr>
              <w:t>.</w:t>
            </w:r>
            <w:r>
              <w:rPr>
                <w:rFonts w:hint="eastAsia" w:cs="Times New Roman"/>
                <w:b/>
                <w:i w:val="0"/>
                <w:color w:val="auto"/>
                <w:kern w:val="2"/>
                <w:sz w:val="24"/>
                <w:szCs w:val="24"/>
                <w:lang w:val="en-US" w:eastAsia="zh-CN" w:bidi="ar-SA"/>
              </w:rPr>
              <w:t>8</w:t>
            </w:r>
            <w:r>
              <w:rPr>
                <w:rFonts w:hint="default" w:ascii="Times New Roman" w:hAnsi="Times New Roman" w:eastAsia="宋体" w:cs="Times New Roman"/>
                <w:b/>
                <w:i w:val="0"/>
                <w:color w:val="auto"/>
                <w:kern w:val="2"/>
                <w:sz w:val="24"/>
                <w:szCs w:val="24"/>
                <w:lang w:val="en-US" w:eastAsia="zh-CN" w:bidi="ar-SA"/>
              </w:rPr>
              <w:t>.</w:t>
            </w:r>
            <w:r>
              <w:rPr>
                <w:rFonts w:hint="eastAsia" w:cs="Times New Roman"/>
                <w:b/>
                <w:i w:val="0"/>
                <w:color w:val="auto"/>
                <w:kern w:val="2"/>
                <w:sz w:val="24"/>
                <w:szCs w:val="24"/>
                <w:lang w:val="en-US" w:eastAsia="zh-CN" w:bidi="ar-SA"/>
              </w:rPr>
              <w:t>3</w:t>
            </w:r>
            <w:r>
              <w:rPr>
                <w:rFonts w:hint="default" w:ascii="Times New Roman" w:hAnsi="Times New Roman" w:eastAsia="宋体" w:cs="Times New Roman"/>
                <w:b/>
                <w:i w:val="0"/>
                <w:color w:val="auto"/>
                <w:kern w:val="2"/>
                <w:sz w:val="24"/>
                <w:szCs w:val="24"/>
                <w:lang w:val="en-US" w:eastAsia="zh-CN" w:bidi="ar-SA"/>
              </w:rPr>
              <w:t>、</w:t>
            </w:r>
            <w:r>
              <w:rPr>
                <w:rFonts w:hint="eastAsia" w:cs="Times New Roman"/>
                <w:b/>
                <w:i w:val="0"/>
                <w:color w:val="auto"/>
                <w:kern w:val="2"/>
                <w:sz w:val="24"/>
                <w:szCs w:val="24"/>
                <w:lang w:val="en-US" w:eastAsia="zh-CN" w:bidi="ar-SA"/>
              </w:rPr>
              <w:t>危险废物</w:t>
            </w:r>
          </w:p>
          <w:p w14:paraId="2A35DB28">
            <w:pPr>
              <w:pStyle w:val="7"/>
              <w:numPr>
                <w:ilvl w:val="4"/>
                <w:numId w:val="0"/>
              </w:numPr>
              <w:bidi w:val="0"/>
              <w:ind w:left="0" w:leftChars="0" w:firstLine="480" w:firstLineChars="200"/>
              <w:rPr>
                <w:rFonts w:hint="eastAsia"/>
                <w:lang w:eastAsia="zh-CN"/>
              </w:rPr>
            </w:pPr>
            <w:r>
              <w:rPr>
                <w:rFonts w:hint="default" w:ascii="Times New Roman" w:hAnsi="Times New Roman" w:eastAsia="宋体" w:cs="Times New Roman"/>
                <w:b/>
                <w:i w:val="0"/>
                <w:kern w:val="2"/>
                <w:sz w:val="24"/>
                <w:szCs w:val="24"/>
                <w:lang w:val="en-US" w:eastAsia="zh-CN" w:bidi="ar-SA"/>
              </w:rPr>
              <w:t>（1）</w:t>
            </w:r>
            <w:r>
              <w:rPr>
                <w:rFonts w:hint="eastAsia"/>
                <w:spacing w:val="-4"/>
                <w:lang w:eastAsia="zh-CN"/>
              </w:rPr>
              <w:t>废弃防疫装备</w:t>
            </w:r>
          </w:p>
          <w:p w14:paraId="5DECEA81">
            <w:pPr>
              <w:rPr>
                <w:rFonts w:hint="eastAsia" w:ascii="Times New Roman" w:hAnsi="Times New Roman" w:cs="Times New Roman"/>
                <w:sz w:val="24"/>
                <w:lang w:val="en-US" w:eastAsia="zh-CN" w:bidi="ar-SA"/>
              </w:rPr>
            </w:pPr>
            <w:r>
              <w:rPr>
                <w:rFonts w:hint="eastAsia" w:ascii="Times New Roman" w:hAnsi="Times New Roman" w:cs="Times New Roman"/>
                <w:sz w:val="24"/>
                <w:lang w:val="en-US" w:bidi="ar-SA"/>
              </w:rPr>
              <w:t>工作人员在搬运动物尸体、日常消毒时，需着防护服、带手套等防疫设备，上述防疫设备可能带有细菌和病毒，根据类比同类企业，预计废弃的防疫装备固废产生量约</w:t>
            </w:r>
            <w:r>
              <w:rPr>
                <w:rFonts w:hint="eastAsia" w:ascii="Times New Roman" w:hAnsi="Times New Roman" w:cs="Times New Roman"/>
                <w:sz w:val="24"/>
                <w:lang w:val="en-US" w:eastAsia="zh-CN" w:bidi="ar-SA"/>
              </w:rPr>
              <w:t>1</w:t>
            </w:r>
            <w:r>
              <w:rPr>
                <w:rFonts w:hint="eastAsia" w:ascii="Times New Roman" w:hAnsi="Times New Roman" w:cs="Times New Roman"/>
                <w:sz w:val="24"/>
                <w:lang w:val="en-US" w:bidi="ar-SA"/>
              </w:rPr>
              <w:t>.5t/a，交由有危险废物处理资质单位处置</w:t>
            </w:r>
            <w:r>
              <w:rPr>
                <w:rFonts w:hint="eastAsia" w:ascii="Times New Roman" w:hAnsi="Times New Roman" w:cs="Times New Roman"/>
                <w:sz w:val="24"/>
                <w:lang w:val="en-US" w:eastAsia="zh-CN" w:bidi="ar-SA"/>
              </w:rPr>
              <w:t>。</w:t>
            </w:r>
          </w:p>
          <w:p w14:paraId="41464A0F">
            <w:pPr>
              <w:pStyle w:val="7"/>
              <w:numPr>
                <w:ilvl w:val="4"/>
                <w:numId w:val="0"/>
              </w:numPr>
              <w:bidi w:val="0"/>
              <w:ind w:left="0" w:leftChars="0" w:firstLine="480" w:firstLineChars="200"/>
              <w:rPr>
                <w:rFonts w:hint="eastAsia"/>
                <w:lang w:val="en-US" w:eastAsia="zh-CN"/>
              </w:rPr>
            </w:pPr>
            <w:r>
              <w:rPr>
                <w:rFonts w:hint="default" w:ascii="Times New Roman" w:hAnsi="Times New Roman" w:eastAsia="宋体" w:cs="Times New Roman"/>
                <w:b/>
                <w:i w:val="0"/>
                <w:kern w:val="2"/>
                <w:sz w:val="24"/>
                <w:szCs w:val="24"/>
                <w:lang w:val="en-US" w:eastAsia="zh-CN" w:bidi="ar-SA"/>
              </w:rPr>
              <w:t>（2）</w:t>
            </w:r>
            <w:r>
              <w:rPr>
                <w:rFonts w:hint="eastAsia"/>
                <w:spacing w:val="-2"/>
                <w:lang w:eastAsia="zh-CN"/>
              </w:rPr>
              <w:t>废机油</w:t>
            </w:r>
          </w:p>
          <w:p w14:paraId="449092B7">
            <w:pPr>
              <w:rPr>
                <w:rFonts w:hint="eastAsia" w:ascii="Times New Roman" w:hAnsi="Times New Roman" w:cs="Times New Roman"/>
                <w:sz w:val="24"/>
                <w:lang w:val="en-US" w:eastAsia="zh-CN" w:bidi="ar-SA"/>
              </w:rPr>
            </w:pPr>
            <w:r>
              <w:rPr>
                <w:rFonts w:hint="eastAsia"/>
                <w:spacing w:val="-2"/>
                <w:lang w:eastAsia="zh-CN"/>
              </w:rPr>
              <w:t>设备维护、维修产生的废机油，</w:t>
            </w:r>
            <w:r>
              <w:rPr>
                <w:spacing w:val="-4"/>
              </w:rPr>
              <w:t>产生量约</w:t>
            </w:r>
            <w:r>
              <w:rPr>
                <w:rFonts w:hint="eastAsia"/>
                <w:spacing w:val="-2"/>
                <w:highlight w:val="none"/>
                <w:lang w:val="en-US" w:eastAsia="zh-CN"/>
              </w:rPr>
              <w:t>0.1</w:t>
            </w:r>
            <w:r>
              <w:rPr>
                <w:rFonts w:ascii="Times New Roman" w:eastAsia="Times New Roman"/>
                <w:spacing w:val="-2"/>
              </w:rPr>
              <w:t>t/a</w:t>
            </w:r>
            <w:r>
              <w:rPr>
                <w:spacing w:val="-2"/>
              </w:rPr>
              <w:t>，</w:t>
            </w:r>
            <w:r>
              <w:rPr>
                <w:rFonts w:hint="eastAsia" w:ascii="Times New Roman" w:hAnsi="Times New Roman" w:cs="Times New Roman"/>
                <w:sz w:val="24"/>
                <w:lang w:val="en-US" w:bidi="ar-SA"/>
              </w:rPr>
              <w:t>交由有危险废物处理资质单位处置</w:t>
            </w:r>
            <w:r>
              <w:rPr>
                <w:rFonts w:hint="eastAsia" w:ascii="Times New Roman" w:hAnsi="Times New Roman" w:cs="Times New Roman"/>
                <w:sz w:val="24"/>
                <w:lang w:val="en-US" w:eastAsia="zh-CN" w:bidi="ar-SA"/>
              </w:rPr>
              <w:t>。</w:t>
            </w:r>
          </w:p>
          <w:p w14:paraId="0D738DD9">
            <w:pPr>
              <w:pStyle w:val="7"/>
              <w:numPr>
                <w:ilvl w:val="4"/>
                <w:numId w:val="0"/>
              </w:numPr>
              <w:bidi w:val="0"/>
              <w:ind w:left="0" w:leftChars="0" w:firstLine="480" w:firstLineChars="200"/>
              <w:rPr>
                <w:rFonts w:hint="eastAsia"/>
                <w:lang w:val="en-US" w:eastAsia="zh-CN"/>
              </w:rPr>
            </w:pPr>
            <w:r>
              <w:rPr>
                <w:rFonts w:hint="default" w:ascii="Times New Roman" w:hAnsi="Times New Roman" w:eastAsia="宋体" w:cs="Times New Roman"/>
                <w:b/>
                <w:i w:val="0"/>
                <w:kern w:val="2"/>
                <w:sz w:val="24"/>
                <w:szCs w:val="24"/>
                <w:lang w:val="en-US" w:eastAsia="zh-CN" w:bidi="ar-SA"/>
              </w:rPr>
              <w:t>（3）</w:t>
            </w:r>
            <w:r>
              <w:rPr>
                <w:rFonts w:hint="eastAsia"/>
                <w:spacing w:val="-2"/>
                <w:lang w:eastAsia="zh-CN"/>
              </w:rPr>
              <w:t>废活性炭</w:t>
            </w:r>
          </w:p>
          <w:p w14:paraId="5FDC0195">
            <w:pPr>
              <w:pStyle w:val="14"/>
              <w:ind w:firstLine="420"/>
              <w:rPr>
                <w:rFonts w:hint="eastAsia" w:eastAsia="宋体"/>
                <w:spacing w:val="-2"/>
                <w:lang w:val="en-US" w:eastAsia="zh-CN"/>
              </w:rPr>
            </w:pPr>
            <w:r>
              <w:rPr>
                <w:rFonts w:eastAsia="宋体"/>
                <w:spacing w:val="-2"/>
              </w:rPr>
              <w:t>本项目</w:t>
            </w:r>
            <w:r>
              <w:rPr>
                <w:rFonts w:hint="eastAsia" w:eastAsia="宋体"/>
                <w:spacing w:val="-2"/>
                <w:lang w:eastAsia="zh-CN"/>
              </w:rPr>
              <w:t>新增</w:t>
            </w:r>
            <w:r>
              <w:rPr>
                <w:rFonts w:eastAsia="宋体"/>
                <w:spacing w:val="-2"/>
              </w:rPr>
              <w:t>废气处理系统均采用“</w:t>
            </w:r>
            <w:r>
              <w:rPr>
                <w:rFonts w:hint="eastAsia" w:eastAsia="宋体"/>
                <w:spacing w:val="-2"/>
              </w:rPr>
              <w:t>除臭塔+</w:t>
            </w:r>
            <w:r>
              <w:rPr>
                <w:rFonts w:hint="eastAsia"/>
                <w:lang w:eastAsia="zh-CN"/>
              </w:rPr>
              <w:t>碱喷淋</w:t>
            </w:r>
            <w:r>
              <w:rPr>
                <w:rFonts w:hint="eastAsia" w:eastAsia="宋体"/>
                <w:spacing w:val="-2"/>
              </w:rPr>
              <w:t>塔+</w:t>
            </w:r>
            <w:r>
              <w:rPr>
                <w:rFonts w:hint="eastAsia"/>
                <w:lang w:eastAsia="zh-CN"/>
              </w:rPr>
              <w:t>二级活性炭吸附</w:t>
            </w:r>
            <w:r>
              <w:rPr>
                <w:rFonts w:eastAsia="宋体"/>
                <w:spacing w:val="-2"/>
              </w:rPr>
              <w:t>”工艺</w:t>
            </w:r>
            <w:r>
              <w:rPr>
                <w:rFonts w:hint="eastAsia"/>
                <w:spacing w:val="-2"/>
                <w:lang w:eastAsia="zh-CN"/>
              </w:rPr>
              <w:t>，本项目采用一套“二级活性炭吸附”处理非甲烷总烃废气，普通活性炭吸附箱充填量为0.25t/套,参照《广东省工业源挥发性有机物减排量核算方法(2023年修订版)》，吸附比例建议取值15%，</w:t>
            </w:r>
            <w:r>
              <w:rPr>
                <w:rFonts w:hint="eastAsia"/>
                <w:spacing w:val="-2"/>
              </w:rPr>
              <w:t>本次评价按照1吨活性炭吸附0.15吨非甲烷总烃计，经计算，项目吸附非甲烷总烃</w:t>
            </w:r>
            <w:r>
              <w:rPr>
                <w:rFonts w:hint="eastAsia"/>
                <w:spacing w:val="-2"/>
                <w:lang w:val="en-US" w:eastAsia="zh-CN"/>
              </w:rPr>
              <w:t>0.2187</w:t>
            </w:r>
            <w:r>
              <w:rPr>
                <w:rFonts w:hint="eastAsia"/>
                <w:spacing w:val="-2"/>
              </w:rPr>
              <w:t>t</w:t>
            </w:r>
            <w:r>
              <w:rPr>
                <w:spacing w:val="-2"/>
              </w:rPr>
              <w:t>/a</w:t>
            </w:r>
            <w:r>
              <w:rPr>
                <w:rFonts w:hint="eastAsia"/>
                <w:spacing w:val="-2"/>
              </w:rPr>
              <w:t>，则活性炭需要量约为</w:t>
            </w:r>
            <w:r>
              <w:rPr>
                <w:rFonts w:hint="eastAsia"/>
                <w:spacing w:val="-2"/>
                <w:lang w:val="en-US" w:eastAsia="zh-CN"/>
              </w:rPr>
              <w:t>1.458</w:t>
            </w:r>
            <w:r>
              <w:rPr>
                <w:rFonts w:hint="eastAsia"/>
                <w:spacing w:val="-2"/>
              </w:rPr>
              <w:t>t/a，为保证吸附效率，本评价要求项目更换活性炭周期为每</w:t>
            </w:r>
            <w:r>
              <w:rPr>
                <w:rFonts w:hint="eastAsia"/>
                <w:spacing w:val="-2"/>
                <w:lang w:val="en-US" w:eastAsia="zh-CN"/>
              </w:rPr>
              <w:t>20天</w:t>
            </w:r>
            <w:r>
              <w:rPr>
                <w:rFonts w:hint="eastAsia"/>
                <w:spacing w:val="-2"/>
              </w:rPr>
              <w:t>1次，即</w:t>
            </w:r>
            <w:r>
              <w:rPr>
                <w:rFonts w:hint="eastAsia"/>
                <w:spacing w:val="-2"/>
                <w:lang w:val="en-US" w:eastAsia="zh-CN"/>
              </w:rPr>
              <w:t>18</w:t>
            </w:r>
            <w:r>
              <w:rPr>
                <w:rFonts w:hint="eastAsia"/>
                <w:spacing w:val="-2"/>
              </w:rPr>
              <w:t>次/a，则活性炭用量为</w:t>
            </w:r>
            <w:r>
              <w:rPr>
                <w:rFonts w:hint="eastAsia"/>
                <w:spacing w:val="-2"/>
                <w:lang w:val="en-US" w:eastAsia="zh-CN"/>
              </w:rPr>
              <w:t>4.5</w:t>
            </w:r>
            <w:r>
              <w:rPr>
                <w:rFonts w:hint="eastAsia"/>
                <w:spacing w:val="-2"/>
              </w:rPr>
              <w:t>t/a，产生的废活性炭约</w:t>
            </w:r>
            <w:r>
              <w:rPr>
                <w:rFonts w:hint="eastAsia"/>
                <w:spacing w:val="-2"/>
                <w:lang w:val="en-US" w:eastAsia="zh-CN"/>
              </w:rPr>
              <w:t>4.7187</w:t>
            </w:r>
            <w:r>
              <w:rPr>
                <w:rFonts w:hint="eastAsia"/>
                <w:spacing w:val="-2"/>
              </w:rPr>
              <w:t>t</w:t>
            </w:r>
            <w:r>
              <w:rPr>
                <w:spacing w:val="-2"/>
              </w:rPr>
              <w:t>/a</w:t>
            </w:r>
            <w:r>
              <w:rPr>
                <w:rFonts w:hint="eastAsia"/>
                <w:spacing w:val="-2"/>
              </w:rPr>
              <w:t>。（废活性炭量=吸附的非甲烷总烃+活性炭用量）</w:t>
            </w:r>
            <w:r>
              <w:rPr>
                <w:rFonts w:hint="eastAsia"/>
                <w:spacing w:val="-2"/>
                <w:lang w:eastAsia="zh-CN"/>
              </w:rPr>
              <w:t>可满足吸附要求。</w:t>
            </w:r>
            <w:r>
              <w:rPr>
                <w:rFonts w:hint="eastAsia" w:ascii="Times New Roman" w:hAnsi="Times New Roman" w:cs="Times New Roman"/>
                <w:sz w:val="24"/>
                <w:lang w:val="en-US" w:bidi="ar-SA"/>
              </w:rPr>
              <w:t>交由有危险废物处理资质单位处置</w:t>
            </w:r>
            <w:r>
              <w:rPr>
                <w:rFonts w:hint="eastAsia" w:cs="Times New Roman"/>
                <w:sz w:val="24"/>
                <w:lang w:val="en-US" w:eastAsia="zh-CN" w:bidi="ar-SA"/>
              </w:rPr>
              <w:t>。</w:t>
            </w:r>
          </w:p>
          <w:p w14:paraId="1423C35A">
            <w:pPr>
              <w:pStyle w:val="8"/>
              <w:numPr>
                <w:ilvl w:val="5"/>
                <w:numId w:val="0"/>
              </w:numPr>
              <w:bidi w:val="0"/>
              <w:ind w:left="0" w:leftChars="0" w:firstLine="480" w:firstLineChars="200"/>
              <w:rPr>
                <w:rFonts w:hint="eastAsia"/>
              </w:rPr>
            </w:pPr>
            <w:r>
              <w:rPr>
                <w:rFonts w:hint="default" w:ascii="Times New Roman" w:hAnsi="Times New Roman" w:eastAsia="宋体" w:cs="Times New Roman"/>
                <w:b/>
                <w:i w:val="0"/>
                <w:color w:val="auto"/>
                <w:kern w:val="2"/>
                <w:sz w:val="24"/>
                <w:szCs w:val="24"/>
                <w:shd w:val="clear" w:fill="FFFFFF"/>
                <w:lang w:val="en-US" w:eastAsia="zh-CN" w:bidi="ar-SA"/>
              </w:rPr>
              <w:t>表</w:t>
            </w:r>
            <w:r>
              <w:rPr>
                <w:rFonts w:hint="eastAsia" w:cs="Times New Roman"/>
                <w:b/>
                <w:i w:val="0"/>
                <w:color w:val="auto"/>
                <w:kern w:val="2"/>
                <w:sz w:val="24"/>
                <w:szCs w:val="24"/>
                <w:shd w:val="clear" w:fill="FFFFFF"/>
                <w:lang w:val="en-US" w:eastAsia="zh-CN" w:bidi="ar-SA"/>
              </w:rPr>
              <w:t>4</w:t>
            </w:r>
            <w:r>
              <w:rPr>
                <w:rFonts w:hint="default" w:ascii="Times New Roman" w:hAnsi="Times New Roman" w:eastAsia="宋体" w:cs="Times New Roman"/>
                <w:b/>
                <w:i w:val="0"/>
                <w:color w:val="auto"/>
                <w:kern w:val="2"/>
                <w:sz w:val="24"/>
                <w:szCs w:val="24"/>
                <w:shd w:val="clear" w:fill="FFFFFF"/>
                <w:lang w:val="en-US" w:eastAsia="zh-CN" w:bidi="ar-SA"/>
              </w:rPr>
              <w:t>-</w:t>
            </w:r>
            <w:r>
              <w:rPr>
                <w:rFonts w:hint="eastAsia" w:cs="Times New Roman"/>
                <w:b/>
                <w:i w:val="0"/>
                <w:color w:val="auto"/>
                <w:kern w:val="2"/>
                <w:sz w:val="24"/>
                <w:szCs w:val="24"/>
                <w:shd w:val="clear" w:fill="FFFFFF"/>
                <w:lang w:val="en-US" w:eastAsia="zh-CN" w:bidi="ar-SA"/>
              </w:rPr>
              <w:t>24</w:t>
            </w:r>
            <w:r>
              <w:rPr>
                <w:rFonts w:hint="eastAsia"/>
              </w:rPr>
              <w:t>固体废物产生及排放情况一览表</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4"/>
              <w:gridCol w:w="2295"/>
              <w:gridCol w:w="1039"/>
              <w:gridCol w:w="1190"/>
              <w:gridCol w:w="3222"/>
            </w:tblGrid>
            <w:tr w14:paraId="00B22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0" w:type="auto"/>
                  <w:vAlign w:val="center"/>
                </w:tcPr>
                <w:p w14:paraId="58C24156">
                  <w:pPr>
                    <w:pStyle w:val="42"/>
                    <w:bidi w:val="0"/>
                    <w:jc w:val="center"/>
                  </w:pPr>
                  <w:r>
                    <w:t>固废名称</w:t>
                  </w:r>
                </w:p>
              </w:tc>
              <w:tc>
                <w:tcPr>
                  <w:tcW w:w="0" w:type="auto"/>
                  <w:vAlign w:val="center"/>
                </w:tcPr>
                <w:p w14:paraId="169B133C">
                  <w:pPr>
                    <w:pStyle w:val="42"/>
                    <w:bidi w:val="0"/>
                    <w:jc w:val="center"/>
                  </w:pPr>
                  <w:r>
                    <w:t>属性</w:t>
                  </w:r>
                </w:p>
              </w:tc>
              <w:tc>
                <w:tcPr>
                  <w:tcW w:w="0" w:type="auto"/>
                  <w:vAlign w:val="center"/>
                </w:tcPr>
                <w:p w14:paraId="2F86E228">
                  <w:pPr>
                    <w:pStyle w:val="42"/>
                    <w:bidi w:val="0"/>
                    <w:jc w:val="center"/>
                  </w:pPr>
                  <w:r>
                    <w:t>产生量（t/a）</w:t>
                  </w:r>
                </w:p>
              </w:tc>
              <w:tc>
                <w:tcPr>
                  <w:tcW w:w="0" w:type="auto"/>
                  <w:vAlign w:val="center"/>
                </w:tcPr>
                <w:p w14:paraId="1D10C14A">
                  <w:pPr>
                    <w:pStyle w:val="42"/>
                    <w:bidi w:val="0"/>
                    <w:jc w:val="center"/>
                    <w:rPr>
                      <w:rFonts w:hint="default" w:eastAsia="宋体"/>
                      <w:lang w:val="en-US" w:eastAsia="zh-CN"/>
                    </w:rPr>
                  </w:pPr>
                  <w:r>
                    <w:rPr>
                      <w:rFonts w:hint="eastAsia"/>
                      <w:lang w:val="en-US" w:eastAsia="zh-CN"/>
                    </w:rPr>
                    <w:t>最大暂存量（t）</w:t>
                  </w:r>
                </w:p>
              </w:tc>
              <w:tc>
                <w:tcPr>
                  <w:tcW w:w="0" w:type="auto"/>
                  <w:vAlign w:val="center"/>
                </w:tcPr>
                <w:p w14:paraId="59C54145">
                  <w:pPr>
                    <w:pStyle w:val="42"/>
                    <w:bidi w:val="0"/>
                    <w:jc w:val="center"/>
                  </w:pPr>
                  <w:r>
                    <w:t>处理方式</w:t>
                  </w:r>
                </w:p>
              </w:tc>
            </w:tr>
            <w:tr w14:paraId="43F3B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0" w:type="auto"/>
                  <w:vAlign w:val="center"/>
                </w:tcPr>
                <w:p w14:paraId="3B76ACE1">
                  <w:pPr>
                    <w:pStyle w:val="42"/>
                    <w:bidi w:val="0"/>
                    <w:jc w:val="center"/>
                    <w:rPr>
                      <w:rFonts w:hint="eastAsia" w:eastAsia="宋体"/>
                      <w:lang w:eastAsia="zh-CN"/>
                    </w:rPr>
                  </w:pPr>
                  <w:r>
                    <w:t>废包装</w:t>
                  </w:r>
                  <w:r>
                    <w:rPr>
                      <w:rFonts w:hint="eastAsia"/>
                      <w:lang w:eastAsia="zh-CN"/>
                    </w:rPr>
                    <w:t>桶</w:t>
                  </w:r>
                </w:p>
              </w:tc>
              <w:tc>
                <w:tcPr>
                  <w:tcW w:w="0" w:type="auto"/>
                  <w:vAlign w:val="center"/>
                </w:tcPr>
                <w:p w14:paraId="77D0CADA">
                  <w:pPr>
                    <w:pStyle w:val="42"/>
                    <w:bidi w:val="0"/>
                    <w:jc w:val="center"/>
                  </w:pPr>
                  <w:r>
                    <w:t>一般工业固废</w:t>
                  </w:r>
                </w:p>
              </w:tc>
              <w:tc>
                <w:tcPr>
                  <w:tcW w:w="0" w:type="auto"/>
                  <w:vAlign w:val="center"/>
                </w:tcPr>
                <w:p w14:paraId="7E74F4EF">
                  <w:pPr>
                    <w:pStyle w:val="42"/>
                    <w:bidi w:val="0"/>
                    <w:jc w:val="center"/>
                    <w:rPr>
                      <w:rFonts w:hint="default" w:eastAsia="宋体"/>
                      <w:lang w:val="en-US" w:eastAsia="zh-CN"/>
                    </w:rPr>
                  </w:pPr>
                  <w:r>
                    <w:rPr>
                      <w:rFonts w:hint="eastAsia"/>
                      <w:lang w:val="en-US" w:eastAsia="zh-CN"/>
                    </w:rPr>
                    <w:t>0.01</w:t>
                  </w:r>
                </w:p>
              </w:tc>
              <w:tc>
                <w:tcPr>
                  <w:tcW w:w="0" w:type="auto"/>
                  <w:vAlign w:val="center"/>
                </w:tcPr>
                <w:p w14:paraId="047154B3">
                  <w:pPr>
                    <w:pStyle w:val="42"/>
                    <w:bidi w:val="0"/>
                    <w:jc w:val="center"/>
                    <w:rPr>
                      <w:rFonts w:hint="default"/>
                      <w:lang w:val="en-US" w:eastAsia="zh-CN"/>
                    </w:rPr>
                  </w:pPr>
                  <w:r>
                    <w:rPr>
                      <w:rFonts w:hint="eastAsia"/>
                      <w:lang w:val="en-US" w:eastAsia="zh-CN"/>
                    </w:rPr>
                    <w:t>0.005</w:t>
                  </w:r>
                </w:p>
              </w:tc>
              <w:tc>
                <w:tcPr>
                  <w:tcW w:w="0" w:type="auto"/>
                  <w:vAlign w:val="center"/>
                </w:tcPr>
                <w:p w14:paraId="367BFF11">
                  <w:pPr>
                    <w:pStyle w:val="42"/>
                    <w:bidi w:val="0"/>
                    <w:jc w:val="center"/>
                  </w:pPr>
                  <w:r>
                    <w:t>暂存于一般固废区，外售废品回收公司利用</w:t>
                  </w:r>
                </w:p>
              </w:tc>
            </w:tr>
            <w:tr w14:paraId="5BC6F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0" w:type="auto"/>
                  <w:vAlign w:val="center"/>
                </w:tcPr>
                <w:p w14:paraId="545B2471">
                  <w:pPr>
                    <w:pStyle w:val="42"/>
                    <w:bidi w:val="0"/>
                    <w:jc w:val="center"/>
                    <w:rPr>
                      <w:rFonts w:hint="eastAsia" w:eastAsia="宋体"/>
                      <w:lang w:eastAsia="zh-CN"/>
                    </w:rPr>
                  </w:pPr>
                  <w:r>
                    <w:rPr>
                      <w:rFonts w:hint="eastAsia"/>
                      <w:lang w:eastAsia="zh-CN"/>
                    </w:rPr>
                    <w:t>沼渣</w:t>
                  </w:r>
                </w:p>
              </w:tc>
              <w:tc>
                <w:tcPr>
                  <w:tcW w:w="0" w:type="auto"/>
                  <w:vAlign w:val="center"/>
                </w:tcPr>
                <w:p w14:paraId="5440002A">
                  <w:pPr>
                    <w:pStyle w:val="42"/>
                    <w:bidi w:val="0"/>
                    <w:jc w:val="center"/>
                  </w:pPr>
                  <w:r>
                    <w:t>一般工业固废</w:t>
                  </w:r>
                </w:p>
              </w:tc>
              <w:tc>
                <w:tcPr>
                  <w:tcW w:w="0" w:type="auto"/>
                  <w:vAlign w:val="center"/>
                </w:tcPr>
                <w:p w14:paraId="10063496">
                  <w:pPr>
                    <w:pStyle w:val="42"/>
                    <w:bidi w:val="0"/>
                    <w:jc w:val="center"/>
                    <w:rPr>
                      <w:rFonts w:hint="default" w:eastAsia="宋体"/>
                      <w:lang w:val="en-US" w:eastAsia="zh-CN"/>
                    </w:rPr>
                  </w:pPr>
                  <w:r>
                    <w:rPr>
                      <w:rFonts w:hint="eastAsia"/>
                      <w:lang w:val="en-US" w:eastAsia="zh-CN"/>
                    </w:rPr>
                    <w:t>0.3</w:t>
                  </w:r>
                </w:p>
              </w:tc>
              <w:tc>
                <w:tcPr>
                  <w:tcW w:w="0" w:type="auto"/>
                  <w:vAlign w:val="center"/>
                </w:tcPr>
                <w:p w14:paraId="2959F8E8">
                  <w:pPr>
                    <w:pStyle w:val="42"/>
                    <w:bidi w:val="0"/>
                    <w:jc w:val="center"/>
                    <w:rPr>
                      <w:rFonts w:hint="default"/>
                      <w:lang w:val="en-US" w:eastAsia="zh-CN"/>
                    </w:rPr>
                  </w:pPr>
                  <w:r>
                    <w:rPr>
                      <w:rFonts w:hint="eastAsia"/>
                      <w:lang w:val="en-US" w:eastAsia="zh-CN"/>
                    </w:rPr>
                    <w:t>0.05</w:t>
                  </w:r>
                </w:p>
              </w:tc>
              <w:tc>
                <w:tcPr>
                  <w:tcW w:w="0" w:type="auto"/>
                  <w:vAlign w:val="center"/>
                </w:tcPr>
                <w:p w14:paraId="73C75945">
                  <w:pPr>
                    <w:pStyle w:val="42"/>
                    <w:bidi w:val="0"/>
                    <w:jc w:val="center"/>
                  </w:pPr>
                  <w:r>
                    <w:rPr>
                      <w:rFonts w:hint="eastAsia"/>
                      <w:lang w:eastAsia="zh-CN"/>
                    </w:rPr>
                    <w:t>沼渣和病死猪一起制造有机肥基料出售</w:t>
                  </w:r>
                </w:p>
              </w:tc>
            </w:tr>
            <w:tr w14:paraId="3F7F1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0" w:type="auto"/>
                  <w:vAlign w:val="center"/>
                </w:tcPr>
                <w:p w14:paraId="5DB32973">
                  <w:pPr>
                    <w:pStyle w:val="42"/>
                    <w:bidi w:val="0"/>
                    <w:jc w:val="center"/>
                    <w:rPr>
                      <w:rFonts w:hint="eastAsia" w:eastAsia="宋体"/>
                      <w:lang w:eastAsia="zh-CN"/>
                    </w:rPr>
                  </w:pPr>
                  <w:r>
                    <w:rPr>
                      <w:rFonts w:hint="eastAsia"/>
                      <w:lang w:eastAsia="zh-CN"/>
                    </w:rPr>
                    <w:t>废弃树脂</w:t>
                  </w:r>
                </w:p>
              </w:tc>
              <w:tc>
                <w:tcPr>
                  <w:tcW w:w="0" w:type="auto"/>
                  <w:vAlign w:val="center"/>
                </w:tcPr>
                <w:p w14:paraId="7D535F47">
                  <w:pPr>
                    <w:pStyle w:val="42"/>
                    <w:bidi w:val="0"/>
                    <w:jc w:val="center"/>
                  </w:pPr>
                  <w:r>
                    <w:t>一般工业固废</w:t>
                  </w:r>
                </w:p>
              </w:tc>
              <w:tc>
                <w:tcPr>
                  <w:tcW w:w="0" w:type="auto"/>
                  <w:vAlign w:val="center"/>
                </w:tcPr>
                <w:p w14:paraId="5A29ED78">
                  <w:pPr>
                    <w:pStyle w:val="42"/>
                    <w:bidi w:val="0"/>
                    <w:jc w:val="center"/>
                    <w:rPr>
                      <w:rFonts w:hint="default" w:eastAsia="宋体"/>
                      <w:lang w:val="en-US" w:eastAsia="zh-CN"/>
                    </w:rPr>
                  </w:pPr>
                  <w:r>
                    <w:rPr>
                      <w:rFonts w:hint="eastAsia"/>
                      <w:lang w:val="en-US" w:eastAsia="zh-CN"/>
                    </w:rPr>
                    <w:t>0.05</w:t>
                  </w:r>
                </w:p>
              </w:tc>
              <w:tc>
                <w:tcPr>
                  <w:tcW w:w="0" w:type="auto"/>
                  <w:vAlign w:val="center"/>
                </w:tcPr>
                <w:p w14:paraId="7A8E83C8">
                  <w:pPr>
                    <w:pStyle w:val="42"/>
                    <w:bidi w:val="0"/>
                    <w:jc w:val="center"/>
                    <w:rPr>
                      <w:rFonts w:hint="default"/>
                      <w:lang w:val="en-US" w:eastAsia="zh-CN"/>
                    </w:rPr>
                  </w:pPr>
                  <w:r>
                    <w:rPr>
                      <w:rFonts w:hint="eastAsia"/>
                      <w:lang w:val="en-US" w:eastAsia="zh-CN"/>
                    </w:rPr>
                    <w:t>0.025</w:t>
                  </w:r>
                </w:p>
              </w:tc>
              <w:tc>
                <w:tcPr>
                  <w:tcW w:w="0" w:type="auto"/>
                  <w:vAlign w:val="center"/>
                </w:tcPr>
                <w:p w14:paraId="18093952">
                  <w:pPr>
                    <w:pStyle w:val="42"/>
                    <w:bidi w:val="0"/>
                    <w:jc w:val="center"/>
                  </w:pPr>
                  <w:r>
                    <w:t>暂存于一般固废区，外售废品回收公司利用</w:t>
                  </w:r>
                </w:p>
              </w:tc>
            </w:tr>
            <w:tr w14:paraId="027E0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0" w:type="auto"/>
                  <w:vAlign w:val="center"/>
                </w:tcPr>
                <w:p w14:paraId="159C77F7">
                  <w:pPr>
                    <w:pStyle w:val="42"/>
                    <w:bidi w:val="0"/>
                    <w:jc w:val="center"/>
                    <w:rPr>
                      <w:rFonts w:hint="eastAsia"/>
                      <w:lang w:eastAsia="zh-CN"/>
                    </w:rPr>
                  </w:pPr>
                  <w:r>
                    <w:rPr>
                      <w:rFonts w:hint="eastAsia"/>
                      <w:lang w:eastAsia="zh-CN"/>
                    </w:rPr>
                    <w:t>除尘渣</w:t>
                  </w:r>
                </w:p>
              </w:tc>
              <w:tc>
                <w:tcPr>
                  <w:tcW w:w="0" w:type="auto"/>
                  <w:vAlign w:val="center"/>
                </w:tcPr>
                <w:p w14:paraId="2D6038D6">
                  <w:pPr>
                    <w:pStyle w:val="42"/>
                    <w:bidi w:val="0"/>
                    <w:jc w:val="center"/>
                  </w:pPr>
                  <w:r>
                    <w:t>一般工业固废</w:t>
                  </w:r>
                </w:p>
              </w:tc>
              <w:tc>
                <w:tcPr>
                  <w:tcW w:w="0" w:type="auto"/>
                  <w:vAlign w:val="center"/>
                </w:tcPr>
                <w:p w14:paraId="2DA7C742">
                  <w:pPr>
                    <w:pStyle w:val="42"/>
                    <w:bidi w:val="0"/>
                    <w:jc w:val="center"/>
                    <w:rPr>
                      <w:rFonts w:hint="default"/>
                      <w:lang w:val="en-US" w:eastAsia="zh-CN"/>
                    </w:rPr>
                  </w:pPr>
                  <w:r>
                    <w:rPr>
                      <w:rFonts w:hint="eastAsia"/>
                      <w:lang w:val="en-US" w:eastAsia="zh-CN"/>
                    </w:rPr>
                    <w:t>0.0057</w:t>
                  </w:r>
                </w:p>
              </w:tc>
              <w:tc>
                <w:tcPr>
                  <w:tcW w:w="0" w:type="auto"/>
                  <w:vAlign w:val="center"/>
                </w:tcPr>
                <w:p w14:paraId="42AED49F">
                  <w:pPr>
                    <w:pStyle w:val="42"/>
                    <w:bidi w:val="0"/>
                    <w:jc w:val="center"/>
                    <w:rPr>
                      <w:rFonts w:hint="default"/>
                      <w:lang w:val="en-US" w:eastAsia="zh-CN"/>
                    </w:rPr>
                  </w:pPr>
                  <w:r>
                    <w:rPr>
                      <w:rFonts w:hint="eastAsia"/>
                      <w:lang w:val="en-US" w:eastAsia="zh-CN"/>
                    </w:rPr>
                    <w:t>0.0057</w:t>
                  </w:r>
                </w:p>
              </w:tc>
              <w:tc>
                <w:tcPr>
                  <w:tcW w:w="0" w:type="auto"/>
                  <w:vAlign w:val="center"/>
                </w:tcPr>
                <w:p w14:paraId="1ED84C34">
                  <w:pPr>
                    <w:pStyle w:val="42"/>
                    <w:bidi w:val="0"/>
                    <w:jc w:val="center"/>
                  </w:pPr>
                  <w:r>
                    <w:t>暂存于一般固废区，外售废品回收公司利用</w:t>
                  </w:r>
                </w:p>
              </w:tc>
            </w:tr>
            <w:tr w14:paraId="6FD5C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0" w:type="auto"/>
                  <w:vAlign w:val="center"/>
                </w:tcPr>
                <w:p w14:paraId="7536F7E4">
                  <w:pPr>
                    <w:pStyle w:val="42"/>
                    <w:bidi w:val="0"/>
                    <w:jc w:val="center"/>
                    <w:rPr>
                      <w:rFonts w:hint="eastAsia" w:eastAsia="宋体"/>
                      <w:lang w:eastAsia="zh-CN"/>
                    </w:rPr>
                  </w:pPr>
                  <w:r>
                    <w:rPr>
                      <w:rFonts w:hint="eastAsia"/>
                      <w:lang w:eastAsia="zh-CN"/>
                    </w:rPr>
                    <w:t>废弃防疫装备</w:t>
                  </w:r>
                </w:p>
              </w:tc>
              <w:tc>
                <w:tcPr>
                  <w:tcW w:w="0" w:type="auto"/>
                  <w:vAlign w:val="center"/>
                </w:tcPr>
                <w:p w14:paraId="0F57DFB4">
                  <w:pPr>
                    <w:pStyle w:val="42"/>
                    <w:bidi w:val="0"/>
                    <w:jc w:val="center"/>
                  </w:pPr>
                  <w:r>
                    <w:t>危废（</w:t>
                  </w:r>
                  <w:r>
                    <w:rPr>
                      <w:rFonts w:hint="eastAsia"/>
                      <w:lang w:val="en-US" w:eastAsia="zh-CN"/>
                    </w:rPr>
                    <w:t>HW49:</w:t>
                  </w:r>
                  <w:r>
                    <w:t>900-0</w:t>
                  </w:r>
                  <w:r>
                    <w:rPr>
                      <w:rFonts w:hint="eastAsia"/>
                      <w:lang w:val="en-US" w:eastAsia="zh-CN"/>
                    </w:rPr>
                    <w:t>41</w:t>
                  </w:r>
                  <w:r>
                    <w:t>-49）</w:t>
                  </w:r>
                </w:p>
              </w:tc>
              <w:tc>
                <w:tcPr>
                  <w:tcW w:w="0" w:type="auto"/>
                  <w:vAlign w:val="center"/>
                </w:tcPr>
                <w:p w14:paraId="49FDDECB">
                  <w:pPr>
                    <w:pStyle w:val="42"/>
                    <w:bidi w:val="0"/>
                    <w:jc w:val="center"/>
                    <w:rPr>
                      <w:rFonts w:hint="default" w:eastAsia="宋体"/>
                      <w:highlight w:val="none"/>
                      <w:lang w:val="en-US" w:eastAsia="zh-CN"/>
                    </w:rPr>
                  </w:pPr>
                  <w:r>
                    <w:rPr>
                      <w:rFonts w:hint="eastAsia"/>
                      <w:highlight w:val="none"/>
                      <w:lang w:val="en-US" w:eastAsia="zh-CN"/>
                    </w:rPr>
                    <w:t>1.5</w:t>
                  </w:r>
                </w:p>
              </w:tc>
              <w:tc>
                <w:tcPr>
                  <w:tcW w:w="0" w:type="auto"/>
                  <w:vAlign w:val="center"/>
                </w:tcPr>
                <w:p w14:paraId="4D10BAA0">
                  <w:pPr>
                    <w:pStyle w:val="42"/>
                    <w:bidi w:val="0"/>
                    <w:jc w:val="center"/>
                    <w:rPr>
                      <w:rFonts w:hint="default"/>
                      <w:highlight w:val="none"/>
                      <w:lang w:val="en-US" w:eastAsia="zh-CN"/>
                    </w:rPr>
                  </w:pPr>
                  <w:r>
                    <w:rPr>
                      <w:rFonts w:hint="eastAsia"/>
                      <w:highlight w:val="none"/>
                      <w:lang w:val="en-US" w:eastAsia="zh-CN"/>
                    </w:rPr>
                    <w:t>0.75</w:t>
                  </w:r>
                </w:p>
              </w:tc>
              <w:tc>
                <w:tcPr>
                  <w:tcW w:w="0" w:type="auto"/>
                  <w:vAlign w:val="center"/>
                </w:tcPr>
                <w:p w14:paraId="2F308B31">
                  <w:pPr>
                    <w:pStyle w:val="42"/>
                    <w:bidi w:val="0"/>
                    <w:jc w:val="center"/>
                  </w:pPr>
                  <w:r>
                    <w:t>暂存于危废间内，委托有资质的单位定期清运处置。</w:t>
                  </w:r>
                </w:p>
              </w:tc>
            </w:tr>
            <w:tr w14:paraId="6CCAF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0" w:type="auto"/>
                  <w:vAlign w:val="center"/>
                </w:tcPr>
                <w:p w14:paraId="02A43615">
                  <w:pPr>
                    <w:pStyle w:val="42"/>
                    <w:bidi w:val="0"/>
                    <w:jc w:val="center"/>
                    <w:rPr>
                      <w:rFonts w:hint="eastAsia" w:eastAsia="宋体"/>
                      <w:lang w:eastAsia="zh-CN"/>
                    </w:rPr>
                  </w:pPr>
                  <w:r>
                    <w:rPr>
                      <w:rFonts w:hint="eastAsia"/>
                      <w:lang w:eastAsia="zh-CN"/>
                    </w:rPr>
                    <w:t>废机油</w:t>
                  </w:r>
                </w:p>
              </w:tc>
              <w:tc>
                <w:tcPr>
                  <w:tcW w:w="0" w:type="auto"/>
                  <w:vAlign w:val="center"/>
                </w:tcPr>
                <w:p w14:paraId="218C7F15">
                  <w:pPr>
                    <w:pStyle w:val="42"/>
                    <w:bidi w:val="0"/>
                    <w:jc w:val="center"/>
                  </w:pPr>
                  <w:r>
                    <w:t>危废（</w:t>
                  </w:r>
                  <w:r>
                    <w:rPr>
                      <w:rFonts w:hint="eastAsia"/>
                      <w:lang w:val="en-US" w:eastAsia="zh-CN"/>
                    </w:rPr>
                    <w:t>HW08:</w:t>
                  </w:r>
                  <w:r>
                    <w:t>900-</w:t>
                  </w:r>
                  <w:r>
                    <w:rPr>
                      <w:rFonts w:hint="eastAsia"/>
                      <w:lang w:val="en-US" w:eastAsia="zh-CN"/>
                    </w:rPr>
                    <w:t>214</w:t>
                  </w:r>
                  <w:r>
                    <w:t>-</w:t>
                  </w:r>
                  <w:r>
                    <w:rPr>
                      <w:rFonts w:hint="eastAsia"/>
                      <w:lang w:val="en-US" w:eastAsia="zh-CN"/>
                    </w:rPr>
                    <w:t>08</w:t>
                  </w:r>
                  <w:r>
                    <w:t>）</w:t>
                  </w:r>
                </w:p>
              </w:tc>
              <w:tc>
                <w:tcPr>
                  <w:tcW w:w="0" w:type="auto"/>
                  <w:vAlign w:val="center"/>
                </w:tcPr>
                <w:p w14:paraId="7F345B40">
                  <w:pPr>
                    <w:pStyle w:val="42"/>
                    <w:bidi w:val="0"/>
                    <w:jc w:val="center"/>
                    <w:rPr>
                      <w:rFonts w:hint="default" w:eastAsia="宋体"/>
                      <w:highlight w:val="none"/>
                      <w:lang w:val="en-US" w:eastAsia="zh-CN"/>
                    </w:rPr>
                  </w:pPr>
                  <w:r>
                    <w:rPr>
                      <w:rFonts w:hint="eastAsia"/>
                      <w:highlight w:val="none"/>
                      <w:lang w:val="en-US" w:eastAsia="zh-CN"/>
                    </w:rPr>
                    <w:t>0.1</w:t>
                  </w:r>
                </w:p>
              </w:tc>
              <w:tc>
                <w:tcPr>
                  <w:tcW w:w="0" w:type="auto"/>
                  <w:vAlign w:val="center"/>
                </w:tcPr>
                <w:p w14:paraId="3A8D8A57">
                  <w:pPr>
                    <w:pStyle w:val="42"/>
                    <w:bidi w:val="0"/>
                    <w:jc w:val="center"/>
                    <w:rPr>
                      <w:rFonts w:hint="default"/>
                      <w:highlight w:val="none"/>
                      <w:lang w:val="en-US" w:eastAsia="zh-CN"/>
                    </w:rPr>
                  </w:pPr>
                  <w:r>
                    <w:rPr>
                      <w:rFonts w:hint="eastAsia"/>
                      <w:highlight w:val="none"/>
                      <w:lang w:val="en-US" w:eastAsia="zh-CN"/>
                    </w:rPr>
                    <w:t>0.05</w:t>
                  </w:r>
                </w:p>
              </w:tc>
              <w:tc>
                <w:tcPr>
                  <w:tcW w:w="0" w:type="auto"/>
                  <w:vAlign w:val="center"/>
                </w:tcPr>
                <w:p w14:paraId="1343323B">
                  <w:pPr>
                    <w:pStyle w:val="42"/>
                    <w:bidi w:val="0"/>
                    <w:jc w:val="center"/>
                    <w:rPr>
                      <w:rFonts w:hint="eastAsia" w:eastAsia="宋体"/>
                      <w:lang w:eastAsia="zh-CN"/>
                    </w:rPr>
                  </w:pPr>
                  <w:r>
                    <w:t>暂存于危废间内，委托有资质的单位定期清运处置</w:t>
                  </w:r>
                  <w:r>
                    <w:rPr>
                      <w:rFonts w:hint="eastAsia"/>
                      <w:lang w:eastAsia="zh-CN"/>
                    </w:rPr>
                    <w:t>。</w:t>
                  </w:r>
                </w:p>
              </w:tc>
            </w:tr>
            <w:tr w14:paraId="6C68B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0" w:type="auto"/>
                  <w:vAlign w:val="center"/>
                </w:tcPr>
                <w:p w14:paraId="68453AAD">
                  <w:pPr>
                    <w:pStyle w:val="42"/>
                    <w:bidi w:val="0"/>
                    <w:jc w:val="center"/>
                  </w:pPr>
                  <w:r>
                    <w:t>废活性炭</w:t>
                  </w:r>
                </w:p>
              </w:tc>
              <w:tc>
                <w:tcPr>
                  <w:tcW w:w="0" w:type="auto"/>
                  <w:vAlign w:val="center"/>
                </w:tcPr>
                <w:p w14:paraId="7AD1D3D4">
                  <w:pPr>
                    <w:pStyle w:val="42"/>
                    <w:bidi w:val="0"/>
                    <w:jc w:val="center"/>
                  </w:pPr>
                  <w:r>
                    <w:t>危废（</w:t>
                  </w:r>
                  <w:r>
                    <w:rPr>
                      <w:rFonts w:hint="eastAsia"/>
                      <w:lang w:val="en-US" w:eastAsia="zh-CN"/>
                    </w:rPr>
                    <w:t>HW49:</w:t>
                  </w:r>
                  <w:r>
                    <w:t>900-</w:t>
                  </w:r>
                  <w:r>
                    <w:rPr>
                      <w:rFonts w:hint="eastAsia"/>
                      <w:lang w:val="en-US" w:eastAsia="zh-CN"/>
                    </w:rPr>
                    <w:t>039</w:t>
                  </w:r>
                  <w:r>
                    <w:t>-</w:t>
                  </w:r>
                  <w:r>
                    <w:rPr>
                      <w:rFonts w:hint="eastAsia"/>
                      <w:lang w:val="en-US" w:eastAsia="zh-CN"/>
                    </w:rPr>
                    <w:t>49</w:t>
                  </w:r>
                  <w:r>
                    <w:t>）</w:t>
                  </w:r>
                </w:p>
              </w:tc>
              <w:tc>
                <w:tcPr>
                  <w:tcW w:w="0" w:type="auto"/>
                  <w:vAlign w:val="center"/>
                </w:tcPr>
                <w:p w14:paraId="41735514">
                  <w:pPr>
                    <w:pStyle w:val="42"/>
                    <w:bidi w:val="0"/>
                    <w:jc w:val="center"/>
                    <w:rPr>
                      <w:rFonts w:hint="default" w:eastAsia="宋体"/>
                      <w:highlight w:val="none"/>
                      <w:lang w:val="en-US" w:eastAsia="zh-CN"/>
                    </w:rPr>
                  </w:pPr>
                  <w:r>
                    <w:rPr>
                      <w:rFonts w:hint="eastAsia"/>
                      <w:highlight w:val="none"/>
                      <w:lang w:val="en-US" w:eastAsia="zh-CN"/>
                    </w:rPr>
                    <w:t>4.7187</w:t>
                  </w:r>
                </w:p>
              </w:tc>
              <w:tc>
                <w:tcPr>
                  <w:tcW w:w="0" w:type="auto"/>
                  <w:vAlign w:val="center"/>
                </w:tcPr>
                <w:p w14:paraId="2AD699DD">
                  <w:pPr>
                    <w:pStyle w:val="42"/>
                    <w:bidi w:val="0"/>
                    <w:jc w:val="center"/>
                    <w:rPr>
                      <w:rFonts w:hint="default"/>
                      <w:highlight w:val="none"/>
                      <w:lang w:val="en-US" w:eastAsia="zh-CN"/>
                    </w:rPr>
                  </w:pPr>
                  <w:r>
                    <w:rPr>
                      <w:rFonts w:hint="eastAsia"/>
                      <w:highlight w:val="none"/>
                      <w:lang w:val="en-US" w:eastAsia="zh-CN"/>
                    </w:rPr>
                    <w:t>1.66</w:t>
                  </w:r>
                </w:p>
              </w:tc>
              <w:tc>
                <w:tcPr>
                  <w:tcW w:w="0" w:type="auto"/>
                  <w:vAlign w:val="center"/>
                </w:tcPr>
                <w:p w14:paraId="682216F2">
                  <w:pPr>
                    <w:pStyle w:val="42"/>
                    <w:bidi w:val="0"/>
                    <w:jc w:val="center"/>
                  </w:pPr>
                  <w:r>
                    <w:t>暂存于危废间内，委托有资质的单位定期清运处置。</w:t>
                  </w:r>
                </w:p>
              </w:tc>
            </w:tr>
            <w:tr w14:paraId="03C6A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Align w:val="center"/>
                </w:tcPr>
                <w:p w14:paraId="68FF9C90">
                  <w:pPr>
                    <w:pStyle w:val="42"/>
                    <w:bidi w:val="0"/>
                    <w:jc w:val="center"/>
                  </w:pPr>
                  <w:r>
                    <w:t>生活垃圾</w:t>
                  </w:r>
                </w:p>
              </w:tc>
              <w:tc>
                <w:tcPr>
                  <w:tcW w:w="0" w:type="auto"/>
                  <w:vAlign w:val="center"/>
                </w:tcPr>
                <w:p w14:paraId="2F736BB7">
                  <w:pPr>
                    <w:pStyle w:val="42"/>
                    <w:bidi w:val="0"/>
                    <w:jc w:val="center"/>
                  </w:pPr>
                  <w:r>
                    <w:t>生活垃圾</w:t>
                  </w:r>
                </w:p>
              </w:tc>
              <w:tc>
                <w:tcPr>
                  <w:tcW w:w="0" w:type="auto"/>
                  <w:vAlign w:val="center"/>
                </w:tcPr>
                <w:p w14:paraId="3BC78B47">
                  <w:pPr>
                    <w:pStyle w:val="42"/>
                    <w:bidi w:val="0"/>
                    <w:jc w:val="center"/>
                    <w:rPr>
                      <w:rFonts w:hint="eastAsia" w:eastAsia="宋体"/>
                      <w:lang w:eastAsia="zh-CN"/>
                    </w:rPr>
                  </w:pPr>
                  <w:r>
                    <w:rPr>
                      <w:rFonts w:hint="eastAsia"/>
                      <w:lang w:val="en-US" w:eastAsia="zh-CN"/>
                    </w:rPr>
                    <w:t>3</w:t>
                  </w:r>
                </w:p>
              </w:tc>
              <w:tc>
                <w:tcPr>
                  <w:tcW w:w="0" w:type="auto"/>
                  <w:vAlign w:val="center"/>
                </w:tcPr>
                <w:p w14:paraId="2F9A1C8F">
                  <w:pPr>
                    <w:pStyle w:val="42"/>
                    <w:bidi w:val="0"/>
                    <w:jc w:val="center"/>
                    <w:rPr>
                      <w:rFonts w:hint="default"/>
                      <w:lang w:val="en-US" w:eastAsia="zh-CN"/>
                    </w:rPr>
                  </w:pPr>
                  <w:r>
                    <w:rPr>
                      <w:rFonts w:hint="eastAsia"/>
                      <w:lang w:val="en-US" w:eastAsia="zh-CN"/>
                    </w:rPr>
                    <w:t>/</w:t>
                  </w:r>
                </w:p>
              </w:tc>
              <w:tc>
                <w:tcPr>
                  <w:tcW w:w="0" w:type="auto"/>
                  <w:vAlign w:val="center"/>
                </w:tcPr>
                <w:p w14:paraId="7BA1FBB1">
                  <w:pPr>
                    <w:pStyle w:val="42"/>
                    <w:bidi w:val="0"/>
                    <w:jc w:val="center"/>
                  </w:pPr>
                  <w:r>
                    <w:t>交当地环卫部门统一清运处置</w:t>
                  </w:r>
                </w:p>
              </w:tc>
            </w:tr>
          </w:tbl>
          <w:p w14:paraId="44DB5FB6">
            <w:pPr>
              <w:ind w:firstLine="480"/>
              <w:rPr>
                <w:rFonts w:hint="eastAsia" w:eastAsia="宋体"/>
              </w:rPr>
            </w:pPr>
            <w:r>
              <w:rPr>
                <w:rFonts w:hint="eastAsia" w:eastAsia="宋体"/>
              </w:rPr>
              <w:t>一般固体废物暂存于一般固体废物暂存间内，专人负责收集、看管，根据《一般工业固体废物管理台账制定指南（试行）》设置台账记录出入库情况，按规定严格执行转移联单制，按照《一般工业固体废物贮存和填埋污染控制标准》（GB18599-2020）的相关要求进行管理。</w:t>
            </w:r>
          </w:p>
          <w:p w14:paraId="7090836B">
            <w:pPr>
              <w:ind w:firstLine="480"/>
              <w:rPr>
                <w:rFonts w:hint="eastAsia" w:eastAsia="宋体"/>
              </w:rPr>
            </w:pPr>
            <w:r>
              <w:rPr>
                <w:rFonts w:hint="eastAsia" w:eastAsia="宋体"/>
              </w:rPr>
              <w:t>危险废物暂存于危险废物暂存间内，危废间位于厂区</w:t>
            </w:r>
            <w:r>
              <w:rPr>
                <w:rFonts w:hint="eastAsia"/>
                <w:lang w:eastAsia="zh-CN"/>
              </w:rPr>
              <w:t>东南部库房里</w:t>
            </w:r>
            <w:r>
              <w:rPr>
                <w:rFonts w:hint="eastAsia" w:eastAsia="宋体"/>
              </w:rPr>
              <w:t>。危险废物暂存间地面地面采取硬化及环氧漆防腐防渗处理。对危险废物的贮存，由专人负责收集、看管，禁止外人入内。危险废物暂存间根据《危险废物管理计划和管理台账制定技术导则》（HJ1259 -2022）设置分类管理，台账记录出入库情况，明确记录危险废物名称、危险废物代码、产生量、储存量、转移量和转移单位等，按规定严格执行转移联单制。建设单位应在入口醒目位置设置有警示标志，危险废物贮存容器为塑料桶，并贴有标签，分开存放。危险废物暂存间符合《危险废物贮存污染控制标准》（GB18597-20</w:t>
            </w:r>
            <w:r>
              <w:rPr>
                <w:rFonts w:hint="eastAsia"/>
                <w:lang w:val="en-US" w:eastAsia="zh-CN"/>
              </w:rPr>
              <w:t>23</w:t>
            </w:r>
            <w:r>
              <w:rPr>
                <w:rFonts w:hint="eastAsia" w:eastAsia="宋体"/>
              </w:rPr>
              <w:t>）及其修改单的相关废物贮存的要求。</w:t>
            </w:r>
          </w:p>
          <w:p w14:paraId="1F427F39">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4.9、</w:t>
            </w:r>
            <w:r>
              <w:rPr>
                <w:rFonts w:hint="eastAsia"/>
              </w:rPr>
              <w:t>地下水、土壤环境影响及防治措施分析</w:t>
            </w:r>
          </w:p>
          <w:p w14:paraId="666653BE">
            <w:pPr>
              <w:pStyle w:val="6"/>
              <w:numPr>
                <w:ilvl w:val="3"/>
                <w:numId w:val="0"/>
              </w:numPr>
              <w:bidi w:val="0"/>
              <w:ind w:left="0" w:leftChars="0" w:firstLine="0" w:firstLineChars="0"/>
              <w:rPr>
                <w:rFonts w:hint="eastAsia"/>
                <w:lang w:eastAsia="zh-CN"/>
              </w:rPr>
            </w:pPr>
            <w:r>
              <w:rPr>
                <w:rFonts w:hint="default" w:ascii="Times New Roman" w:hAnsi="Times New Roman" w:eastAsia="宋体" w:cs="Times New Roman"/>
                <w:b/>
                <w:i w:val="0"/>
                <w:kern w:val="2"/>
                <w:sz w:val="24"/>
                <w:szCs w:val="24"/>
                <w:lang w:val="en-US" w:eastAsia="zh-CN" w:bidi="ar-SA"/>
              </w:rPr>
              <w:t>4.9.1、</w:t>
            </w:r>
            <w:r>
              <w:rPr>
                <w:rFonts w:hint="eastAsia"/>
                <w:lang w:eastAsia="zh-CN"/>
              </w:rPr>
              <w:t>地下水</w:t>
            </w:r>
          </w:p>
          <w:p w14:paraId="1EF586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outlineLvl w:val="9"/>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kern w:val="2"/>
                <w:sz w:val="24"/>
                <w:szCs w:val="24"/>
                <w:lang w:val="en-US" w:eastAsia="zh-CN" w:bidi="ar-SA"/>
              </w:rPr>
              <w:t>本项目拟采用化制法对病死动物进行无害化处理，根据《环境影响评价技术导则-地下水环境》（HJ610-2016）附录A</w:t>
            </w:r>
            <w:r>
              <w:rPr>
                <w:rFonts w:hint="eastAsia" w:ascii="Times New Roman" w:hAnsi="Times New Roman" w:cs="Times New Roman"/>
                <w:color w:val="000000"/>
                <w:kern w:val="2"/>
                <w:sz w:val="24"/>
                <w:szCs w:val="24"/>
                <w:lang w:val="en-US" w:eastAsia="zh-CN" w:bidi="ar-SA"/>
              </w:rPr>
              <w:t>“</w:t>
            </w:r>
            <w:r>
              <w:rPr>
                <w:rFonts w:hint="default" w:ascii="Times New Roman" w:hAnsi="Times New Roman" w:cs="Times New Roman"/>
                <w:color w:val="000000"/>
                <w:kern w:val="2"/>
                <w:sz w:val="24"/>
                <w:szCs w:val="24"/>
                <w:lang w:val="en-US" w:eastAsia="zh-CN" w:bidi="ar-SA"/>
              </w:rPr>
              <w:t>地下水环境影响评价行业分类表</w:t>
            </w:r>
            <w:r>
              <w:rPr>
                <w:rFonts w:hint="eastAsia" w:ascii="Times New Roman" w:hAnsi="Times New Roman" w:cs="Times New Roman"/>
                <w:color w:val="000000"/>
                <w:kern w:val="2"/>
                <w:sz w:val="24"/>
                <w:szCs w:val="24"/>
                <w:lang w:val="en-US" w:eastAsia="zh-CN" w:bidi="ar-SA"/>
              </w:rPr>
              <w:t>”</w:t>
            </w:r>
            <w:r>
              <w:rPr>
                <w:rFonts w:hint="default" w:ascii="Times New Roman" w:hAnsi="Times New Roman" w:cs="Times New Roman"/>
                <w:color w:val="000000"/>
                <w:kern w:val="2"/>
                <w:sz w:val="24"/>
                <w:szCs w:val="24"/>
                <w:lang w:val="en-US" w:eastAsia="zh-CN" w:bidi="ar-SA"/>
              </w:rPr>
              <w:t>，本项目未在分类表中。项目有厌氧池。运营可能对地下水产生影响的环节主要为黑膜厌氧池泄露以及生产废水、生活污水</w:t>
            </w:r>
            <w:r>
              <w:rPr>
                <w:rFonts w:hint="eastAsia" w:ascii="Times New Roman" w:hAnsi="Times New Roman" w:cs="Times New Roman"/>
                <w:color w:val="000000"/>
                <w:kern w:val="2"/>
                <w:sz w:val="24"/>
                <w:szCs w:val="24"/>
                <w:lang w:val="en-US" w:eastAsia="zh-CN" w:bidi="ar-SA"/>
              </w:rPr>
              <w:t>“</w:t>
            </w:r>
            <w:r>
              <w:rPr>
                <w:rFonts w:hint="default" w:ascii="Times New Roman" w:hAnsi="Times New Roman" w:cs="Times New Roman"/>
                <w:color w:val="000000"/>
                <w:kern w:val="2"/>
                <w:sz w:val="24"/>
                <w:szCs w:val="24"/>
                <w:lang w:val="en-US" w:eastAsia="zh-CN" w:bidi="ar-SA"/>
              </w:rPr>
              <w:t>跑冒滴漏</w:t>
            </w:r>
            <w:r>
              <w:rPr>
                <w:rFonts w:hint="eastAsia" w:ascii="Times New Roman" w:hAnsi="Times New Roman" w:cs="Times New Roman"/>
                <w:color w:val="000000"/>
                <w:kern w:val="2"/>
                <w:sz w:val="24"/>
                <w:szCs w:val="24"/>
                <w:lang w:val="en-US" w:eastAsia="zh-CN" w:bidi="ar-SA"/>
              </w:rPr>
              <w:t>”</w:t>
            </w:r>
            <w:r>
              <w:rPr>
                <w:rFonts w:hint="default" w:ascii="Times New Roman" w:hAnsi="Times New Roman" w:cs="Times New Roman"/>
                <w:color w:val="000000"/>
                <w:kern w:val="2"/>
                <w:sz w:val="24"/>
                <w:szCs w:val="24"/>
                <w:lang w:val="en-US" w:eastAsia="zh-CN" w:bidi="ar-SA"/>
              </w:rPr>
              <w:t>的影响。</w:t>
            </w:r>
          </w:p>
          <w:p w14:paraId="0C4FA9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outlineLvl w:val="9"/>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1、主要污染途径</w:t>
            </w:r>
          </w:p>
          <w:p w14:paraId="4D362C99">
            <w:pPr>
              <w:pStyle w:val="1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480" w:firstLineChars="200"/>
              <w:textAlignment w:val="auto"/>
              <w:outlineLvl w:val="9"/>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项目投产后，可能对地下水环境造成的影响主要表现在以下几方面：</w:t>
            </w:r>
          </w:p>
          <w:p w14:paraId="3C86FBA8">
            <w:pPr>
              <w:pStyle w:val="1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480" w:firstLineChars="200"/>
              <w:textAlignment w:val="auto"/>
              <w:outlineLvl w:val="9"/>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①若厂区废水未能全部收集，或收集系统出现故障，则可能导致生产废水漫流而渗入地下，从而影响地下水质量。</w:t>
            </w:r>
          </w:p>
          <w:p w14:paraId="3414C235">
            <w:pPr>
              <w:pStyle w:val="1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480" w:firstLineChars="200"/>
              <w:textAlignment w:val="auto"/>
              <w:outlineLvl w:val="9"/>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②涉水作业面等地面的防腐层破损，或废水处理构筑物破裂而引发渗水，可导致废水进入地下水系统。</w:t>
            </w:r>
          </w:p>
          <w:p w14:paraId="0680B0F2">
            <w:pPr>
              <w:pStyle w:val="1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480" w:firstLineChars="200"/>
              <w:textAlignment w:val="auto"/>
              <w:outlineLvl w:val="9"/>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③废水收集管网出现破损，将直接导致废水进入地下水系统。</w:t>
            </w:r>
          </w:p>
          <w:p w14:paraId="0503C0AD">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firstLine="480" w:firstLineChars="200"/>
              <w:textAlignment w:val="auto"/>
              <w:outlineLvl w:val="9"/>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2、影响分析</w:t>
            </w:r>
          </w:p>
          <w:p w14:paraId="2CB4486E">
            <w:pPr>
              <w:pStyle w:val="1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480" w:firstLineChars="200"/>
              <w:textAlignment w:val="auto"/>
              <w:outlineLvl w:val="9"/>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①对浅层地下水的污染影响</w:t>
            </w:r>
          </w:p>
          <w:p w14:paraId="18FB4992">
            <w:pPr>
              <w:pStyle w:val="1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480" w:firstLineChars="200"/>
              <w:textAlignment w:val="auto"/>
              <w:outlineLvl w:val="9"/>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对地下水的污染主要是由于污染物迁移穿过包气带进入含水层造成。项目场地包气带防污性能为强，说明浅层地下水不太容易受到污染。若废水或者废液发生渗漏，污染物不会很快穿过包气带进入浅层地下水，对浅层地下水的污染很小。</w:t>
            </w:r>
          </w:p>
          <w:p w14:paraId="575D0BFC">
            <w:pPr>
              <w:pStyle w:val="1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480" w:firstLineChars="200"/>
              <w:textAlignment w:val="auto"/>
              <w:outlineLvl w:val="9"/>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②对深层地下水的污染影响</w:t>
            </w:r>
          </w:p>
          <w:p w14:paraId="053DCBA9">
            <w:pPr>
              <w:pStyle w:val="1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480" w:firstLineChars="200"/>
              <w:textAlignment w:val="auto"/>
              <w:outlineLvl w:val="9"/>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判断深层地下水是否受到污染影响，通常分析深层地下水含水组上覆地层的房屋性能和有无与浅层地下水的水利联系通过地质条件分析，区内地层位分布比较稳定且厚度较大的隔水层，所以垂直渗入补给条件较差，与浅层地下水树立联系不密切，因此深层地下水不会受到项目下渗污水的污染影响。</w:t>
            </w:r>
          </w:p>
          <w:p w14:paraId="3603F397">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rightChars="0" w:firstLine="480" w:firstLineChars="200"/>
              <w:textAlignment w:val="auto"/>
              <w:outlineLvl w:val="9"/>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3、防渗防腐措施及要求：</w:t>
            </w:r>
          </w:p>
          <w:p w14:paraId="5E4F2A03">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rightChars="0" w:firstLine="480" w:firstLineChars="200"/>
              <w:textAlignment w:val="auto"/>
              <w:outlineLvl w:val="9"/>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kern w:val="2"/>
                <w:sz w:val="24"/>
                <w:szCs w:val="24"/>
                <w:lang w:val="en-US" w:eastAsia="zh-CN" w:bidi="ar-SA"/>
              </w:rPr>
              <w:t>（1）源头控制措施</w:t>
            </w:r>
          </w:p>
          <w:p w14:paraId="45061050">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rightChars="0" w:firstLine="480" w:firstLineChars="200"/>
              <w:textAlignment w:val="auto"/>
              <w:outlineLvl w:val="9"/>
              <w:rPr>
                <w:rFonts w:hint="default" w:ascii="Times New Roman" w:hAnsi="Times New Roman" w:cs="Times New Roman"/>
                <w:color w:val="000000"/>
                <w:kern w:val="2"/>
                <w:sz w:val="24"/>
                <w:szCs w:val="24"/>
                <w:lang w:val="en-US" w:eastAsia="zh-CN" w:bidi="ar-SA"/>
              </w:rPr>
            </w:pPr>
            <w:r>
              <w:rPr>
                <w:rFonts w:hint="default" w:ascii="Times New Roman" w:hAnsi="Times New Roman" w:cs="Times New Roman"/>
                <w:color w:val="000000"/>
                <w:kern w:val="2"/>
                <w:sz w:val="24"/>
                <w:szCs w:val="24"/>
                <w:lang w:val="en-US" w:eastAsia="zh-CN" w:bidi="ar-SA"/>
              </w:rPr>
              <w:t>本项目对产生的废水进行合理的治理和综合利用，以先进工艺、管道、设备、污水储存，尽可能从源头上减少可能产生的污染；严格按照国家相关规范要求，对工艺、设备、污水储存及处理构筑物采取相应措施，以防止和降低可能产生污染物的跑冒滴漏，将废水泄漏的环境风险事故降低到最低程度；优化排水系统设计。</w:t>
            </w:r>
          </w:p>
          <w:p w14:paraId="24844ABC">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rightChars="0" w:firstLine="480" w:firstLineChars="200"/>
              <w:textAlignment w:val="auto"/>
              <w:outlineLvl w:val="9"/>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kern w:val="2"/>
                <w:sz w:val="24"/>
                <w:szCs w:val="24"/>
                <w:lang w:val="en-US" w:eastAsia="zh-CN" w:bidi="ar-SA"/>
              </w:rPr>
              <w:t>（2）分区控制措施</w:t>
            </w:r>
          </w:p>
          <w:p w14:paraId="1B7F3A32">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rightChars="0" w:firstLine="480" w:firstLineChars="200"/>
              <w:textAlignment w:val="auto"/>
              <w:outlineLvl w:val="9"/>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按照《环境影响评价技术导则 地下水》（HJ610-2016）中的有关要求，一般企业分区防渗分为重点防渗区、一般防渗区和简单防渗区。</w:t>
            </w:r>
          </w:p>
          <w:p w14:paraId="026857B2">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rightChars="0" w:firstLine="480" w:firstLineChars="200"/>
              <w:textAlignment w:val="auto"/>
              <w:outlineLvl w:val="9"/>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本项目具体分区防渗情况见下表。防渗区域划分及防渗要求见</w:t>
            </w:r>
            <w:r>
              <w:rPr>
                <w:rFonts w:hint="eastAsia" w:ascii="Times New Roman" w:hAnsi="Times New Roman" w:eastAsia="宋体" w:cs="Times New Roman"/>
                <w:color w:val="000000"/>
                <w:kern w:val="2"/>
                <w:sz w:val="24"/>
                <w:szCs w:val="24"/>
                <w:lang w:val="en-US" w:eastAsia="zh-CN" w:bidi="ar-SA"/>
              </w:rPr>
              <w:t>下</w:t>
            </w:r>
            <w:r>
              <w:rPr>
                <w:rFonts w:hint="default" w:ascii="Times New Roman" w:hAnsi="Times New Roman" w:eastAsia="宋体" w:cs="Times New Roman"/>
                <w:color w:val="000000"/>
                <w:kern w:val="2"/>
                <w:sz w:val="24"/>
                <w:szCs w:val="24"/>
                <w:lang w:val="en-US" w:eastAsia="zh-CN" w:bidi="ar-SA"/>
              </w:rPr>
              <w:t>表：</w:t>
            </w:r>
          </w:p>
          <w:p w14:paraId="641E6E40">
            <w:pPr>
              <w:pStyle w:val="8"/>
              <w:numPr>
                <w:ilvl w:val="5"/>
                <w:numId w:val="0"/>
              </w:numPr>
              <w:bidi w:val="0"/>
              <w:ind w:leftChars="0"/>
              <w:jc w:val="center"/>
              <w:rPr>
                <w:rFonts w:hint="default"/>
                <w:lang w:val="en-US" w:eastAsia="zh-CN"/>
              </w:rPr>
            </w:pPr>
            <w:r>
              <w:rPr>
                <w:rFonts w:hint="eastAsia"/>
                <w:lang w:eastAsia="zh-CN"/>
              </w:rPr>
              <w:t>表</w:t>
            </w:r>
            <w:r>
              <w:rPr>
                <w:rFonts w:hint="eastAsia"/>
                <w:lang w:val="en-US" w:eastAsia="zh-CN"/>
              </w:rPr>
              <w:t>4-25</w:t>
            </w:r>
            <w:r>
              <w:rPr>
                <w:rFonts w:hint="default"/>
                <w:lang w:val="en-US" w:eastAsia="zh-CN"/>
              </w:rPr>
              <w:t>污染区划分及防渗要求</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4"/>
              <w:gridCol w:w="1719"/>
              <w:gridCol w:w="6047"/>
            </w:tblGrid>
            <w:tr w14:paraId="028BFC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495" w:type="pct"/>
                  <w:tcBorders>
                    <w:tl2br w:val="nil"/>
                    <w:tr2bl w:val="nil"/>
                  </w:tcBorders>
                  <w:noWrap w:val="0"/>
                  <w:vAlign w:val="center"/>
                </w:tcPr>
                <w:p w14:paraId="22D51272">
                  <w:pPr>
                    <w:pStyle w:val="42"/>
                    <w:bidi w:val="0"/>
                    <w:rPr>
                      <w:rFonts w:hint="default"/>
                      <w:b/>
                      <w:bCs/>
                    </w:rPr>
                  </w:pPr>
                  <w:r>
                    <w:rPr>
                      <w:rFonts w:hint="default"/>
                      <w:b/>
                      <w:bCs/>
                    </w:rPr>
                    <w:t>分区类别</w:t>
                  </w:r>
                </w:p>
              </w:tc>
              <w:tc>
                <w:tcPr>
                  <w:tcW w:w="997" w:type="pct"/>
                  <w:tcBorders>
                    <w:tl2br w:val="nil"/>
                    <w:tr2bl w:val="nil"/>
                  </w:tcBorders>
                  <w:noWrap w:val="0"/>
                  <w:vAlign w:val="center"/>
                </w:tcPr>
                <w:p w14:paraId="3071CE80">
                  <w:pPr>
                    <w:pStyle w:val="42"/>
                    <w:bidi w:val="0"/>
                    <w:rPr>
                      <w:rFonts w:hint="default"/>
                      <w:b/>
                      <w:bCs/>
                    </w:rPr>
                  </w:pPr>
                  <w:r>
                    <w:rPr>
                      <w:rFonts w:hint="default"/>
                      <w:b/>
                      <w:bCs/>
                    </w:rPr>
                    <w:t>分区</w:t>
                  </w:r>
                </w:p>
              </w:tc>
              <w:tc>
                <w:tcPr>
                  <w:tcW w:w="3507" w:type="pct"/>
                  <w:tcBorders>
                    <w:tl2br w:val="nil"/>
                    <w:tr2bl w:val="nil"/>
                  </w:tcBorders>
                  <w:noWrap w:val="0"/>
                  <w:vAlign w:val="center"/>
                </w:tcPr>
                <w:p w14:paraId="32F99A38">
                  <w:pPr>
                    <w:pStyle w:val="42"/>
                    <w:bidi w:val="0"/>
                    <w:rPr>
                      <w:rFonts w:hint="default"/>
                      <w:b/>
                      <w:bCs/>
                    </w:rPr>
                  </w:pPr>
                  <w:r>
                    <w:rPr>
                      <w:rFonts w:hint="default"/>
                      <w:b/>
                      <w:bCs/>
                    </w:rPr>
                    <w:t>防渗要求</w:t>
                  </w:r>
                </w:p>
              </w:tc>
            </w:tr>
            <w:tr w14:paraId="6DC385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1" w:hRule="atLeast"/>
                <w:jc w:val="center"/>
              </w:trPr>
              <w:tc>
                <w:tcPr>
                  <w:tcW w:w="495" w:type="pct"/>
                  <w:tcBorders>
                    <w:tl2br w:val="nil"/>
                    <w:tr2bl w:val="nil"/>
                  </w:tcBorders>
                  <w:noWrap w:val="0"/>
                  <w:vAlign w:val="center"/>
                </w:tcPr>
                <w:p w14:paraId="026D3098">
                  <w:pPr>
                    <w:pStyle w:val="42"/>
                    <w:bidi w:val="0"/>
                    <w:rPr>
                      <w:rFonts w:hint="default"/>
                    </w:rPr>
                  </w:pPr>
                  <w:r>
                    <w:rPr>
                      <w:rFonts w:hint="default"/>
                    </w:rPr>
                    <w:t>一般</w:t>
                  </w:r>
                  <w:r>
                    <w:rPr>
                      <w:rFonts w:hint="default"/>
                      <w:lang w:val="en-US" w:eastAsia="zh-CN"/>
                    </w:rPr>
                    <w:t>防渗</w:t>
                  </w:r>
                  <w:r>
                    <w:rPr>
                      <w:rFonts w:hint="default"/>
                    </w:rPr>
                    <w:t>区</w:t>
                  </w:r>
                </w:p>
              </w:tc>
              <w:tc>
                <w:tcPr>
                  <w:tcW w:w="997" w:type="pct"/>
                  <w:tcBorders>
                    <w:tl2br w:val="nil"/>
                    <w:tr2bl w:val="nil"/>
                  </w:tcBorders>
                  <w:noWrap w:val="0"/>
                  <w:vAlign w:val="center"/>
                </w:tcPr>
                <w:p w14:paraId="122F47DC">
                  <w:pPr>
                    <w:pStyle w:val="42"/>
                    <w:bidi w:val="0"/>
                    <w:rPr>
                      <w:rFonts w:hint="default"/>
                      <w:lang w:val="en-US" w:eastAsia="zh-CN"/>
                    </w:rPr>
                  </w:pPr>
                  <w:r>
                    <w:rPr>
                      <w:rFonts w:hint="eastAsia"/>
                      <w:lang w:val="en-US" w:eastAsia="zh-CN"/>
                    </w:rPr>
                    <w:t>无害化处理厂房内除冷库、破碎间、危废库的其他区域及车辆烘干房</w:t>
                  </w:r>
                </w:p>
              </w:tc>
              <w:tc>
                <w:tcPr>
                  <w:tcW w:w="3507" w:type="pct"/>
                  <w:tcBorders>
                    <w:tl2br w:val="nil"/>
                    <w:tr2bl w:val="nil"/>
                  </w:tcBorders>
                  <w:noWrap w:val="0"/>
                  <w:vAlign w:val="center"/>
                </w:tcPr>
                <w:p w14:paraId="58352260">
                  <w:pPr>
                    <w:pStyle w:val="42"/>
                    <w:bidi w:val="0"/>
                    <w:rPr>
                      <w:rFonts w:hint="default"/>
                    </w:rPr>
                  </w:pPr>
                  <w:r>
                    <w:rPr>
                      <w:rFonts w:hint="default"/>
                    </w:rPr>
                    <w:t>按照《一般工业固体废物贮存和填埋污染控制标准》（GB18599-2020）要求进行设置：地面硬化，确保基础防渗性能不低于1.5米厚粘土层（渗透系数≤10-7cm/s）</w:t>
                  </w:r>
                </w:p>
              </w:tc>
            </w:tr>
            <w:tr w14:paraId="67BC9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495" w:type="pct"/>
                  <w:tcBorders>
                    <w:tl2br w:val="nil"/>
                    <w:tr2bl w:val="nil"/>
                  </w:tcBorders>
                  <w:noWrap w:val="0"/>
                  <w:vAlign w:val="center"/>
                </w:tcPr>
                <w:p w14:paraId="3E7F9D4A">
                  <w:pPr>
                    <w:pStyle w:val="42"/>
                    <w:bidi w:val="0"/>
                    <w:rPr>
                      <w:rFonts w:hint="default"/>
                    </w:rPr>
                  </w:pPr>
                  <w:r>
                    <w:rPr>
                      <w:rFonts w:hint="default"/>
                    </w:rPr>
                    <w:t>重点</w:t>
                  </w:r>
                  <w:r>
                    <w:rPr>
                      <w:rFonts w:hint="default"/>
                      <w:lang w:val="en-US" w:eastAsia="zh-CN"/>
                    </w:rPr>
                    <w:t>防渗</w:t>
                  </w:r>
                  <w:r>
                    <w:rPr>
                      <w:rFonts w:hint="default"/>
                    </w:rPr>
                    <w:t>区</w:t>
                  </w:r>
                </w:p>
              </w:tc>
              <w:tc>
                <w:tcPr>
                  <w:tcW w:w="997" w:type="pct"/>
                  <w:tcBorders>
                    <w:tl2br w:val="nil"/>
                    <w:tr2bl w:val="nil"/>
                  </w:tcBorders>
                  <w:noWrap w:val="0"/>
                  <w:vAlign w:val="center"/>
                </w:tcPr>
                <w:p w14:paraId="560030CE">
                  <w:pPr>
                    <w:pStyle w:val="42"/>
                    <w:bidi w:val="0"/>
                    <w:rPr>
                      <w:rFonts w:hint="default"/>
                      <w:lang w:val="en-US" w:eastAsia="zh-CN"/>
                    </w:rPr>
                  </w:pPr>
                  <w:r>
                    <w:rPr>
                      <w:rFonts w:hint="eastAsia"/>
                      <w:lang w:val="en-US" w:eastAsia="zh-CN"/>
                    </w:rPr>
                    <w:t>冷库、破碎间、消毒池、黑膜厌氧池、危废库</w:t>
                  </w:r>
                </w:p>
              </w:tc>
              <w:tc>
                <w:tcPr>
                  <w:tcW w:w="3507" w:type="pct"/>
                  <w:tcBorders>
                    <w:tl2br w:val="nil"/>
                    <w:tr2bl w:val="nil"/>
                  </w:tcBorders>
                  <w:noWrap w:val="0"/>
                  <w:vAlign w:val="center"/>
                </w:tcPr>
                <w:p w14:paraId="1D0737F6">
                  <w:pPr>
                    <w:pStyle w:val="42"/>
                    <w:bidi w:val="0"/>
                    <w:rPr>
                      <w:rFonts w:hint="default"/>
                    </w:rPr>
                  </w:pPr>
                  <w:r>
                    <w:rPr>
                      <w:rFonts w:hint="default"/>
                    </w:rPr>
                    <w:t>按照《危险废物贮存污染控制标准》（GB18597-2023）标准进行设置：基础防渗，采用至少1m厚黏土层（渗透系数不大于10-7cm/s），或至少2mm厚高密度聚乙烯膜等人工防渗材料（渗透系数不大于10-10cm/s），或其他防渗性能等效的材料</w:t>
                  </w:r>
                  <w:r>
                    <w:rPr>
                      <w:rFonts w:hint="eastAsia"/>
                      <w:lang w:eastAsia="zh-CN"/>
                    </w:rPr>
                    <w:t>。</w:t>
                  </w:r>
                  <w:r>
                    <w:rPr>
                      <w:rFonts w:hint="eastAsia"/>
                      <w:lang w:val="en-US" w:eastAsia="zh-CN"/>
                    </w:rPr>
                    <w:t>同时</w:t>
                  </w:r>
                  <w:r>
                    <w:rPr>
                      <w:rFonts w:hint="default"/>
                      <w:lang w:eastAsia="zh-CN"/>
                    </w:rPr>
                    <w:t>储罐周边建设围堰，且采用双层罐</w:t>
                  </w:r>
                </w:p>
              </w:tc>
            </w:tr>
          </w:tbl>
          <w:p w14:paraId="4BEED8ED">
            <w:pPr>
              <w:ind w:firstLine="480"/>
              <w:rPr>
                <w:rFonts w:hint="eastAsia" w:eastAsia="宋体"/>
              </w:rPr>
            </w:pPr>
            <w:r>
              <w:rPr>
                <w:rFonts w:hint="default" w:ascii="Times New Roman" w:hAnsi="Times New Roman" w:cs="Times New Roman"/>
                <w:color w:val="000000"/>
                <w:spacing w:val="-2"/>
                <w:sz w:val="24"/>
                <w:szCs w:val="24"/>
                <w:u w:val="none"/>
              </w:rPr>
              <w:t>由污染途径及对应措施分析可知，项目对可能产生地下水影响的各项途径均进行有效预防，在确保各项防渗措施得以落实，并加强维护和厂区环境管理的前提下，可有效控制厂区内的废水污染物下渗现象，避免污染地下水，因此项目不会对区域地下水环境产生明显影响</w:t>
            </w:r>
            <w:r>
              <w:rPr>
                <w:rFonts w:hint="eastAsia" w:eastAsia="宋体"/>
              </w:rPr>
              <w:t>。</w:t>
            </w:r>
          </w:p>
          <w:p w14:paraId="39846ABA">
            <w:pPr>
              <w:ind w:firstLine="480"/>
              <w:rPr>
                <w:rFonts w:hint="eastAsia"/>
                <w:lang w:eastAsia="zh-CN"/>
              </w:rPr>
            </w:pPr>
            <w:r>
              <w:rPr>
                <w:rFonts w:hint="eastAsia"/>
                <w:lang w:val="en-US" w:eastAsia="zh-CN"/>
              </w:rPr>
              <w:t>4、</w:t>
            </w:r>
            <w:r>
              <w:rPr>
                <w:rFonts w:hint="eastAsia"/>
                <w:lang w:eastAsia="zh-CN"/>
              </w:rPr>
              <w:t>监测计划</w:t>
            </w:r>
          </w:p>
          <w:p w14:paraId="5FA92699">
            <w:pPr>
              <w:ind w:left="0" w:leftChars="0" w:firstLine="480" w:firstLineChars="200"/>
              <w:rPr>
                <w:rFonts w:hint="eastAsia" w:eastAsia="宋体"/>
                <w:lang w:eastAsia="zh-CN"/>
              </w:rPr>
            </w:pPr>
            <w:r>
              <w:rPr>
                <w:color w:val="auto"/>
                <w:highlight w:val="none"/>
              </w:rPr>
              <w:t>根据《排污单位自行监测技术指南 总则》（HJ819-2017）</w:t>
            </w:r>
            <w:r>
              <w:rPr>
                <w:rFonts w:hint="eastAsia"/>
                <w:color w:val="auto"/>
                <w:highlight w:val="none"/>
                <w:lang w:eastAsia="zh-CN"/>
              </w:rPr>
              <w:t>、</w:t>
            </w:r>
            <w:r>
              <w:rPr>
                <w:rFonts w:ascii="Arial" w:hAnsi="Arial" w:eastAsia="Arial" w:cs="Arial"/>
                <w:i w:val="0"/>
                <w:iCs w:val="0"/>
                <w:caps w:val="0"/>
                <w:color w:val="333333"/>
                <w:spacing w:val="0"/>
                <w:sz w:val="24"/>
                <w:szCs w:val="24"/>
                <w:shd w:val="clear" w:fill="FFFFFF"/>
              </w:rPr>
              <w:t>《</w:t>
            </w:r>
            <w:r>
              <w:rPr>
                <w:color w:val="auto"/>
                <w:highlight w:val="none"/>
              </w:rPr>
              <w:t>地下水环境监测技术规范》（HJ 164-2020）制定本项目自行监测计划</w:t>
            </w:r>
            <w:r>
              <w:rPr>
                <w:rFonts w:hint="eastAsia"/>
                <w:color w:val="auto"/>
                <w:highlight w:val="none"/>
                <w:lang w:eastAsia="zh-CN"/>
              </w:rPr>
              <w:t>。</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3045"/>
              <w:gridCol w:w="2917"/>
              <w:gridCol w:w="1034"/>
            </w:tblGrid>
            <w:tr w14:paraId="0028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5" w:type="pct"/>
                  <w:noWrap w:val="0"/>
                  <w:vAlign w:val="center"/>
                </w:tcPr>
                <w:p w14:paraId="19AE29AE">
                  <w:pPr>
                    <w:pStyle w:val="42"/>
                    <w:bidi w:val="0"/>
                  </w:pPr>
                  <w:r>
                    <w:t>监测点位</w:t>
                  </w:r>
                </w:p>
              </w:tc>
              <w:tc>
                <w:tcPr>
                  <w:tcW w:w="1764" w:type="pct"/>
                  <w:noWrap w:val="0"/>
                  <w:vAlign w:val="center"/>
                </w:tcPr>
                <w:p w14:paraId="7CBE6AAC">
                  <w:pPr>
                    <w:pStyle w:val="42"/>
                    <w:bidi w:val="0"/>
                  </w:pPr>
                  <w:r>
                    <w:t>监测指标</w:t>
                  </w:r>
                </w:p>
              </w:tc>
              <w:tc>
                <w:tcPr>
                  <w:tcW w:w="1690" w:type="pct"/>
                  <w:noWrap w:val="0"/>
                  <w:vAlign w:val="center"/>
                </w:tcPr>
                <w:p w14:paraId="5DAE02CC">
                  <w:pPr>
                    <w:pStyle w:val="42"/>
                    <w:bidi w:val="0"/>
                  </w:pPr>
                  <w:r>
                    <w:t>执行标准</w:t>
                  </w:r>
                </w:p>
              </w:tc>
              <w:tc>
                <w:tcPr>
                  <w:tcW w:w="599" w:type="pct"/>
                  <w:noWrap w:val="0"/>
                  <w:vAlign w:val="center"/>
                </w:tcPr>
                <w:p w14:paraId="52D3B096">
                  <w:pPr>
                    <w:pStyle w:val="42"/>
                    <w:bidi w:val="0"/>
                  </w:pPr>
                  <w:r>
                    <w:t>最低监测频次</w:t>
                  </w:r>
                </w:p>
              </w:tc>
            </w:tr>
            <w:tr w14:paraId="6BEF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5" w:type="pct"/>
                  <w:noWrap w:val="0"/>
                  <w:vAlign w:val="center"/>
                </w:tcPr>
                <w:p w14:paraId="00D68F9A">
                  <w:pPr>
                    <w:pStyle w:val="42"/>
                    <w:bidi w:val="0"/>
                    <w:rPr>
                      <w:rFonts w:hint="eastAsia"/>
                      <w:lang w:eastAsia="zh-CN"/>
                    </w:rPr>
                  </w:pPr>
                  <w:r>
                    <w:rPr>
                      <w:rFonts w:hint="eastAsia"/>
                      <w:lang w:eastAsia="zh-CN"/>
                    </w:rPr>
                    <w:t>高车村柑橘林监测点</w:t>
                  </w:r>
                </w:p>
              </w:tc>
              <w:tc>
                <w:tcPr>
                  <w:tcW w:w="1764" w:type="pct"/>
                  <w:noWrap w:val="0"/>
                  <w:vAlign w:val="center"/>
                </w:tcPr>
                <w:p w14:paraId="41E7D1E8">
                  <w:pPr>
                    <w:pStyle w:val="42"/>
                    <w:bidi w:val="0"/>
                  </w:pPr>
                  <w:r>
                    <w:t>八大离子：K</w:t>
                  </w:r>
                  <w:r>
                    <w:rPr>
                      <w:vertAlign w:val="superscript"/>
                    </w:rPr>
                    <w:t>+</w:t>
                  </w:r>
                  <w:r>
                    <w:t>、Na</w:t>
                  </w:r>
                  <w:r>
                    <w:rPr>
                      <w:vertAlign w:val="superscript"/>
                    </w:rPr>
                    <w:t>+</w:t>
                  </w:r>
                  <w:r>
                    <w:t>、Ca</w:t>
                  </w:r>
                  <w:r>
                    <w:rPr>
                      <w:vertAlign w:val="superscript"/>
                    </w:rPr>
                    <w:t>2+</w:t>
                  </w:r>
                  <w:r>
                    <w:t>、Mg</w:t>
                  </w:r>
                  <w:r>
                    <w:rPr>
                      <w:vertAlign w:val="superscript"/>
                    </w:rPr>
                    <w:t>2+</w:t>
                  </w:r>
                  <w:r>
                    <w:t>、CO</w:t>
                  </w:r>
                  <w:r>
                    <w:rPr>
                      <w:vertAlign w:val="subscript"/>
                    </w:rPr>
                    <w:t>3</w:t>
                  </w:r>
                  <w:r>
                    <w:rPr>
                      <w:vertAlign w:val="superscript"/>
                    </w:rPr>
                    <w:t>2-</w:t>
                  </w:r>
                  <w:r>
                    <w:t>、HCO</w:t>
                  </w:r>
                  <w:r>
                    <w:rPr>
                      <w:vertAlign w:val="subscript"/>
                    </w:rPr>
                    <w:t>3</w:t>
                  </w:r>
                  <w:r>
                    <w:rPr>
                      <w:vertAlign w:val="superscript"/>
                    </w:rPr>
                    <w:t>-</w:t>
                  </w:r>
                  <w:r>
                    <w:t>、Cl</w:t>
                  </w:r>
                  <w:r>
                    <w:rPr>
                      <w:vertAlign w:val="superscript"/>
                    </w:rPr>
                    <w:t>-</w:t>
                  </w:r>
                  <w:r>
                    <w:t>、SO</w:t>
                  </w:r>
                  <w:r>
                    <w:rPr>
                      <w:vertAlign w:val="subscript"/>
                    </w:rPr>
                    <w:t>4</w:t>
                  </w:r>
                  <w:r>
                    <w:rPr>
                      <w:vertAlign w:val="superscript"/>
                    </w:rPr>
                    <w:t>2-</w:t>
                  </w:r>
                  <w:r>
                    <w:t>；</w:t>
                  </w:r>
                </w:p>
                <w:p w14:paraId="058F470B">
                  <w:pPr>
                    <w:pStyle w:val="42"/>
                    <w:bidi w:val="0"/>
                    <w:rPr>
                      <w:rFonts w:hint="eastAsia"/>
                      <w:lang w:val="en-US" w:eastAsia="zh-CN"/>
                    </w:rPr>
                  </w:pPr>
                  <w:r>
                    <w:t>基本水质因子：pH、氨氮、硝酸盐氮、亚硝酸盐氮、挥发性酚类、砷、汞、铬(六价)、总硬度、铅、氟化物、镉、铁、锰、铜、锌、溶解性总固体、高锰酸盐指数、总大肠菌群、细菌总数、硫酸盐、氯化物。</w:t>
                  </w:r>
                </w:p>
              </w:tc>
              <w:tc>
                <w:tcPr>
                  <w:tcW w:w="1690" w:type="pct"/>
                  <w:noWrap w:val="0"/>
                  <w:vAlign w:val="center"/>
                </w:tcPr>
                <w:p w14:paraId="17DBBCA8">
                  <w:pPr>
                    <w:pStyle w:val="42"/>
                    <w:bidi w:val="0"/>
                  </w:pPr>
                  <w:r>
                    <w:rPr>
                      <w:rFonts w:hint="default"/>
                    </w:rPr>
                    <w:t>地下水质量标准（GB/T 14848-2017)</w:t>
                  </w:r>
                </w:p>
              </w:tc>
              <w:tc>
                <w:tcPr>
                  <w:tcW w:w="599" w:type="pct"/>
                  <w:noWrap w:val="0"/>
                  <w:vAlign w:val="center"/>
                </w:tcPr>
                <w:p w14:paraId="0364063A">
                  <w:pPr>
                    <w:pStyle w:val="42"/>
                    <w:bidi w:val="0"/>
                  </w:pPr>
                  <w:r>
                    <w:t>1次/</w:t>
                  </w:r>
                  <w:r>
                    <w:rPr>
                      <w:rFonts w:hint="eastAsia"/>
                      <w:lang w:eastAsia="zh-CN"/>
                    </w:rPr>
                    <w:t>半</w:t>
                  </w:r>
                  <w:r>
                    <w:t>年</w:t>
                  </w:r>
                </w:p>
              </w:tc>
            </w:tr>
          </w:tbl>
          <w:p w14:paraId="6090286C">
            <w:pPr>
              <w:pStyle w:val="6"/>
              <w:numPr>
                <w:ilvl w:val="3"/>
                <w:numId w:val="0"/>
              </w:numPr>
              <w:bidi w:val="0"/>
              <w:ind w:left="0" w:leftChars="0" w:firstLine="0" w:firstLineChars="0"/>
              <w:rPr>
                <w:rFonts w:hint="eastAsia" w:eastAsia="宋体"/>
                <w:lang w:eastAsia="zh-CN"/>
              </w:rPr>
            </w:pPr>
            <w:r>
              <w:rPr>
                <w:rFonts w:hint="default" w:ascii="Times New Roman" w:hAnsi="Times New Roman" w:eastAsia="宋体" w:cs="Times New Roman"/>
                <w:b/>
                <w:i w:val="0"/>
                <w:kern w:val="2"/>
                <w:sz w:val="24"/>
                <w:szCs w:val="24"/>
                <w:lang w:val="en-US" w:eastAsia="zh-CN" w:bidi="ar-SA"/>
              </w:rPr>
              <w:t>4.9.2、</w:t>
            </w:r>
            <w:r>
              <w:rPr>
                <w:rFonts w:hint="eastAsia"/>
                <w:spacing w:val="-2"/>
                <w:sz w:val="24"/>
                <w:lang w:eastAsia="zh-CN"/>
              </w:rPr>
              <w:t>土壤</w:t>
            </w:r>
          </w:p>
          <w:p w14:paraId="12F6542D">
            <w:pPr>
              <w:pageBreakBefore w:val="0"/>
              <w:widowControl w:val="0"/>
              <w:kinsoku/>
              <w:wordWrap/>
              <w:overflowPunct/>
              <w:topLinePunct w:val="0"/>
              <w:bidi w:val="0"/>
              <w:spacing w:line="360" w:lineRule="auto"/>
              <w:ind w:left="0" w:firstLine="480" w:firstLineChars="200"/>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1、土壤环境影响评价项目类别的识别</w:t>
            </w:r>
          </w:p>
          <w:p w14:paraId="21234FA9">
            <w:pPr>
              <w:pageBreakBefore w:val="0"/>
              <w:widowControl w:val="0"/>
              <w:kinsoku/>
              <w:wordWrap/>
              <w:overflowPunct/>
              <w:topLinePunct w:val="0"/>
              <w:bidi w:val="0"/>
              <w:spacing w:line="360" w:lineRule="auto"/>
              <w:ind w:left="0" w:firstLine="480" w:firstLineChars="200"/>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根</w:t>
            </w:r>
            <w:r>
              <w:rPr>
                <w:rFonts w:hint="eastAsia" w:ascii="宋体" w:hAnsi="宋体" w:eastAsia="宋体" w:cs="宋体"/>
                <w:color w:val="000000"/>
                <w:sz w:val="24"/>
                <w:szCs w:val="24"/>
                <w:lang w:val="en-US" w:eastAsia="zh-CN"/>
              </w:rPr>
              <w:t>据《环境影响评价技术导则 土壤环境（试行）》</w:t>
            </w:r>
            <w:r>
              <w:rPr>
                <w:rFonts w:hint="default" w:ascii="Times New Roman" w:hAnsi="Times New Roman" w:eastAsia="宋体" w:cs="Times New Roman"/>
                <w:color w:val="000000"/>
                <w:sz w:val="24"/>
                <w:szCs w:val="24"/>
                <w:lang w:val="en-US" w:eastAsia="zh-CN"/>
              </w:rPr>
              <w:t>（HJ964</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2018</w:t>
            </w:r>
            <w:r>
              <w:rPr>
                <w:rFonts w:hint="eastAsia" w:ascii="宋体" w:hAnsi="宋体" w:eastAsia="宋体" w:cs="宋体"/>
                <w:color w:val="000000"/>
                <w:sz w:val="24"/>
                <w:szCs w:val="24"/>
                <w:lang w:val="en-US" w:eastAsia="zh-CN"/>
              </w:rPr>
              <w:t>）“</w:t>
            </w:r>
            <w:r>
              <w:rPr>
                <w:rFonts w:hint="default" w:ascii="Times New Roman" w:hAnsi="Times New Roman" w:eastAsia="宋体" w:cs="Times New Roman"/>
                <w:color w:val="000000"/>
                <w:sz w:val="24"/>
                <w:szCs w:val="24"/>
                <w:lang w:val="en-US" w:eastAsia="zh-CN"/>
              </w:rPr>
              <w:t>附录A</w:t>
            </w:r>
            <w:r>
              <w:rPr>
                <w:rFonts w:hint="eastAsia" w:ascii="Times New Roman" w:hAnsi="Times New Roman" w:eastAsia="宋体" w:cs="Times New Roman"/>
                <w:color w:val="000000"/>
                <w:sz w:val="24"/>
                <w:szCs w:val="24"/>
                <w:lang w:val="en-US" w:eastAsia="zh-CN"/>
              </w:rPr>
              <w:t>，表A.1</w:t>
            </w:r>
            <w:r>
              <w:rPr>
                <w:rFonts w:hint="default" w:ascii="Times New Roman" w:hAnsi="Times New Roman" w:eastAsia="宋体" w:cs="Times New Roman"/>
                <w:color w:val="000000"/>
                <w:sz w:val="24"/>
                <w:szCs w:val="24"/>
                <w:lang w:val="en-US" w:eastAsia="zh-CN"/>
              </w:rPr>
              <w:t>识别建设</w:t>
            </w:r>
            <w:r>
              <w:rPr>
                <w:rFonts w:hint="eastAsia" w:ascii="宋体" w:hAnsi="宋体" w:eastAsia="宋体" w:cs="宋体"/>
                <w:color w:val="000000"/>
                <w:sz w:val="24"/>
                <w:szCs w:val="24"/>
                <w:lang w:val="en-US" w:eastAsia="zh-CN"/>
              </w:rPr>
              <w:t>项目所属行业的土壤环境影响评价项目类别”对本项目类别进行识别。本项目国民行业经济代码</w:t>
            </w:r>
            <w:r>
              <w:rPr>
                <w:rFonts w:hint="default" w:ascii="Times New Roman" w:hAnsi="Times New Roman" w:eastAsia="宋体" w:cs="Times New Roman"/>
                <w:color w:val="000000"/>
                <w:sz w:val="24"/>
                <w:szCs w:val="24"/>
                <w:lang w:val="en-US" w:eastAsia="zh-CN"/>
              </w:rPr>
              <w:t>为“A0539其他畜牧专业及辅助性活动</w:t>
            </w:r>
            <w:r>
              <w:rPr>
                <w:rFonts w:hint="eastAsia" w:ascii="宋体" w:hAnsi="宋体" w:eastAsia="宋体" w:cs="宋体"/>
                <w:color w:val="000000"/>
                <w:sz w:val="24"/>
                <w:szCs w:val="24"/>
                <w:lang w:val="en-US" w:eastAsia="zh-CN"/>
              </w:rPr>
              <w:t>”</w:t>
            </w:r>
            <w:r>
              <w:rPr>
                <w:rFonts w:hint="default" w:ascii="Times New Roman" w:hAnsi="Times New Roman" w:cs="Times New Roman"/>
                <w:color w:val="000000"/>
                <w:sz w:val="24"/>
                <w:szCs w:val="24"/>
                <w:lang w:val="en-US" w:eastAsia="zh-CN"/>
              </w:rPr>
              <w:t>，查询附录A中</w:t>
            </w:r>
            <w:r>
              <w:rPr>
                <w:rFonts w:hint="eastAsia" w:ascii="宋体" w:hAnsi="宋体" w:eastAsia="宋体" w:cs="宋体"/>
                <w:color w:val="000000"/>
                <w:sz w:val="24"/>
                <w:szCs w:val="24"/>
                <w:lang w:val="en-US" w:eastAsia="zh-CN"/>
              </w:rPr>
              <w:t>“</w:t>
            </w:r>
            <w:r>
              <w:rPr>
                <w:rFonts w:hint="default" w:ascii="Times New Roman" w:hAnsi="Times New Roman" w:cs="Times New Roman"/>
                <w:color w:val="000000"/>
                <w:sz w:val="24"/>
                <w:szCs w:val="24"/>
                <w:lang w:val="en-US" w:eastAsia="zh-CN"/>
              </w:rPr>
              <w:t>表A.1 土壤环境影响评价项目类别</w:t>
            </w:r>
            <w:r>
              <w:rPr>
                <w:rFonts w:hint="eastAsia" w:ascii="宋体" w:hAnsi="宋体" w:eastAsia="宋体" w:cs="宋体"/>
                <w:color w:val="000000"/>
                <w:sz w:val="24"/>
                <w:szCs w:val="24"/>
                <w:lang w:val="en-US" w:eastAsia="zh-CN"/>
              </w:rPr>
              <w:t>”</w:t>
            </w:r>
            <w:r>
              <w:rPr>
                <w:rFonts w:hint="default" w:ascii="Times New Roman" w:hAnsi="Times New Roman" w:cs="Times New Roman"/>
                <w:color w:val="000000"/>
                <w:sz w:val="24"/>
                <w:szCs w:val="24"/>
                <w:lang w:val="en-US" w:eastAsia="zh-CN"/>
              </w:rPr>
              <w:t>，本项目</w:t>
            </w:r>
            <w:r>
              <w:rPr>
                <w:rFonts w:hint="default" w:ascii="Times New Roman" w:hAnsi="Times New Roman" w:cs="Times New Roman"/>
                <w:color w:val="000000"/>
                <w:kern w:val="2"/>
                <w:sz w:val="24"/>
                <w:szCs w:val="24"/>
                <w:lang w:val="en-US" w:eastAsia="zh-CN" w:bidi="ar-SA"/>
              </w:rPr>
              <w:t>本项目未在分类表中。</w:t>
            </w:r>
          </w:p>
          <w:p w14:paraId="04C2BE7F">
            <w:pPr>
              <w:pageBreakBefore w:val="0"/>
              <w:widowControl w:val="0"/>
              <w:kinsoku/>
              <w:wordWrap/>
              <w:overflowPunct/>
              <w:topLinePunct w:val="0"/>
              <w:bidi w:val="0"/>
              <w:spacing w:line="360" w:lineRule="auto"/>
              <w:ind w:left="0" w:firstLine="480" w:firstLineChars="200"/>
              <w:textAlignment w:val="auto"/>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参照</w:t>
            </w:r>
            <w:r>
              <w:rPr>
                <w:rFonts w:hint="eastAsia" w:ascii="宋体" w:hAnsi="宋体" w:eastAsia="宋体" w:cs="宋体"/>
                <w:color w:val="000000"/>
                <w:sz w:val="24"/>
                <w:szCs w:val="24"/>
                <w:lang w:val="en-US" w:eastAsia="zh-CN"/>
              </w:rPr>
              <w:t>“环境和公共设施管理业”中“一般工业固</w:t>
            </w:r>
            <w:r>
              <w:rPr>
                <w:rFonts w:hint="default" w:ascii="Times New Roman" w:hAnsi="Times New Roman" w:cs="Times New Roman"/>
                <w:color w:val="000000"/>
                <w:sz w:val="24"/>
                <w:szCs w:val="24"/>
                <w:lang w:val="en-US" w:eastAsia="zh-CN"/>
              </w:rPr>
              <w:t>体废物处置及综合利用（除采取填埋和焚烧方式以外的），为Ⅲ类项目</w:t>
            </w:r>
            <w:r>
              <w:rPr>
                <w:rFonts w:hint="eastAsia" w:ascii="Times New Roman" w:hAnsi="Times New Roman" w:cs="Times New Roman"/>
                <w:color w:val="000000"/>
                <w:sz w:val="24"/>
                <w:szCs w:val="24"/>
                <w:lang w:val="en-US" w:eastAsia="zh-CN"/>
              </w:rPr>
              <w:t>。</w:t>
            </w:r>
          </w:p>
          <w:p w14:paraId="5E163826">
            <w:pPr>
              <w:pageBreakBefore w:val="0"/>
              <w:widowControl w:val="0"/>
              <w:kinsoku/>
              <w:wordWrap/>
              <w:overflowPunct/>
              <w:topLinePunct w:val="0"/>
              <w:bidi w:val="0"/>
              <w:spacing w:line="360" w:lineRule="auto"/>
              <w:ind w:left="0" w:firstLine="480" w:firstLineChars="200"/>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2、土壤环境影响评价等级的确定</w:t>
            </w:r>
          </w:p>
          <w:p w14:paraId="1F4042F5">
            <w:pPr>
              <w:pageBreakBefore w:val="0"/>
              <w:widowControl w:val="0"/>
              <w:kinsoku/>
              <w:wordWrap/>
              <w:overflowPunct/>
              <w:topLinePunct w:val="0"/>
              <w:bidi w:val="0"/>
              <w:spacing w:line="360" w:lineRule="auto"/>
              <w:ind w:left="0" w:firstLine="480" w:firstLineChars="200"/>
              <w:textAlignment w:val="auto"/>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rPr>
              <w:t>依据《环境影响评价技术导则-</w:t>
            </w:r>
            <w:r>
              <w:rPr>
                <w:rFonts w:hint="default" w:ascii="Times New Roman" w:hAnsi="Times New Roman" w:cs="Times New Roman"/>
                <w:color w:val="000000"/>
                <w:sz w:val="24"/>
                <w:szCs w:val="24"/>
                <w:lang w:val="en-US" w:eastAsia="zh-CN"/>
              </w:rPr>
              <w:t>土壤</w:t>
            </w:r>
            <w:r>
              <w:rPr>
                <w:rFonts w:hint="default" w:ascii="Times New Roman" w:hAnsi="Times New Roman" w:cs="Times New Roman"/>
                <w:color w:val="000000"/>
                <w:sz w:val="24"/>
                <w:szCs w:val="24"/>
              </w:rPr>
              <w:t>环境</w:t>
            </w:r>
            <w:r>
              <w:rPr>
                <w:rFonts w:hint="eastAsia" w:ascii="宋体" w:hAnsi="宋体" w:eastAsia="宋体" w:cs="宋体"/>
                <w:color w:val="000000"/>
                <w:sz w:val="24"/>
                <w:szCs w:val="24"/>
                <w:lang w:val="en-US" w:eastAsia="zh-CN"/>
              </w:rPr>
              <w:t>（试行）</w:t>
            </w:r>
            <w:r>
              <w:rPr>
                <w:rFonts w:hint="default" w:ascii="Times New Roman" w:hAnsi="Times New Roman" w:cs="Times New Roman"/>
                <w:color w:val="000000"/>
                <w:sz w:val="24"/>
                <w:szCs w:val="24"/>
              </w:rPr>
              <w:t>》(HJ</w:t>
            </w:r>
            <w:r>
              <w:rPr>
                <w:rFonts w:hint="default" w:ascii="Times New Roman" w:hAnsi="Times New Roman" w:cs="Times New Roman"/>
                <w:color w:val="000000"/>
                <w:sz w:val="24"/>
                <w:szCs w:val="24"/>
                <w:lang w:val="en-US" w:eastAsia="zh-CN"/>
              </w:rPr>
              <w:t>964</w:t>
            </w:r>
            <w:r>
              <w:rPr>
                <w:rFonts w:hint="default" w:ascii="Times New Roman" w:hAnsi="Times New Roman" w:cs="Times New Roman"/>
                <w:color w:val="000000"/>
                <w:sz w:val="24"/>
                <w:szCs w:val="24"/>
              </w:rPr>
              <w:t>-2018)中</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6.2.2 污染影响型</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的相关内容进行分级。①根据</w:t>
            </w:r>
            <w:r>
              <w:rPr>
                <w:rFonts w:hint="eastAsia" w:ascii="宋体" w:hAnsi="宋体" w:eastAsia="宋体" w:cs="宋体"/>
                <w:color w:val="000000"/>
                <w:sz w:val="24"/>
                <w:szCs w:val="24"/>
                <w:lang w:val="en-US" w:eastAsia="zh-CN"/>
              </w:rPr>
              <w:t>“</w:t>
            </w:r>
            <w:r>
              <w:rPr>
                <w:rFonts w:hint="default" w:ascii="Times New Roman" w:hAnsi="Times New Roman" w:cs="Times New Roman"/>
                <w:color w:val="000000"/>
                <w:sz w:val="24"/>
                <w:szCs w:val="24"/>
                <w:lang w:val="en-US" w:eastAsia="zh-CN"/>
              </w:rPr>
              <w:t>6.2.2.1 将建设项目占地规模分为大型（≥50hm</w:t>
            </w:r>
            <w:r>
              <w:rPr>
                <w:rFonts w:hint="default" w:ascii="Times New Roman" w:hAnsi="Times New Roman" w:cs="Times New Roman"/>
                <w:color w:val="000000"/>
                <w:sz w:val="24"/>
                <w:szCs w:val="24"/>
                <w:vertAlign w:val="superscript"/>
                <w:lang w:val="en-US" w:eastAsia="zh-CN"/>
              </w:rPr>
              <w:t>2</w:t>
            </w:r>
            <w:r>
              <w:rPr>
                <w:rFonts w:hint="default" w:ascii="Times New Roman" w:hAnsi="Times New Roman" w:cs="Times New Roman"/>
                <w:color w:val="000000"/>
                <w:sz w:val="24"/>
                <w:szCs w:val="24"/>
                <w:lang w:val="en-US" w:eastAsia="zh-CN"/>
              </w:rPr>
              <w:t>）、中型（5~50hm</w:t>
            </w:r>
            <w:r>
              <w:rPr>
                <w:rFonts w:hint="default" w:ascii="Times New Roman" w:hAnsi="Times New Roman" w:cs="Times New Roman"/>
                <w:color w:val="000000"/>
                <w:sz w:val="24"/>
                <w:szCs w:val="24"/>
                <w:vertAlign w:val="superscript"/>
                <w:lang w:val="en-US" w:eastAsia="zh-CN"/>
              </w:rPr>
              <w:t>2</w:t>
            </w:r>
            <w:r>
              <w:rPr>
                <w:rFonts w:hint="default" w:ascii="Times New Roman" w:hAnsi="Times New Roman" w:cs="Times New Roman"/>
                <w:color w:val="000000"/>
                <w:sz w:val="24"/>
                <w:szCs w:val="24"/>
                <w:lang w:val="en-US" w:eastAsia="zh-CN"/>
              </w:rPr>
              <w:t>）、小型（≤5hm</w:t>
            </w:r>
            <w:r>
              <w:rPr>
                <w:rFonts w:hint="default" w:ascii="Times New Roman" w:hAnsi="Times New Roman" w:cs="Times New Roman"/>
                <w:color w:val="000000"/>
                <w:sz w:val="24"/>
                <w:szCs w:val="24"/>
                <w:vertAlign w:val="superscript"/>
                <w:lang w:val="en-US" w:eastAsia="zh-CN"/>
              </w:rPr>
              <w:t>2</w:t>
            </w:r>
            <w:r>
              <w:rPr>
                <w:rFonts w:hint="default" w:ascii="Times New Roman" w:hAnsi="Times New Roman" w:cs="Times New Roman"/>
                <w:color w:val="000000"/>
                <w:sz w:val="24"/>
                <w:szCs w:val="24"/>
                <w:lang w:val="en-US" w:eastAsia="zh-CN"/>
              </w:rPr>
              <w:t>），建设项目占地主要为永久占地</w:t>
            </w:r>
            <w:r>
              <w:rPr>
                <w:rFonts w:hint="eastAsia" w:ascii="宋体" w:hAnsi="宋体" w:eastAsia="宋体" w:cs="宋体"/>
                <w:color w:val="000000"/>
                <w:sz w:val="24"/>
                <w:szCs w:val="24"/>
                <w:lang w:val="en-US" w:eastAsia="zh-CN"/>
              </w:rPr>
              <w:t>”</w:t>
            </w:r>
            <w:r>
              <w:rPr>
                <w:rFonts w:hint="default" w:ascii="Times New Roman" w:hAnsi="Times New Roman" w:cs="Times New Roman"/>
                <w:color w:val="000000"/>
                <w:sz w:val="24"/>
                <w:szCs w:val="24"/>
                <w:lang w:val="en-US" w:eastAsia="zh-CN"/>
              </w:rPr>
              <w:t>可知，</w:t>
            </w:r>
            <w:r>
              <w:rPr>
                <w:rFonts w:hint="default" w:ascii="Times New Roman" w:hAnsi="Times New Roman" w:cs="Times New Roman"/>
                <w:color w:val="000000"/>
                <w:sz w:val="24"/>
                <w:szCs w:val="24"/>
                <w:highlight w:val="none"/>
                <w:lang w:val="en-US" w:eastAsia="zh-CN"/>
              </w:rPr>
              <w:t>本项目占地面积为</w:t>
            </w:r>
            <w:r>
              <w:rPr>
                <w:rFonts w:hint="eastAsia"/>
                <w:u w:val="single"/>
                <w:lang w:val="en-US" w:eastAsia="zh-CN"/>
              </w:rPr>
              <w:t>10430.52</w:t>
            </w:r>
            <w:r>
              <w:rPr>
                <w:rFonts w:hint="default" w:ascii="Times New Roman" w:hAnsi="Times New Roman" w:cs="Times New Roman"/>
                <w:color w:val="000000"/>
                <w:sz w:val="24"/>
                <w:szCs w:val="24"/>
                <w:highlight w:val="none"/>
                <w:lang w:val="en-US" w:eastAsia="zh-CN"/>
              </w:rPr>
              <w:t>m</w:t>
            </w:r>
            <w:r>
              <w:rPr>
                <w:rFonts w:hint="default" w:ascii="Times New Roman" w:hAnsi="Times New Roman" w:cs="Times New Roman"/>
                <w:color w:val="000000"/>
                <w:sz w:val="24"/>
                <w:szCs w:val="24"/>
                <w:highlight w:val="none"/>
                <w:vertAlign w:val="superscript"/>
                <w:lang w:val="en-US" w:eastAsia="zh-CN"/>
              </w:rPr>
              <w:t>2</w:t>
            </w:r>
            <w:r>
              <w:rPr>
                <w:rFonts w:hint="default" w:ascii="Times New Roman" w:hAnsi="Times New Roman" w:cs="Times New Roman"/>
                <w:color w:val="000000"/>
                <w:sz w:val="24"/>
                <w:szCs w:val="24"/>
                <w:highlight w:val="none"/>
                <w:lang w:val="en-US" w:eastAsia="zh-CN"/>
              </w:rPr>
              <w:t>，占地规模为：小型。</w:t>
            </w:r>
          </w:p>
          <w:p w14:paraId="0D05227D">
            <w:pPr>
              <w:pageBreakBefore w:val="0"/>
              <w:widowControl w:val="0"/>
              <w:kinsoku/>
              <w:wordWrap/>
              <w:overflowPunct/>
              <w:topLinePunct w:val="0"/>
              <w:bidi w:val="0"/>
              <w:spacing w:line="360" w:lineRule="auto"/>
              <w:ind w:left="0" w:firstLine="480" w:firstLineChars="200"/>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②根据“6.2.2.2 建设项目所在地周边的土壤环境敏感程度分为敏感、较敏感、不敏感”判别依据见下表：</w:t>
            </w:r>
          </w:p>
          <w:p w14:paraId="30A9E354">
            <w:pPr>
              <w:pStyle w:val="8"/>
              <w:numPr>
                <w:ilvl w:val="5"/>
                <w:numId w:val="0"/>
              </w:numPr>
              <w:bidi w:val="0"/>
              <w:ind w:leftChars="0"/>
              <w:jc w:val="center"/>
              <w:rPr>
                <w:rFonts w:hint="default"/>
                <w:lang w:val="en-US" w:eastAsia="zh-CN"/>
              </w:rPr>
            </w:pPr>
            <w:r>
              <w:rPr>
                <w:rFonts w:hint="default"/>
                <w:lang w:val="en-US" w:eastAsia="zh-CN"/>
              </w:rPr>
              <w:t>表</w:t>
            </w:r>
            <w:r>
              <w:rPr>
                <w:rFonts w:hint="eastAsia"/>
                <w:lang w:val="en-US" w:eastAsia="zh-CN"/>
              </w:rPr>
              <w:t>4-26</w:t>
            </w:r>
            <w:r>
              <w:rPr>
                <w:rFonts w:hint="default"/>
                <w:lang w:val="en-US" w:eastAsia="zh-CN"/>
              </w:rPr>
              <w:t xml:space="preserve"> 污染影响型敏感程度分级表</w:t>
            </w:r>
          </w:p>
          <w:tbl>
            <w:tblPr>
              <w:tblStyle w:val="26"/>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93"/>
              <w:gridCol w:w="6625"/>
            </w:tblGrid>
            <w:tr w14:paraId="5643B0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56" w:type="pct"/>
                  <w:tcBorders>
                    <w:tl2br w:val="nil"/>
                    <w:tr2bl w:val="nil"/>
                  </w:tcBorders>
                  <w:noWrap w:val="0"/>
                  <w:vAlign w:val="center"/>
                </w:tcPr>
                <w:p w14:paraId="18DBC9A2">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b/>
                      <w:bCs/>
                      <w:color w:val="000000"/>
                      <w:sz w:val="21"/>
                      <w:szCs w:val="21"/>
                      <w:lang w:val="en-US" w:eastAsia="zh-CN"/>
                    </w:rPr>
                  </w:pPr>
                  <w:r>
                    <w:rPr>
                      <w:rFonts w:hint="default" w:ascii="Times New Roman" w:hAnsi="Times New Roman" w:cs="Times New Roman"/>
                      <w:b/>
                      <w:bCs/>
                      <w:color w:val="000000"/>
                      <w:sz w:val="21"/>
                      <w:szCs w:val="21"/>
                      <w:lang w:val="en-US" w:eastAsia="zh-CN"/>
                    </w:rPr>
                    <w:t>敏感程度</w:t>
                  </w:r>
                </w:p>
              </w:tc>
              <w:tc>
                <w:tcPr>
                  <w:tcW w:w="3843" w:type="pct"/>
                  <w:tcBorders>
                    <w:tl2br w:val="nil"/>
                    <w:tr2bl w:val="nil"/>
                  </w:tcBorders>
                  <w:noWrap w:val="0"/>
                  <w:vAlign w:val="center"/>
                </w:tcPr>
                <w:p w14:paraId="39B4D861">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b/>
                      <w:bCs/>
                      <w:color w:val="000000"/>
                      <w:sz w:val="21"/>
                      <w:szCs w:val="21"/>
                      <w:lang w:val="en-US" w:eastAsia="zh-CN"/>
                    </w:rPr>
                  </w:pPr>
                  <w:r>
                    <w:rPr>
                      <w:rFonts w:hint="default" w:ascii="Times New Roman" w:hAnsi="Times New Roman" w:cs="Times New Roman"/>
                      <w:b/>
                      <w:bCs/>
                      <w:color w:val="000000"/>
                      <w:sz w:val="21"/>
                      <w:szCs w:val="21"/>
                      <w:lang w:val="en-US" w:eastAsia="zh-CN"/>
                    </w:rPr>
                    <w:t>判别依据</w:t>
                  </w:r>
                </w:p>
              </w:tc>
            </w:tr>
            <w:tr w14:paraId="558513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56" w:type="pct"/>
                  <w:tcBorders>
                    <w:tl2br w:val="nil"/>
                    <w:tr2bl w:val="nil"/>
                  </w:tcBorders>
                  <w:noWrap w:val="0"/>
                  <w:vAlign w:val="center"/>
                </w:tcPr>
                <w:p w14:paraId="1BD5B88C">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敏感</w:t>
                  </w:r>
                </w:p>
              </w:tc>
              <w:tc>
                <w:tcPr>
                  <w:tcW w:w="3843" w:type="pct"/>
                  <w:tcBorders>
                    <w:tl2br w:val="nil"/>
                    <w:tr2bl w:val="nil"/>
                  </w:tcBorders>
                  <w:noWrap w:val="0"/>
                  <w:vAlign w:val="center"/>
                </w:tcPr>
                <w:p w14:paraId="3327BDA2">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建设项目周边存在耕地、园地、牧草地、饮用水水源地或居民区、学校、医院、疗养院、养老院等土壤环境敏感目标的</w:t>
                  </w:r>
                </w:p>
              </w:tc>
            </w:tr>
            <w:tr w14:paraId="4D5CF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56" w:type="pct"/>
                  <w:tcBorders>
                    <w:tl2br w:val="nil"/>
                    <w:tr2bl w:val="nil"/>
                  </w:tcBorders>
                  <w:noWrap w:val="0"/>
                  <w:vAlign w:val="center"/>
                </w:tcPr>
                <w:p w14:paraId="48076A6E">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较敏感</w:t>
                  </w:r>
                </w:p>
              </w:tc>
              <w:tc>
                <w:tcPr>
                  <w:tcW w:w="3843" w:type="pct"/>
                  <w:tcBorders>
                    <w:tl2br w:val="nil"/>
                    <w:tr2bl w:val="nil"/>
                  </w:tcBorders>
                  <w:noWrap w:val="0"/>
                  <w:vAlign w:val="center"/>
                </w:tcPr>
                <w:p w14:paraId="2D450B96">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建设项目周边存在其他土壤环境敏感目标的</w:t>
                  </w:r>
                </w:p>
              </w:tc>
            </w:tr>
            <w:tr w14:paraId="006D71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56" w:type="pct"/>
                  <w:tcBorders>
                    <w:tl2br w:val="nil"/>
                    <w:tr2bl w:val="nil"/>
                  </w:tcBorders>
                  <w:noWrap w:val="0"/>
                  <w:vAlign w:val="center"/>
                </w:tcPr>
                <w:p w14:paraId="599F2A9D">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不敏感</w:t>
                  </w:r>
                </w:p>
              </w:tc>
              <w:tc>
                <w:tcPr>
                  <w:tcW w:w="3843" w:type="pct"/>
                  <w:tcBorders>
                    <w:tl2br w:val="nil"/>
                    <w:tr2bl w:val="nil"/>
                  </w:tcBorders>
                  <w:noWrap w:val="0"/>
                  <w:vAlign w:val="center"/>
                </w:tcPr>
                <w:p w14:paraId="1E065D97">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其他情况</w:t>
                  </w:r>
                </w:p>
              </w:tc>
            </w:tr>
          </w:tbl>
          <w:p w14:paraId="32A39C2E">
            <w:pPr>
              <w:pageBreakBefore w:val="0"/>
              <w:widowControl w:val="0"/>
              <w:kinsoku/>
              <w:wordWrap/>
              <w:overflowPunct/>
              <w:topLinePunct w:val="0"/>
              <w:bidi w:val="0"/>
              <w:spacing w:line="360" w:lineRule="auto"/>
              <w:ind w:left="0" w:firstLine="480" w:firstLineChars="200"/>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根据现场勘察，</w:t>
            </w:r>
            <w:r>
              <w:rPr>
                <w:rFonts w:hint="default" w:ascii="Times New Roman" w:hAnsi="Times New Roman" w:cs="Times New Roman"/>
                <w:color w:val="000000"/>
                <w:sz w:val="24"/>
                <w:szCs w:val="24"/>
                <w:highlight w:val="none"/>
                <w:lang w:val="en-US" w:eastAsia="zh-CN"/>
              </w:rPr>
              <w:t>本项目四周为</w:t>
            </w:r>
            <w:r>
              <w:rPr>
                <w:rFonts w:hint="eastAsia" w:ascii="Times New Roman" w:hAnsi="Times New Roman" w:cs="Times New Roman"/>
                <w:color w:val="000000"/>
                <w:sz w:val="24"/>
                <w:szCs w:val="24"/>
                <w:highlight w:val="none"/>
                <w:lang w:val="en-US" w:eastAsia="zh-CN"/>
              </w:rPr>
              <w:t>存在</w:t>
            </w:r>
            <w:r>
              <w:rPr>
                <w:rFonts w:hint="default" w:ascii="Times New Roman" w:hAnsi="Times New Roman" w:cs="Times New Roman"/>
                <w:color w:val="000000"/>
                <w:sz w:val="24"/>
                <w:szCs w:val="24"/>
                <w:highlight w:val="none"/>
                <w:lang w:val="en-US" w:eastAsia="zh-CN"/>
              </w:rPr>
              <w:t>耕地。</w:t>
            </w:r>
            <w:r>
              <w:rPr>
                <w:rFonts w:hint="default" w:ascii="Times New Roman" w:hAnsi="Times New Roman" w:cs="Times New Roman"/>
                <w:color w:val="000000"/>
                <w:sz w:val="24"/>
                <w:szCs w:val="24"/>
                <w:lang w:val="en-US" w:eastAsia="zh-CN"/>
              </w:rPr>
              <w:t>故建设项目所在地周边的土壤环境敏感程度为：敏感。</w:t>
            </w:r>
          </w:p>
          <w:p w14:paraId="594DDD92">
            <w:pPr>
              <w:pageBreakBefore w:val="0"/>
              <w:widowControl w:val="0"/>
              <w:kinsoku/>
              <w:wordWrap/>
              <w:overflowPunct/>
              <w:topLinePunct w:val="0"/>
              <w:bidi w:val="0"/>
              <w:spacing w:line="360" w:lineRule="auto"/>
              <w:ind w:left="0" w:firstLine="480" w:firstLineChars="200"/>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③</w:t>
            </w:r>
            <w:r>
              <w:rPr>
                <w:rFonts w:hint="eastAsia" w:ascii="宋体" w:hAnsi="宋体" w:eastAsia="宋体" w:cs="宋体"/>
                <w:color w:val="000000"/>
                <w:sz w:val="24"/>
                <w:szCs w:val="24"/>
                <w:lang w:val="en-US" w:eastAsia="zh-CN"/>
              </w:rPr>
              <w:t>“</w:t>
            </w:r>
            <w:r>
              <w:rPr>
                <w:rFonts w:hint="default" w:ascii="Times New Roman" w:hAnsi="Times New Roman" w:cs="Times New Roman"/>
                <w:color w:val="000000"/>
                <w:sz w:val="24"/>
                <w:szCs w:val="24"/>
                <w:lang w:val="en-US" w:eastAsia="zh-CN"/>
              </w:rPr>
              <w:t>6.2.2.3 根据土壤环境影响评价项目类别、占地规模与敏感程度划分评价工作等级</w:t>
            </w:r>
            <w:r>
              <w:rPr>
                <w:rFonts w:hint="eastAsia" w:ascii="宋体" w:hAnsi="宋体" w:eastAsia="宋体" w:cs="宋体"/>
                <w:color w:val="000000"/>
                <w:sz w:val="24"/>
                <w:szCs w:val="24"/>
                <w:lang w:val="en-US" w:eastAsia="zh-CN"/>
              </w:rPr>
              <w:t>”</w:t>
            </w:r>
            <w:r>
              <w:rPr>
                <w:rFonts w:hint="default" w:ascii="Times New Roman" w:hAnsi="Times New Roman" w:cs="Times New Roman"/>
                <w:color w:val="000000"/>
                <w:sz w:val="24"/>
                <w:szCs w:val="24"/>
                <w:lang w:val="en-US" w:eastAsia="zh-CN"/>
              </w:rPr>
              <w:t>，本项目等级划分下表：</w:t>
            </w:r>
          </w:p>
          <w:p w14:paraId="5D9119BD">
            <w:pPr>
              <w:pStyle w:val="8"/>
              <w:numPr>
                <w:ilvl w:val="5"/>
                <w:numId w:val="0"/>
              </w:numPr>
              <w:bidi w:val="0"/>
              <w:ind w:leftChars="0"/>
              <w:jc w:val="center"/>
              <w:rPr>
                <w:rFonts w:hint="default"/>
                <w:lang w:val="en-US" w:eastAsia="zh-CN"/>
              </w:rPr>
            </w:pPr>
            <w:r>
              <w:rPr>
                <w:rFonts w:hint="default"/>
                <w:lang w:val="en-US" w:eastAsia="zh-CN"/>
              </w:rPr>
              <w:t>表</w:t>
            </w:r>
            <w:r>
              <w:rPr>
                <w:rFonts w:hint="eastAsia"/>
                <w:lang w:val="en-US" w:eastAsia="zh-CN"/>
              </w:rPr>
              <w:t>4-27</w:t>
            </w:r>
            <w:r>
              <w:rPr>
                <w:rFonts w:hint="default"/>
                <w:lang w:val="en-US" w:eastAsia="zh-CN"/>
              </w:rPr>
              <w:t xml:space="preserve"> 污染影响型评价工作等级划分表</w:t>
            </w:r>
          </w:p>
          <w:tbl>
            <w:tblPr>
              <w:tblStyle w:val="26"/>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176"/>
              <w:gridCol w:w="712"/>
              <w:gridCol w:w="712"/>
              <w:gridCol w:w="721"/>
              <w:gridCol w:w="712"/>
              <w:gridCol w:w="712"/>
              <w:gridCol w:w="721"/>
              <w:gridCol w:w="712"/>
              <w:gridCol w:w="712"/>
              <w:gridCol w:w="728"/>
            </w:tblGrid>
            <w:tr w14:paraId="3AAD54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1262" w:type="pct"/>
                  <w:vMerge w:val="restart"/>
                  <w:tcBorders>
                    <w:tl2br w:val="nil"/>
                    <w:tr2bl w:val="nil"/>
                  </w:tcBorders>
                  <w:noWrap w:val="0"/>
                  <w:vAlign w:val="center"/>
                  <mc:AlternateContent>
                    <mc:Choice Requires="wpsCustomData">
                      <wpsCustomData:diagonals>
                        <wpsCustomData:diagonal from="30000" to="6600">
                          <wpsCustomData:border w:val="single" w:color="auto" w:sz="8" w:space="0"/>
                        </wpsCustomData:diagonal>
                        <wpsCustomData:diagonal from="13800" to="30000">
                          <wpsCustomData:border w:val="single" w:color="auto" w:sz="8" w:space="0"/>
                        </wpsCustomData:diagonal>
                      </wpsCustomData:diagonals>
                    </mc:Choice>
                  </mc:AlternateContent>
                </w:tcPr>
                <w:p w14:paraId="58ADA3DB">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b/>
                      <w:bCs/>
                      <w:color w:val="000000"/>
                      <w:sz w:val="21"/>
                      <w:szCs w:val="21"/>
                      <w:lang w:val="en-US" w:eastAsia="zh-CN"/>
                    </w:rPr>
                  </w:pPr>
                </w:p>
                <w:p w14:paraId="7C06D010">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b/>
                      <w:bCs/>
                      <w:color w:val="000000"/>
                      <w:sz w:val="21"/>
                      <w:szCs w:val="21"/>
                      <w:lang w:val="en-US" w:eastAsia="zh-CN"/>
                    </w:rPr>
                  </w:pPr>
                  <w:r>
                    <w:rPr>
                      <w:rFonts w:hint="default" w:ascii="Times New Roman" w:hAnsi="Times New Roman" w:cs="Times New Roman"/>
                      <w:b/>
                      <w:bCs/>
                      <w:color w:val="000000"/>
                      <w:sz w:val="21"/>
                      <w:szCs w:val="21"/>
                      <w:lang w:val="en-US" w:eastAsia="zh-CN"/>
                    </w:rPr>
                    <w:t>敏感</w:t>
                  </w:r>
                </w:p>
                <w:p w14:paraId="2463C3EE">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mc:AlternateContent>
                      <mc:Choice Requires="wpsCustomData">
                        <wpsCustomData:diagonalParaType/>
                      </mc:Choice>
                    </mc:AlternateContent>
                    <w:rPr>
                      <w:rFonts w:hint="default" w:ascii="Times New Roman" w:hAnsi="Times New Roman" w:cs="Times New Roman"/>
                      <w:b/>
                      <w:bCs/>
                      <w:color w:val="000000"/>
                      <w:sz w:val="21"/>
                      <w:szCs w:val="21"/>
                      <w:lang w:val="en-US" w:eastAsia="zh-CN"/>
                    </w:rPr>
                  </w:pPr>
                  <w:r>
                    <w:rPr>
                      <w:rFonts w:hint="default" w:ascii="Times New Roman" w:hAnsi="Times New Roman" w:cs="Times New Roman"/>
                      <w:b/>
                      <w:bCs/>
                      <w:color w:val="000000"/>
                      <w:sz w:val="21"/>
                      <w:szCs w:val="21"/>
                      <w:lang w:val="en-US" w:eastAsia="zh-CN"/>
                    </w:rPr>
                    <w:t>程度</w:t>
                  </w:r>
                </w:p>
                <w:p w14:paraId="2BE7FE73">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mc:AlternateContent>
                      <mc:Choice Requires="wpsCustomData">
                        <wpsCustomData:diagonalParaType/>
                      </mc:Choice>
                    </mc:AlternateContent>
                    <w:rPr>
                      <w:rFonts w:hint="default" w:ascii="Times New Roman" w:hAnsi="Times New Roman" w:cs="Times New Roman"/>
                      <w:b/>
                      <w:bCs/>
                      <w:color w:val="000000"/>
                      <w:sz w:val="21"/>
                      <w:szCs w:val="21"/>
                      <w:lang w:val="en-US" w:eastAsia="zh-CN"/>
                    </w:rPr>
                  </w:pPr>
                  <w:r>
                    <w:rPr>
                      <w:rFonts w:hint="default" w:ascii="Times New Roman" w:hAnsi="Times New Roman" w:cs="Times New Roman"/>
                      <w:b/>
                      <w:bCs/>
                      <w:color w:val="000000"/>
                      <w:sz w:val="21"/>
                      <w:szCs w:val="21"/>
                      <w:lang w:val="en-US" w:eastAsia="zh-CN"/>
                    </w:rPr>
                    <w:t>评价工作等级</w:t>
                  </w:r>
                </w:p>
                <w:p w14:paraId="205ECA46">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b/>
                      <w:bCs/>
                      <w:color w:val="000000"/>
                      <w:sz w:val="21"/>
                      <w:szCs w:val="21"/>
                      <w:lang w:val="en-US" w:eastAsia="zh-CN"/>
                    </w:rPr>
                  </w:pPr>
                  <w:r>
                    <w:rPr>
                      <w:rFonts w:hint="default" w:ascii="Times New Roman" w:hAnsi="Times New Roman" w:cs="Times New Roman"/>
                      <w:b/>
                      <w:bCs/>
                      <w:color w:val="000000"/>
                      <w:sz w:val="21"/>
                      <w:szCs w:val="21"/>
                      <w:lang w:val="en-US" w:eastAsia="zh-CN"/>
                    </w:rPr>
                    <w:t>占地规模</w:t>
                  </w:r>
                </w:p>
              </w:tc>
              <w:tc>
                <w:tcPr>
                  <w:tcW w:w="1244" w:type="pct"/>
                  <w:gridSpan w:val="3"/>
                  <w:tcBorders>
                    <w:tl2br w:val="nil"/>
                    <w:tr2bl w:val="nil"/>
                  </w:tcBorders>
                  <w:noWrap w:val="0"/>
                  <w:vAlign w:val="center"/>
                </w:tcPr>
                <w:p w14:paraId="033D81DE">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t>Ⅰ 类</w:t>
                  </w:r>
                </w:p>
              </w:tc>
              <w:tc>
                <w:tcPr>
                  <w:tcW w:w="1244" w:type="pct"/>
                  <w:gridSpan w:val="3"/>
                  <w:tcBorders>
                    <w:tl2br w:val="nil"/>
                    <w:tr2bl w:val="nil"/>
                  </w:tcBorders>
                  <w:noWrap w:val="0"/>
                  <w:vAlign w:val="center"/>
                </w:tcPr>
                <w:p w14:paraId="658078B6">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t>Ⅱ 类</w:t>
                  </w:r>
                </w:p>
              </w:tc>
              <w:tc>
                <w:tcPr>
                  <w:tcW w:w="1248" w:type="pct"/>
                  <w:gridSpan w:val="3"/>
                  <w:tcBorders>
                    <w:tl2br w:val="nil"/>
                    <w:tr2bl w:val="nil"/>
                  </w:tcBorders>
                  <w:noWrap w:val="0"/>
                  <w:vAlign w:val="center"/>
                </w:tcPr>
                <w:p w14:paraId="6279FFCC">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t>Ⅲ 类</w:t>
                  </w:r>
                </w:p>
              </w:tc>
            </w:tr>
            <w:tr w14:paraId="7F1CFF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9" w:hRule="atLeast"/>
                <w:jc w:val="center"/>
              </w:trPr>
              <w:tc>
                <w:tcPr>
                  <w:tcW w:w="1262" w:type="pct"/>
                  <w:vMerge w:val="continue"/>
                  <w:tcBorders>
                    <w:tl2br w:val="nil"/>
                    <w:tr2bl w:val="nil"/>
                  </w:tcBorders>
                  <w:noWrap w:val="0"/>
                  <w:vAlign w:val="center"/>
                </w:tcPr>
                <w:p w14:paraId="6821786D">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p>
              </w:tc>
              <w:tc>
                <w:tcPr>
                  <w:tcW w:w="413" w:type="pct"/>
                  <w:tcBorders>
                    <w:tl2br w:val="nil"/>
                    <w:tr2bl w:val="nil"/>
                  </w:tcBorders>
                  <w:noWrap w:val="0"/>
                  <w:vAlign w:val="center"/>
                </w:tcPr>
                <w:p w14:paraId="0F9D5416">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大</w:t>
                  </w:r>
                </w:p>
              </w:tc>
              <w:tc>
                <w:tcPr>
                  <w:tcW w:w="413" w:type="pct"/>
                  <w:tcBorders>
                    <w:tl2br w:val="nil"/>
                    <w:tr2bl w:val="nil"/>
                  </w:tcBorders>
                  <w:noWrap w:val="0"/>
                  <w:vAlign w:val="center"/>
                </w:tcPr>
                <w:p w14:paraId="392BE32A">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中</w:t>
                  </w:r>
                </w:p>
              </w:tc>
              <w:tc>
                <w:tcPr>
                  <w:tcW w:w="417" w:type="pct"/>
                  <w:tcBorders>
                    <w:tl2br w:val="nil"/>
                    <w:tr2bl w:val="nil"/>
                  </w:tcBorders>
                  <w:noWrap w:val="0"/>
                  <w:vAlign w:val="center"/>
                </w:tcPr>
                <w:p w14:paraId="1987BB32">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小</w:t>
                  </w:r>
                </w:p>
              </w:tc>
              <w:tc>
                <w:tcPr>
                  <w:tcW w:w="413" w:type="pct"/>
                  <w:tcBorders>
                    <w:tl2br w:val="nil"/>
                    <w:tr2bl w:val="nil"/>
                  </w:tcBorders>
                  <w:noWrap w:val="0"/>
                  <w:vAlign w:val="center"/>
                </w:tcPr>
                <w:p w14:paraId="27EA3B00">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b w:val="0"/>
                      <w:bCs w:val="0"/>
                      <w:color w:val="000000"/>
                      <w:sz w:val="21"/>
                      <w:szCs w:val="21"/>
                      <w:lang w:val="en-US" w:eastAsia="zh-CN"/>
                    </w:rPr>
                  </w:pPr>
                  <w:r>
                    <w:rPr>
                      <w:rFonts w:hint="default" w:ascii="Times New Roman" w:hAnsi="Times New Roman" w:cs="Times New Roman"/>
                      <w:color w:val="000000"/>
                      <w:sz w:val="21"/>
                      <w:szCs w:val="21"/>
                      <w:lang w:val="en-US" w:eastAsia="zh-CN"/>
                    </w:rPr>
                    <w:t>大</w:t>
                  </w:r>
                </w:p>
              </w:tc>
              <w:tc>
                <w:tcPr>
                  <w:tcW w:w="413" w:type="pct"/>
                  <w:tcBorders>
                    <w:tl2br w:val="nil"/>
                    <w:tr2bl w:val="nil"/>
                  </w:tcBorders>
                  <w:noWrap w:val="0"/>
                  <w:vAlign w:val="center"/>
                </w:tcPr>
                <w:p w14:paraId="6366C685">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中</w:t>
                  </w:r>
                </w:p>
              </w:tc>
              <w:tc>
                <w:tcPr>
                  <w:tcW w:w="417" w:type="pct"/>
                  <w:tcBorders>
                    <w:tl2br w:val="nil"/>
                    <w:tr2bl w:val="nil"/>
                  </w:tcBorders>
                  <w:noWrap w:val="0"/>
                  <w:vAlign w:val="center"/>
                </w:tcPr>
                <w:p w14:paraId="1423C3C5">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小</w:t>
                  </w:r>
                </w:p>
              </w:tc>
              <w:tc>
                <w:tcPr>
                  <w:tcW w:w="413" w:type="pct"/>
                  <w:tcBorders>
                    <w:tl2br w:val="nil"/>
                    <w:tr2bl w:val="nil"/>
                  </w:tcBorders>
                  <w:noWrap w:val="0"/>
                  <w:vAlign w:val="center"/>
                </w:tcPr>
                <w:p w14:paraId="6CEB67BB">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大</w:t>
                  </w:r>
                </w:p>
              </w:tc>
              <w:tc>
                <w:tcPr>
                  <w:tcW w:w="413" w:type="pct"/>
                  <w:tcBorders>
                    <w:tl2br w:val="nil"/>
                    <w:tr2bl w:val="nil"/>
                  </w:tcBorders>
                  <w:noWrap w:val="0"/>
                  <w:vAlign w:val="center"/>
                </w:tcPr>
                <w:p w14:paraId="1880A583">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中</w:t>
                  </w:r>
                </w:p>
              </w:tc>
              <w:tc>
                <w:tcPr>
                  <w:tcW w:w="421" w:type="pct"/>
                  <w:tcBorders>
                    <w:tl2br w:val="nil"/>
                    <w:tr2bl w:val="nil"/>
                  </w:tcBorders>
                  <w:noWrap w:val="0"/>
                  <w:vAlign w:val="center"/>
                </w:tcPr>
                <w:p w14:paraId="0967B9F0">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小</w:t>
                  </w:r>
                </w:p>
              </w:tc>
            </w:tr>
            <w:tr w14:paraId="7FDD1C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1262" w:type="pct"/>
                  <w:tcBorders>
                    <w:tl2br w:val="nil"/>
                    <w:tr2bl w:val="nil"/>
                  </w:tcBorders>
                  <w:shd w:val="clear" w:color="auto" w:fill="auto"/>
                  <w:noWrap w:val="0"/>
                  <w:vAlign w:val="center"/>
                </w:tcPr>
                <w:p w14:paraId="13D48C2E">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敏感</w:t>
                  </w:r>
                </w:p>
              </w:tc>
              <w:tc>
                <w:tcPr>
                  <w:tcW w:w="413" w:type="pct"/>
                  <w:tcBorders>
                    <w:tl2br w:val="nil"/>
                    <w:tr2bl w:val="nil"/>
                  </w:tcBorders>
                  <w:shd w:val="clear" w:color="auto" w:fill="auto"/>
                  <w:noWrap w:val="0"/>
                  <w:vAlign w:val="center"/>
                </w:tcPr>
                <w:p w14:paraId="653C66D6">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一级</w:t>
                  </w:r>
                </w:p>
              </w:tc>
              <w:tc>
                <w:tcPr>
                  <w:tcW w:w="413" w:type="pct"/>
                  <w:tcBorders>
                    <w:tl2br w:val="nil"/>
                    <w:tr2bl w:val="nil"/>
                  </w:tcBorders>
                  <w:shd w:val="clear" w:color="auto" w:fill="auto"/>
                  <w:noWrap w:val="0"/>
                  <w:vAlign w:val="center"/>
                </w:tcPr>
                <w:p w14:paraId="52FB1EE4">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一级</w:t>
                  </w:r>
                </w:p>
              </w:tc>
              <w:tc>
                <w:tcPr>
                  <w:tcW w:w="417" w:type="pct"/>
                  <w:tcBorders>
                    <w:tl2br w:val="nil"/>
                    <w:tr2bl w:val="nil"/>
                  </w:tcBorders>
                  <w:shd w:val="clear" w:color="auto" w:fill="auto"/>
                  <w:noWrap w:val="0"/>
                  <w:vAlign w:val="center"/>
                </w:tcPr>
                <w:p w14:paraId="7CB05A36">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一级</w:t>
                  </w:r>
                </w:p>
              </w:tc>
              <w:tc>
                <w:tcPr>
                  <w:tcW w:w="413" w:type="pct"/>
                  <w:tcBorders>
                    <w:tl2br w:val="nil"/>
                    <w:tr2bl w:val="nil"/>
                  </w:tcBorders>
                  <w:shd w:val="clear" w:color="auto" w:fill="auto"/>
                  <w:noWrap w:val="0"/>
                  <w:vAlign w:val="center"/>
                </w:tcPr>
                <w:p w14:paraId="33004EB8">
                  <w:pPr>
                    <w:keepNext/>
                    <w:keepLines/>
                    <w:pageBreakBefore w:val="0"/>
                    <w:widowControl w:val="0"/>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二级</w:t>
                  </w:r>
                </w:p>
              </w:tc>
              <w:tc>
                <w:tcPr>
                  <w:tcW w:w="413" w:type="pct"/>
                  <w:tcBorders>
                    <w:tl2br w:val="nil"/>
                    <w:tr2bl w:val="nil"/>
                  </w:tcBorders>
                  <w:shd w:val="clear" w:color="auto" w:fill="auto"/>
                  <w:noWrap w:val="0"/>
                  <w:vAlign w:val="center"/>
                </w:tcPr>
                <w:p w14:paraId="5492C43F">
                  <w:pPr>
                    <w:keepNext/>
                    <w:keepLines/>
                    <w:pageBreakBefore w:val="0"/>
                    <w:widowControl w:val="0"/>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二级</w:t>
                  </w:r>
                </w:p>
              </w:tc>
              <w:tc>
                <w:tcPr>
                  <w:tcW w:w="417" w:type="pct"/>
                  <w:tcBorders>
                    <w:tl2br w:val="nil"/>
                    <w:tr2bl w:val="nil"/>
                  </w:tcBorders>
                  <w:shd w:val="clear" w:color="auto" w:fill="auto"/>
                  <w:noWrap w:val="0"/>
                  <w:vAlign w:val="center"/>
                </w:tcPr>
                <w:p w14:paraId="371C9FBA">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二级</w:t>
                  </w:r>
                </w:p>
              </w:tc>
              <w:tc>
                <w:tcPr>
                  <w:tcW w:w="413" w:type="pct"/>
                  <w:tcBorders>
                    <w:tl2br w:val="nil"/>
                    <w:tr2bl w:val="nil"/>
                  </w:tcBorders>
                  <w:shd w:val="clear" w:color="auto" w:fill="auto"/>
                  <w:noWrap w:val="0"/>
                  <w:vAlign w:val="center"/>
                </w:tcPr>
                <w:p w14:paraId="53C95116">
                  <w:pPr>
                    <w:keepNext/>
                    <w:keepLines/>
                    <w:pageBreakBefore w:val="0"/>
                    <w:widowControl w:val="0"/>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三级</w:t>
                  </w:r>
                </w:p>
              </w:tc>
              <w:tc>
                <w:tcPr>
                  <w:tcW w:w="413" w:type="pct"/>
                  <w:tcBorders>
                    <w:tl2br w:val="nil"/>
                    <w:tr2bl w:val="nil"/>
                  </w:tcBorders>
                  <w:shd w:val="clear" w:color="auto" w:fill="auto"/>
                  <w:noWrap w:val="0"/>
                  <w:vAlign w:val="center"/>
                </w:tcPr>
                <w:p w14:paraId="55D34A7E">
                  <w:pPr>
                    <w:keepNext/>
                    <w:keepLines/>
                    <w:pageBreakBefore w:val="0"/>
                    <w:widowControl w:val="0"/>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三级</w:t>
                  </w:r>
                </w:p>
              </w:tc>
              <w:tc>
                <w:tcPr>
                  <w:tcW w:w="421" w:type="pct"/>
                  <w:tcBorders>
                    <w:tl2br w:val="nil"/>
                    <w:tr2bl w:val="nil"/>
                  </w:tcBorders>
                  <w:shd w:val="clear" w:color="auto" w:fill="4F81BD"/>
                  <w:noWrap w:val="0"/>
                  <w:vAlign w:val="center"/>
                </w:tcPr>
                <w:p w14:paraId="420377B8">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三级</w:t>
                  </w:r>
                </w:p>
              </w:tc>
            </w:tr>
            <w:tr w14:paraId="6C2AE0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1262" w:type="pct"/>
                  <w:tcBorders>
                    <w:tl2br w:val="nil"/>
                    <w:tr2bl w:val="nil"/>
                  </w:tcBorders>
                  <w:noWrap w:val="0"/>
                  <w:vAlign w:val="center"/>
                </w:tcPr>
                <w:p w14:paraId="648D273A">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较敏感</w:t>
                  </w:r>
                </w:p>
              </w:tc>
              <w:tc>
                <w:tcPr>
                  <w:tcW w:w="413" w:type="pct"/>
                  <w:tcBorders>
                    <w:tl2br w:val="nil"/>
                    <w:tr2bl w:val="nil"/>
                  </w:tcBorders>
                  <w:noWrap w:val="0"/>
                  <w:vAlign w:val="center"/>
                </w:tcPr>
                <w:p w14:paraId="3F256CEB">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一级</w:t>
                  </w:r>
                </w:p>
              </w:tc>
              <w:tc>
                <w:tcPr>
                  <w:tcW w:w="413" w:type="pct"/>
                  <w:tcBorders>
                    <w:tl2br w:val="nil"/>
                    <w:tr2bl w:val="nil"/>
                  </w:tcBorders>
                  <w:noWrap w:val="0"/>
                  <w:vAlign w:val="center"/>
                </w:tcPr>
                <w:p w14:paraId="6B63D9E9">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一级</w:t>
                  </w:r>
                </w:p>
              </w:tc>
              <w:tc>
                <w:tcPr>
                  <w:tcW w:w="417" w:type="pct"/>
                  <w:tcBorders>
                    <w:tl2br w:val="nil"/>
                    <w:tr2bl w:val="nil"/>
                  </w:tcBorders>
                  <w:noWrap w:val="0"/>
                  <w:vAlign w:val="center"/>
                </w:tcPr>
                <w:p w14:paraId="76AD4641">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二级</w:t>
                  </w:r>
                </w:p>
              </w:tc>
              <w:tc>
                <w:tcPr>
                  <w:tcW w:w="413" w:type="pct"/>
                  <w:tcBorders>
                    <w:tl2br w:val="nil"/>
                    <w:tr2bl w:val="nil"/>
                  </w:tcBorders>
                  <w:noWrap w:val="0"/>
                  <w:vAlign w:val="center"/>
                </w:tcPr>
                <w:p w14:paraId="2C1C749A">
                  <w:pPr>
                    <w:keepNext/>
                    <w:keepLines/>
                    <w:pageBreakBefore w:val="0"/>
                    <w:widowControl w:val="0"/>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二级</w:t>
                  </w:r>
                </w:p>
              </w:tc>
              <w:tc>
                <w:tcPr>
                  <w:tcW w:w="413" w:type="pct"/>
                  <w:tcBorders>
                    <w:tl2br w:val="nil"/>
                    <w:tr2bl w:val="nil"/>
                  </w:tcBorders>
                  <w:noWrap w:val="0"/>
                  <w:vAlign w:val="center"/>
                </w:tcPr>
                <w:p w14:paraId="0E338DB9">
                  <w:pPr>
                    <w:keepNext/>
                    <w:keepLines/>
                    <w:pageBreakBefore w:val="0"/>
                    <w:widowControl w:val="0"/>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二级</w:t>
                  </w:r>
                </w:p>
              </w:tc>
              <w:tc>
                <w:tcPr>
                  <w:tcW w:w="417" w:type="pct"/>
                  <w:tcBorders>
                    <w:tl2br w:val="nil"/>
                    <w:tr2bl w:val="nil"/>
                  </w:tcBorders>
                  <w:noWrap w:val="0"/>
                  <w:vAlign w:val="center"/>
                </w:tcPr>
                <w:p w14:paraId="557772B9">
                  <w:pPr>
                    <w:keepNext/>
                    <w:keepLines/>
                    <w:pageBreakBefore w:val="0"/>
                    <w:widowControl w:val="0"/>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三级</w:t>
                  </w:r>
                </w:p>
              </w:tc>
              <w:tc>
                <w:tcPr>
                  <w:tcW w:w="413" w:type="pct"/>
                  <w:tcBorders>
                    <w:tl2br w:val="nil"/>
                    <w:tr2bl w:val="nil"/>
                  </w:tcBorders>
                  <w:noWrap w:val="0"/>
                  <w:vAlign w:val="center"/>
                </w:tcPr>
                <w:p w14:paraId="03DA91DA">
                  <w:pPr>
                    <w:keepNext/>
                    <w:keepLines/>
                    <w:pageBreakBefore w:val="0"/>
                    <w:widowControl w:val="0"/>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三级</w:t>
                  </w:r>
                </w:p>
              </w:tc>
              <w:tc>
                <w:tcPr>
                  <w:tcW w:w="413" w:type="pct"/>
                  <w:tcBorders>
                    <w:tl2br w:val="nil"/>
                    <w:tr2bl w:val="nil"/>
                  </w:tcBorders>
                  <w:noWrap w:val="0"/>
                  <w:vAlign w:val="center"/>
                </w:tcPr>
                <w:p w14:paraId="33086F34">
                  <w:pPr>
                    <w:keepNext/>
                    <w:keepLines/>
                    <w:pageBreakBefore w:val="0"/>
                    <w:widowControl w:val="0"/>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三级</w:t>
                  </w:r>
                </w:p>
              </w:tc>
              <w:tc>
                <w:tcPr>
                  <w:tcW w:w="421" w:type="pct"/>
                  <w:tcBorders>
                    <w:tl2br w:val="nil"/>
                    <w:tr2bl w:val="nil"/>
                  </w:tcBorders>
                  <w:noWrap w:val="0"/>
                  <w:vAlign w:val="center"/>
                </w:tcPr>
                <w:p w14:paraId="171798A5">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w:t>
                  </w:r>
                </w:p>
              </w:tc>
            </w:tr>
            <w:tr w14:paraId="33FCBE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1" w:hRule="atLeast"/>
                <w:jc w:val="center"/>
              </w:trPr>
              <w:tc>
                <w:tcPr>
                  <w:tcW w:w="1262" w:type="pct"/>
                  <w:tcBorders>
                    <w:tl2br w:val="nil"/>
                    <w:tr2bl w:val="nil"/>
                  </w:tcBorders>
                  <w:noWrap w:val="0"/>
                  <w:vAlign w:val="center"/>
                </w:tcPr>
                <w:p w14:paraId="22E847A7">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不敏感</w:t>
                  </w:r>
                </w:p>
              </w:tc>
              <w:tc>
                <w:tcPr>
                  <w:tcW w:w="413" w:type="pct"/>
                  <w:tcBorders>
                    <w:tl2br w:val="nil"/>
                    <w:tr2bl w:val="nil"/>
                  </w:tcBorders>
                  <w:noWrap w:val="0"/>
                  <w:vAlign w:val="center"/>
                </w:tcPr>
                <w:p w14:paraId="46092FF0">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一级</w:t>
                  </w:r>
                </w:p>
              </w:tc>
              <w:tc>
                <w:tcPr>
                  <w:tcW w:w="413" w:type="pct"/>
                  <w:tcBorders>
                    <w:tl2br w:val="nil"/>
                    <w:tr2bl w:val="nil"/>
                  </w:tcBorders>
                  <w:noWrap w:val="0"/>
                  <w:vAlign w:val="center"/>
                </w:tcPr>
                <w:p w14:paraId="0687B973">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二级</w:t>
                  </w:r>
                </w:p>
              </w:tc>
              <w:tc>
                <w:tcPr>
                  <w:tcW w:w="417" w:type="pct"/>
                  <w:tcBorders>
                    <w:tl2br w:val="nil"/>
                    <w:tr2bl w:val="nil"/>
                  </w:tcBorders>
                  <w:noWrap w:val="0"/>
                  <w:vAlign w:val="center"/>
                </w:tcPr>
                <w:p w14:paraId="58775794">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二级</w:t>
                  </w:r>
                </w:p>
              </w:tc>
              <w:tc>
                <w:tcPr>
                  <w:tcW w:w="413" w:type="pct"/>
                  <w:tcBorders>
                    <w:tl2br w:val="nil"/>
                    <w:tr2bl w:val="nil"/>
                  </w:tcBorders>
                  <w:noWrap w:val="0"/>
                  <w:vAlign w:val="center"/>
                </w:tcPr>
                <w:p w14:paraId="2145B616">
                  <w:pPr>
                    <w:keepNext/>
                    <w:keepLines/>
                    <w:pageBreakBefore w:val="0"/>
                    <w:widowControl w:val="0"/>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二级</w:t>
                  </w:r>
                </w:p>
              </w:tc>
              <w:tc>
                <w:tcPr>
                  <w:tcW w:w="413" w:type="pct"/>
                  <w:tcBorders>
                    <w:tl2br w:val="nil"/>
                    <w:tr2bl w:val="nil"/>
                  </w:tcBorders>
                  <w:noWrap w:val="0"/>
                  <w:vAlign w:val="center"/>
                </w:tcPr>
                <w:p w14:paraId="37697728">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三级</w:t>
                  </w:r>
                </w:p>
              </w:tc>
              <w:tc>
                <w:tcPr>
                  <w:tcW w:w="417" w:type="pct"/>
                  <w:tcBorders>
                    <w:tl2br w:val="nil"/>
                    <w:tr2bl w:val="nil"/>
                  </w:tcBorders>
                  <w:noWrap w:val="0"/>
                  <w:vAlign w:val="center"/>
                </w:tcPr>
                <w:p w14:paraId="49C746B1">
                  <w:pPr>
                    <w:keepNext/>
                    <w:keepLines/>
                    <w:pageBreakBefore w:val="0"/>
                    <w:widowControl w:val="0"/>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三级</w:t>
                  </w:r>
                </w:p>
              </w:tc>
              <w:tc>
                <w:tcPr>
                  <w:tcW w:w="413" w:type="pct"/>
                  <w:tcBorders>
                    <w:tl2br w:val="nil"/>
                    <w:tr2bl w:val="nil"/>
                  </w:tcBorders>
                  <w:noWrap w:val="0"/>
                  <w:vAlign w:val="center"/>
                </w:tcPr>
                <w:p w14:paraId="6F34329B">
                  <w:pPr>
                    <w:keepNext/>
                    <w:keepLines/>
                    <w:pageBreakBefore w:val="0"/>
                    <w:widowControl w:val="0"/>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三级</w:t>
                  </w:r>
                </w:p>
              </w:tc>
              <w:tc>
                <w:tcPr>
                  <w:tcW w:w="413" w:type="pct"/>
                  <w:tcBorders>
                    <w:tl2br w:val="nil"/>
                    <w:tr2bl w:val="nil"/>
                  </w:tcBorders>
                  <w:noWrap w:val="0"/>
                  <w:vAlign w:val="center"/>
                </w:tcPr>
                <w:p w14:paraId="13F628DB">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421" w:type="pct"/>
                  <w:tcBorders>
                    <w:tl2br w:val="nil"/>
                    <w:tr2bl w:val="nil"/>
                  </w:tcBorders>
                  <w:noWrap w:val="0"/>
                  <w:vAlign w:val="center"/>
                </w:tcPr>
                <w:p w14:paraId="2807A71C">
                  <w:pPr>
                    <w:pStyle w:val="17"/>
                    <w:keepNext/>
                    <w:keepLines/>
                    <w:pageBreakBefore w:val="0"/>
                    <w:widowControl w:val="0"/>
                    <w:tabs>
                      <w:tab w:val="left" w:pos="6105"/>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r>
          </w:tbl>
          <w:p w14:paraId="0B59268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根据以上分析可知，本项目为土壤环境影响评价等级为三级。</w:t>
            </w:r>
          </w:p>
          <w:p w14:paraId="3F7AF07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3、土壤环境影响途径</w:t>
            </w:r>
          </w:p>
          <w:p w14:paraId="7EB06A9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土壤污染的发生特征主要是与土壤的特殊地位和功能相联系的，通常土壤污染主要有人为影响和自然影响两大途径。</w:t>
            </w:r>
          </w:p>
          <w:p w14:paraId="3FC3A03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人为环境影响</w:t>
            </w:r>
          </w:p>
          <w:p w14:paraId="7B17E58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人为对土壤环境的影响主要有以下两个方面：</w:t>
            </w:r>
          </w:p>
          <w:p w14:paraId="6CA8770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微软雅黑" w:cs="Times New Roman"/>
                <w:color w:val="000000"/>
                <w:kern w:val="0"/>
                <w:sz w:val="24"/>
                <w:szCs w:val="24"/>
                <w:lang w:val="en-US" w:eastAsia="zh-CN" w:bidi="ar"/>
              </w:rPr>
              <w:t>①</w:t>
            </w:r>
            <w:r>
              <w:rPr>
                <w:rFonts w:hint="default" w:ascii="Times New Roman" w:hAnsi="Times New Roman" w:eastAsia="宋体" w:cs="Times New Roman"/>
                <w:color w:val="000000"/>
                <w:kern w:val="0"/>
                <w:sz w:val="24"/>
                <w:szCs w:val="24"/>
                <w:lang w:val="en-US" w:eastAsia="zh-CN" w:bidi="ar"/>
              </w:rPr>
              <w:t>土壤是农业生产的主要劳动对象和生产手段；为提高农产品的数量和质量，</w:t>
            </w:r>
          </w:p>
          <w:p w14:paraId="2FD1C3F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人们不断加大单位土壤面积上的施肥数量。随着有机肥、化肥以及农药的使用，大量污染物质进入土壤，并随之积累起来，这是土壤污染的主要途径。</w:t>
            </w:r>
          </w:p>
          <w:p w14:paraId="7233181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微软雅黑" w:cs="Times New Roman"/>
                <w:color w:val="000000"/>
                <w:kern w:val="0"/>
                <w:sz w:val="24"/>
                <w:szCs w:val="24"/>
                <w:lang w:val="en-US" w:eastAsia="zh-CN" w:bidi="ar"/>
              </w:rPr>
              <w:t>②</w:t>
            </w:r>
            <w:r>
              <w:rPr>
                <w:rFonts w:hint="default" w:ascii="Times New Roman" w:hAnsi="Times New Roman" w:eastAsia="宋体" w:cs="Times New Roman"/>
                <w:color w:val="000000"/>
                <w:kern w:val="0"/>
                <w:sz w:val="24"/>
                <w:szCs w:val="24"/>
                <w:lang w:val="en-US" w:eastAsia="zh-CN" w:bidi="ar"/>
              </w:rPr>
              <w:t>土壤作为废物（垃圾、废渣和污水等）的处理场所，尽管人们在废物处置过程中采取了一系列的保护措施，但还是会有部分有机和无机污染物质随之进入土壤。</w:t>
            </w:r>
          </w:p>
          <w:p w14:paraId="69C4999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自然环境影响</w:t>
            </w:r>
          </w:p>
          <w:p w14:paraId="68EA609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自然环境对土壤环境的影响主要有以下两个方面：</w:t>
            </w:r>
          </w:p>
          <w:p w14:paraId="672D12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微软雅黑" w:cs="Times New Roman"/>
                <w:color w:val="000000"/>
                <w:kern w:val="0"/>
                <w:sz w:val="24"/>
                <w:szCs w:val="24"/>
                <w:lang w:val="en-US" w:eastAsia="zh-CN" w:bidi="ar"/>
              </w:rPr>
              <w:t>①</w:t>
            </w:r>
            <w:r>
              <w:rPr>
                <w:rFonts w:hint="default" w:ascii="Times New Roman" w:hAnsi="Times New Roman" w:eastAsia="宋体" w:cs="Times New Roman"/>
                <w:color w:val="000000"/>
                <w:kern w:val="0"/>
                <w:sz w:val="24"/>
                <w:szCs w:val="24"/>
                <w:lang w:val="en-US" w:eastAsia="zh-CN" w:bidi="ar"/>
              </w:rPr>
              <w:t>土壤作为环境要素之一，因大气或水体中的污染物质的迁移转化，从而进入土壤，使土壤随之遭受污染；</w:t>
            </w:r>
          </w:p>
          <w:p w14:paraId="305742E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微软雅黑" w:cs="Times New Roman"/>
                <w:color w:val="000000"/>
                <w:kern w:val="0"/>
                <w:sz w:val="24"/>
                <w:szCs w:val="24"/>
                <w:lang w:val="en-US" w:eastAsia="zh-CN" w:bidi="ar"/>
              </w:rPr>
              <w:t>②</w:t>
            </w:r>
            <w:r>
              <w:rPr>
                <w:rFonts w:hint="default" w:ascii="Times New Roman" w:hAnsi="Times New Roman" w:eastAsia="宋体" w:cs="Times New Roman"/>
                <w:color w:val="000000"/>
                <w:kern w:val="0"/>
                <w:sz w:val="24"/>
                <w:szCs w:val="24"/>
                <w:lang w:val="en-US" w:eastAsia="zh-CN" w:bidi="ar"/>
              </w:rPr>
              <w:t>在自然界中某些元素的富集中心，往往自然扩散，使附近土壤中某些元素的含量超出一般土壤的含量范围，这类污染物质称为自然污染物；这也是土壤遭受污染的主要途径之一</w:t>
            </w:r>
            <w:r>
              <w:rPr>
                <w:rFonts w:hint="eastAsia" w:ascii="Times New Roman" w:hAnsi="Times New Roman" w:eastAsia="宋体" w:cs="Times New Roman"/>
                <w:color w:val="000000"/>
                <w:kern w:val="0"/>
                <w:sz w:val="24"/>
                <w:szCs w:val="24"/>
                <w:lang w:val="en-US" w:eastAsia="zh-CN" w:bidi="ar"/>
              </w:rPr>
              <w:t>。</w:t>
            </w:r>
          </w:p>
          <w:p w14:paraId="27FFA238">
            <w:pPr>
              <w:pStyle w:val="1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0" w:firstLineChars="200"/>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4、</w:t>
            </w:r>
            <w:r>
              <w:rPr>
                <w:rFonts w:hint="default" w:ascii="Times New Roman" w:hAnsi="Times New Roman" w:eastAsia="宋体" w:cs="Times New Roman"/>
                <w:b w:val="0"/>
                <w:bCs w:val="0"/>
                <w:color w:val="000000"/>
                <w:sz w:val="24"/>
                <w:szCs w:val="24"/>
                <w:lang w:val="en-US" w:eastAsia="zh-CN"/>
              </w:rPr>
              <w:t>土壤影响途径分析</w:t>
            </w:r>
          </w:p>
          <w:p w14:paraId="759D7354">
            <w:pPr>
              <w:pStyle w:val="1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0" w:firstLineChars="200"/>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本项目对土壤可能产生影响的途径主要为</w:t>
            </w:r>
            <w:r>
              <w:rPr>
                <w:rFonts w:hint="default" w:ascii="Times New Roman" w:hAnsi="Times New Roman" w:cs="Times New Roman"/>
                <w:b w:val="0"/>
                <w:bCs w:val="0"/>
                <w:color w:val="000000"/>
                <w:sz w:val="24"/>
                <w:szCs w:val="24"/>
                <w:lang w:val="en-US" w:eastAsia="zh-CN"/>
              </w:rPr>
              <w:t>废水收集和处理过程</w:t>
            </w:r>
            <w:r>
              <w:rPr>
                <w:rFonts w:hint="default" w:ascii="Times New Roman" w:hAnsi="Times New Roman" w:eastAsia="宋体" w:cs="Times New Roman"/>
                <w:b w:val="0"/>
                <w:bCs w:val="0"/>
                <w:color w:val="000000"/>
                <w:sz w:val="24"/>
                <w:szCs w:val="24"/>
                <w:lang w:val="en-US" w:eastAsia="zh-CN"/>
              </w:rPr>
              <w:t>未采取土壤保护措施或保护措施不当，会有部分污染物随着进入土壤。</w:t>
            </w:r>
          </w:p>
          <w:p w14:paraId="3700CC06">
            <w:pPr>
              <w:pStyle w:val="1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b w:val="0"/>
                <w:bCs w:val="0"/>
                <w:color w:val="000000"/>
                <w:sz w:val="24"/>
                <w:szCs w:val="24"/>
                <w:lang w:val="en-US" w:eastAsia="zh-CN"/>
              </w:rPr>
              <w:t>根据实际情况，</w:t>
            </w:r>
            <w:r>
              <w:rPr>
                <w:rFonts w:hint="default" w:ascii="Times New Roman" w:hAnsi="Times New Roman" w:cs="Times New Roman"/>
                <w:b w:val="0"/>
                <w:bCs w:val="0"/>
                <w:color w:val="000000"/>
                <w:sz w:val="24"/>
                <w:szCs w:val="24"/>
                <w:lang w:val="en-US" w:eastAsia="zh-CN"/>
              </w:rPr>
              <w:t>项目</w:t>
            </w:r>
            <w:r>
              <w:rPr>
                <w:rFonts w:hint="default" w:ascii="Times New Roman" w:hAnsi="Times New Roman" w:cs="Times New Roman"/>
                <w:color w:val="000000"/>
                <w:sz w:val="24"/>
                <w:szCs w:val="24"/>
                <w:lang w:val="en-US" w:eastAsia="zh-CN"/>
              </w:rPr>
              <w:t>厂区进行分区防渗，</w:t>
            </w:r>
            <w:r>
              <w:rPr>
                <w:rFonts w:hint="default" w:ascii="Times New Roman" w:hAnsi="Times New Roman" w:eastAsia="宋体" w:cs="Times New Roman"/>
                <w:color w:val="000000"/>
                <w:sz w:val="24"/>
                <w:szCs w:val="24"/>
              </w:rPr>
              <w:t>一般防渗区按照《一般工业固体贮存、处置场污染控制标准》（GB18599-2001）相关要求进行防渗，重点防渗区按《危险废物贮存污染控制标准》（GB18597-20</w:t>
            </w:r>
            <w:r>
              <w:rPr>
                <w:rFonts w:hint="eastAsia" w:ascii="Times New Roman" w:hAnsi="Times New Roman" w:eastAsia="宋体" w:cs="Times New Roman"/>
                <w:color w:val="000000"/>
                <w:sz w:val="24"/>
                <w:szCs w:val="24"/>
                <w:lang w:val="en-US" w:eastAsia="zh-CN"/>
              </w:rPr>
              <w:t>23</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eastAsia="zh-CN"/>
              </w:rPr>
              <w:t>相关</w:t>
            </w:r>
            <w:r>
              <w:rPr>
                <w:rFonts w:hint="default" w:ascii="Times New Roman" w:hAnsi="Times New Roman" w:eastAsia="宋体" w:cs="Times New Roman"/>
                <w:color w:val="000000"/>
                <w:sz w:val="24"/>
                <w:szCs w:val="24"/>
              </w:rPr>
              <w:t>要求进行防渗处理</w:t>
            </w:r>
            <w:r>
              <w:rPr>
                <w:rFonts w:hint="default" w:ascii="Times New Roman" w:hAnsi="Times New Roman" w:eastAsia="宋体" w:cs="Times New Roman"/>
                <w:color w:val="000000"/>
                <w:sz w:val="24"/>
                <w:szCs w:val="24"/>
                <w:lang w:eastAsia="zh-CN"/>
              </w:rPr>
              <w:t>。</w:t>
            </w:r>
          </w:p>
          <w:p w14:paraId="78612ED6">
            <w:pPr>
              <w:bidi w:val="0"/>
              <w:rPr>
                <w:rFonts w:hint="eastAsia"/>
                <w:lang w:val="en-US" w:eastAsia="zh-CN"/>
              </w:rPr>
            </w:pPr>
            <w:r>
              <w:rPr>
                <w:rFonts w:hint="default" w:ascii="Times New Roman" w:hAnsi="Times New Roman" w:eastAsia="宋体" w:cs="Times New Roman"/>
                <w:b w:val="0"/>
                <w:bCs w:val="0"/>
                <w:color w:val="000000"/>
                <w:sz w:val="24"/>
                <w:szCs w:val="24"/>
                <w:lang w:val="en-US" w:eastAsia="zh-CN"/>
              </w:rPr>
              <w:t>本项目设置有完善的</w:t>
            </w:r>
            <w:r>
              <w:rPr>
                <w:rFonts w:hint="default" w:ascii="Times New Roman" w:hAnsi="Times New Roman" w:cs="Times New Roman"/>
                <w:b w:val="0"/>
                <w:bCs w:val="0"/>
                <w:color w:val="000000"/>
                <w:sz w:val="24"/>
                <w:szCs w:val="24"/>
                <w:lang w:val="en-US" w:eastAsia="zh-CN"/>
              </w:rPr>
              <w:t>废水</w:t>
            </w:r>
            <w:r>
              <w:rPr>
                <w:rFonts w:hint="default" w:ascii="Times New Roman" w:hAnsi="Times New Roman" w:eastAsia="宋体" w:cs="Times New Roman"/>
                <w:b w:val="0"/>
                <w:bCs w:val="0"/>
                <w:color w:val="000000"/>
                <w:sz w:val="24"/>
                <w:szCs w:val="24"/>
                <w:lang w:val="en-US" w:eastAsia="zh-CN"/>
              </w:rPr>
              <w:t>收集系统，均采取严格的防渗防腐措施，防渗措施见地下水环境影响分析中处理措施，在落实好厂区防渗工作的前提下，项目生产过程对厂区及其周围土壤影响较小。</w:t>
            </w:r>
          </w:p>
          <w:p w14:paraId="1291C8A2">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4.10、</w:t>
            </w:r>
            <w:r>
              <w:t>生态环境影响分析</w:t>
            </w:r>
          </w:p>
          <w:p w14:paraId="29D557B9">
            <w:pPr>
              <w:keepNext w:val="0"/>
              <w:keepLines w:val="0"/>
              <w:widowControl/>
              <w:suppressLineNumbers w:val="0"/>
              <w:jc w:val="left"/>
            </w:pPr>
            <w:r>
              <w:rPr>
                <w:rFonts w:hint="eastAsia"/>
                <w:highlight w:val="none"/>
              </w:rPr>
              <w:t>本项目</w:t>
            </w:r>
            <w:r>
              <w:rPr>
                <w:rFonts w:hint="eastAsia" w:ascii="Times New Roman" w:hAnsi="Times New Roman" w:cs="Times New Roman"/>
                <w:kern w:val="2"/>
                <w:sz w:val="24"/>
                <w:szCs w:val="24"/>
                <w:highlight w:val="none"/>
                <w:lang w:val="en-US" w:bidi="ar-SA"/>
              </w:rPr>
              <w:t>桂林市全州县工业集中区综合产业园城西片区</w:t>
            </w:r>
            <w:r>
              <w:rPr>
                <w:rFonts w:ascii="Times New Roman" w:hAnsi="Times New Roman" w:eastAsia="宋体"/>
                <w:sz w:val="24"/>
              </w:rPr>
              <w:t>，现状为</w:t>
            </w:r>
            <w:r>
              <w:rPr>
                <w:rFonts w:hint="eastAsia" w:ascii="Times New Roman" w:hAnsi="Times New Roman" w:eastAsia="宋体"/>
                <w:sz w:val="24"/>
              </w:rPr>
              <w:t>公用设施用地</w:t>
            </w:r>
            <w:r>
              <w:rPr>
                <w:rFonts w:ascii="Times New Roman" w:hAnsi="Times New Roman" w:eastAsia="宋体"/>
                <w:sz w:val="24"/>
              </w:rPr>
              <w:t>，</w:t>
            </w:r>
            <w:r>
              <w:rPr>
                <w:rFonts w:hint="eastAsia"/>
                <w:sz w:val="24"/>
                <w:lang w:eastAsia="zh-CN"/>
              </w:rPr>
              <w:t>用地范围内不涉及生态环境保护目标</w:t>
            </w:r>
            <w:r>
              <w:rPr>
                <w:rFonts w:hint="eastAsia" w:ascii="宋体" w:hAnsi="宋体" w:eastAsia="宋体" w:cs="宋体"/>
                <w:sz w:val="24"/>
                <w:lang w:val="en-US" w:eastAsia="zh-CN"/>
              </w:rPr>
              <w:t>,</w:t>
            </w:r>
            <w:r>
              <w:rPr>
                <w:rFonts w:hint="eastAsia" w:ascii="宋体" w:hAnsi="宋体" w:eastAsia="宋体" w:cs="宋体"/>
                <w:color w:val="000000"/>
                <w:kern w:val="0"/>
                <w:sz w:val="24"/>
                <w:szCs w:val="24"/>
                <w:lang w:val="en-US" w:eastAsia="zh-CN" w:bidi="ar"/>
              </w:rPr>
              <w:t>无生态环境影响。</w:t>
            </w:r>
          </w:p>
          <w:p w14:paraId="65BBD467">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4.11、</w:t>
            </w:r>
            <w:r>
              <w:rPr>
                <w:rFonts w:hint="eastAsia"/>
              </w:rPr>
              <w:t>环境风险评价</w:t>
            </w:r>
          </w:p>
          <w:p w14:paraId="71D0721E">
            <w:pPr>
              <w:ind w:firstLine="480"/>
            </w:pPr>
            <w:r>
              <w:rPr>
                <w:rFonts w:hint="eastAsia"/>
              </w:rPr>
              <w:t>环境风险评价的目的是分析和预测建</w:t>
            </w:r>
            <w:r>
              <w:rPr>
                <w:rFonts w:hint="eastAsia"/>
                <w:lang w:eastAsia="zh-CN"/>
              </w:rPr>
              <w:t>设</w:t>
            </w:r>
            <w:r>
              <w:rPr>
                <w:rFonts w:hint="eastAsia"/>
              </w:rPr>
              <w:t>项目潜在的危险、有害因素，项目运行期间可能发生的突发性事件或事故（一般不包括人为破坏及自然灾害），引起有毒有害和易燃易爆等物质泄漏，所造成的人身安全与环境影响和损害程度，提出合理可行的防范、应急与减缓措施，使建设项目事故率、损失和环境影响达到可接受水平。根据《建设项目环境风险评价技术导则》（HJ169-2018）中的相关要求，分析本项目的环境风险。</w:t>
            </w:r>
          </w:p>
          <w:p w14:paraId="64B6EF05">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4.11.1、</w:t>
            </w:r>
            <w:r>
              <w:rPr>
                <w:rFonts w:hint="eastAsia"/>
              </w:rPr>
              <w:t>风险识别</w:t>
            </w:r>
          </w:p>
          <w:p w14:paraId="58FC720D">
            <w:pPr>
              <w:ind w:firstLine="480"/>
              <w:rPr>
                <w:rFonts w:hint="eastAsia"/>
              </w:rPr>
            </w:pPr>
            <w:r>
              <w:rPr>
                <w:rFonts w:hint="eastAsia"/>
              </w:rPr>
              <w:t>根据《建设项目环境风险评价技术导则》（HJ169-2018），危险物质是指具有易燃易爆、有毒有害等特性，会对环境造成危害的物质。本项目运营过程中危险物质</w:t>
            </w:r>
            <w:r>
              <w:rPr>
                <w:rFonts w:hint="eastAsia"/>
                <w:lang w:eastAsia="zh-CN"/>
              </w:rPr>
              <w:t>为</w:t>
            </w:r>
            <w:r>
              <w:rPr>
                <w:rFonts w:hint="eastAsia"/>
                <w:spacing w:val="-2"/>
                <w:lang w:eastAsia="zh-CN"/>
              </w:rPr>
              <w:t>次氯酸钠、机油和废机油</w:t>
            </w:r>
            <w:r>
              <w:rPr>
                <w:rFonts w:hint="eastAsia"/>
              </w:rPr>
              <w:t>。</w:t>
            </w:r>
          </w:p>
          <w:p w14:paraId="6B442A10">
            <w:pPr>
              <w:pStyle w:val="8"/>
              <w:keepNext/>
              <w:keepLines w:val="0"/>
              <w:pageBreakBefore w:val="0"/>
              <w:widowControl w:val="0"/>
              <w:numPr>
                <w:ilvl w:val="5"/>
                <w:numId w:val="0"/>
              </w:numPr>
              <w:kinsoku/>
              <w:wordWrap/>
              <w:overflowPunct w:val="0"/>
              <w:topLinePunct w:val="0"/>
              <w:autoSpaceDE/>
              <w:autoSpaceDN/>
              <w:bidi w:val="0"/>
              <w:adjustRightInd/>
              <w:snapToGrid/>
              <w:ind w:left="0" w:leftChars="0" w:firstLine="0" w:firstLineChars="0"/>
              <w:textAlignment w:val="auto"/>
              <w:rPr>
                <w:rFonts w:hint="eastAsia"/>
              </w:rPr>
            </w:pPr>
            <w:r>
              <w:rPr>
                <w:rFonts w:hint="default" w:ascii="Times New Roman" w:hAnsi="Times New Roman" w:eastAsia="宋体" w:cs="Times New Roman"/>
                <w:b/>
                <w:i w:val="0"/>
                <w:color w:val="auto"/>
                <w:kern w:val="2"/>
                <w:sz w:val="24"/>
                <w:szCs w:val="24"/>
                <w:shd w:val="clear" w:fill="FFFFFF"/>
                <w:lang w:val="en-US" w:eastAsia="zh-CN" w:bidi="ar-SA"/>
              </w:rPr>
              <w:t>表4-2</w:t>
            </w:r>
            <w:r>
              <w:rPr>
                <w:rFonts w:hint="eastAsia" w:cs="Times New Roman"/>
                <w:b/>
                <w:i w:val="0"/>
                <w:color w:val="auto"/>
                <w:kern w:val="2"/>
                <w:sz w:val="24"/>
                <w:szCs w:val="24"/>
                <w:shd w:val="clear" w:fill="FFFFFF"/>
                <w:lang w:val="en-US" w:eastAsia="zh-CN" w:bidi="ar-SA"/>
              </w:rPr>
              <w:t>8</w:t>
            </w:r>
            <w:r>
              <w:rPr>
                <w:rFonts w:hint="default" w:ascii="Times New Roman" w:hAnsi="Times New Roman" w:eastAsia="宋体" w:cs="Times New Roman"/>
                <w:b/>
                <w:bCs/>
                <w:sz w:val="24"/>
                <w:szCs w:val="24"/>
              </w:rPr>
              <w:t>主要危险物质的危险性</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989"/>
              <w:gridCol w:w="1091"/>
              <w:gridCol w:w="960"/>
              <w:gridCol w:w="960"/>
              <w:gridCol w:w="986"/>
              <w:gridCol w:w="3200"/>
            </w:tblGrid>
            <w:tr w14:paraId="52F3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0" w:type="auto"/>
                  <w:vMerge w:val="restart"/>
                  <w:noWrap w:val="0"/>
                  <w:vAlign w:val="center"/>
                </w:tcPr>
                <w:p w14:paraId="73A503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shd w:val="clear" w:color="auto" w:fill="auto"/>
                      <w:vertAlign w:val="baseline"/>
                      <w:lang w:eastAsia="zh-CN"/>
                    </w:rPr>
                  </w:pPr>
                  <w:r>
                    <w:rPr>
                      <w:rFonts w:hint="default" w:ascii="Times New Roman" w:hAnsi="Times New Roman" w:eastAsia="宋体" w:cs="Times New Roman"/>
                      <w:b/>
                      <w:bCs/>
                      <w:color w:val="auto"/>
                      <w:sz w:val="21"/>
                      <w:szCs w:val="21"/>
                      <w:highlight w:val="none"/>
                      <w:shd w:val="clear" w:color="auto" w:fill="auto"/>
                      <w:vertAlign w:val="baseline"/>
                      <w:lang w:eastAsia="zh-CN"/>
                    </w:rPr>
                    <w:t>序号</w:t>
                  </w:r>
                </w:p>
              </w:tc>
              <w:tc>
                <w:tcPr>
                  <w:tcW w:w="0" w:type="auto"/>
                  <w:vMerge w:val="restart"/>
                  <w:noWrap w:val="0"/>
                  <w:vAlign w:val="center"/>
                </w:tcPr>
                <w:p w14:paraId="12807C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shd w:val="clear" w:color="auto" w:fill="auto"/>
                      <w:vertAlign w:val="baseline"/>
                      <w:lang w:eastAsia="zh-CN"/>
                    </w:rPr>
                  </w:pPr>
                  <w:r>
                    <w:rPr>
                      <w:rFonts w:hint="default" w:ascii="Times New Roman" w:hAnsi="Times New Roman" w:eastAsia="宋体" w:cs="Times New Roman"/>
                      <w:b/>
                      <w:bCs/>
                      <w:color w:val="auto"/>
                      <w:sz w:val="21"/>
                      <w:szCs w:val="21"/>
                      <w:highlight w:val="none"/>
                      <w:shd w:val="clear" w:color="auto" w:fill="auto"/>
                      <w:vertAlign w:val="baseline"/>
                      <w:lang w:eastAsia="zh-CN"/>
                    </w:rPr>
                    <w:t>化学品名称</w:t>
                  </w:r>
                </w:p>
              </w:tc>
              <w:tc>
                <w:tcPr>
                  <w:tcW w:w="0" w:type="auto"/>
                  <w:vMerge w:val="restart"/>
                  <w:noWrap w:val="0"/>
                  <w:vAlign w:val="center"/>
                </w:tcPr>
                <w:p w14:paraId="4C9635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shd w:val="clear" w:color="auto" w:fill="auto"/>
                      <w:vertAlign w:val="baseline"/>
                      <w:lang w:eastAsia="zh-CN"/>
                    </w:rPr>
                  </w:pPr>
                  <w:r>
                    <w:rPr>
                      <w:rFonts w:hint="default" w:ascii="Times New Roman" w:hAnsi="Times New Roman" w:eastAsia="宋体" w:cs="Times New Roman"/>
                      <w:b/>
                      <w:bCs/>
                      <w:color w:val="auto"/>
                      <w:sz w:val="21"/>
                      <w:szCs w:val="21"/>
                      <w:highlight w:val="none"/>
                      <w:shd w:val="clear" w:color="auto" w:fill="auto"/>
                    </w:rPr>
                    <w:t>CAS</w:t>
                  </w:r>
                  <w:r>
                    <w:rPr>
                      <w:rFonts w:hint="default" w:ascii="Times New Roman" w:hAnsi="Times New Roman" w:eastAsia="宋体" w:cs="Times New Roman"/>
                      <w:b/>
                      <w:bCs/>
                      <w:color w:val="auto"/>
                      <w:sz w:val="21"/>
                      <w:szCs w:val="21"/>
                      <w:highlight w:val="none"/>
                      <w:shd w:val="clear" w:color="auto" w:fill="auto"/>
                      <w:lang w:eastAsia="zh-CN"/>
                    </w:rPr>
                    <w:t>号</w:t>
                  </w:r>
                </w:p>
              </w:tc>
              <w:tc>
                <w:tcPr>
                  <w:tcW w:w="0" w:type="auto"/>
                  <w:gridSpan w:val="4"/>
                  <w:noWrap w:val="0"/>
                  <w:vAlign w:val="center"/>
                </w:tcPr>
                <w:p w14:paraId="37B5AD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shd w:val="clear" w:color="auto" w:fill="auto"/>
                      <w:vertAlign w:val="baseline"/>
                      <w:lang w:eastAsia="zh-CN"/>
                    </w:rPr>
                  </w:pPr>
                  <w:r>
                    <w:rPr>
                      <w:rFonts w:hint="default" w:ascii="Times New Roman" w:hAnsi="Times New Roman" w:eastAsia="宋体" w:cs="Times New Roman"/>
                      <w:b/>
                      <w:bCs/>
                      <w:color w:val="auto"/>
                      <w:sz w:val="21"/>
                      <w:szCs w:val="21"/>
                      <w:highlight w:val="none"/>
                      <w:shd w:val="clear" w:color="auto" w:fill="auto"/>
                    </w:rPr>
                    <w:t>化学品理化性</w:t>
                  </w:r>
                  <w:r>
                    <w:rPr>
                      <w:rFonts w:hint="default" w:ascii="Times New Roman" w:hAnsi="Times New Roman" w:eastAsia="宋体" w:cs="Times New Roman"/>
                      <w:b/>
                      <w:bCs/>
                      <w:color w:val="auto"/>
                      <w:sz w:val="21"/>
                      <w:szCs w:val="21"/>
                      <w:highlight w:val="none"/>
                      <w:shd w:val="clear" w:color="auto" w:fill="auto"/>
                      <w:lang w:eastAsia="zh-CN"/>
                    </w:rPr>
                    <w:t>质</w:t>
                  </w:r>
                </w:p>
              </w:tc>
            </w:tr>
            <w:tr w14:paraId="740B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0" w:type="auto"/>
                  <w:vMerge w:val="continue"/>
                  <w:noWrap w:val="0"/>
                  <w:vAlign w:val="center"/>
                </w:tcPr>
                <w:p w14:paraId="6D529F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shd w:val="clear" w:color="auto" w:fill="auto"/>
                    </w:rPr>
                  </w:pPr>
                </w:p>
              </w:tc>
              <w:tc>
                <w:tcPr>
                  <w:tcW w:w="0" w:type="auto"/>
                  <w:vMerge w:val="continue"/>
                  <w:noWrap w:val="0"/>
                  <w:vAlign w:val="center"/>
                </w:tcPr>
                <w:p w14:paraId="645B3E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shd w:val="clear" w:color="auto" w:fill="auto"/>
                    </w:rPr>
                  </w:pPr>
                </w:p>
              </w:tc>
              <w:tc>
                <w:tcPr>
                  <w:tcW w:w="0" w:type="auto"/>
                  <w:vMerge w:val="continue"/>
                  <w:noWrap w:val="0"/>
                  <w:vAlign w:val="center"/>
                </w:tcPr>
                <w:p w14:paraId="0C92B6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shd w:val="clear" w:color="auto" w:fill="auto"/>
                    </w:rPr>
                  </w:pPr>
                </w:p>
              </w:tc>
              <w:tc>
                <w:tcPr>
                  <w:tcW w:w="0" w:type="auto"/>
                  <w:noWrap w:val="0"/>
                  <w:vAlign w:val="center"/>
                </w:tcPr>
                <w:p w14:paraId="384165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shd w:val="clear" w:color="auto" w:fill="auto"/>
                      <w:vertAlign w:val="baseline"/>
                    </w:rPr>
                  </w:pPr>
                  <w:r>
                    <w:rPr>
                      <w:rFonts w:hint="default" w:ascii="Times New Roman" w:hAnsi="Times New Roman" w:eastAsia="宋体" w:cs="Times New Roman"/>
                      <w:b/>
                      <w:bCs/>
                      <w:color w:val="auto"/>
                      <w:sz w:val="21"/>
                      <w:szCs w:val="21"/>
                      <w:highlight w:val="none"/>
                      <w:shd w:val="clear" w:color="auto" w:fill="auto"/>
                    </w:rPr>
                    <w:t>沸点℃</w:t>
                  </w:r>
                </w:p>
              </w:tc>
              <w:tc>
                <w:tcPr>
                  <w:tcW w:w="0" w:type="auto"/>
                  <w:noWrap w:val="0"/>
                  <w:vAlign w:val="center"/>
                </w:tcPr>
                <w:p w14:paraId="26AE2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shd w:val="clear" w:color="auto" w:fill="auto"/>
                      <w:vertAlign w:val="baseline"/>
                    </w:rPr>
                  </w:pPr>
                  <w:r>
                    <w:rPr>
                      <w:rFonts w:hint="default" w:ascii="Times New Roman" w:hAnsi="Times New Roman" w:eastAsia="宋体" w:cs="Times New Roman"/>
                      <w:b/>
                      <w:bCs/>
                      <w:color w:val="auto"/>
                      <w:sz w:val="21"/>
                      <w:szCs w:val="21"/>
                      <w:highlight w:val="none"/>
                      <w:shd w:val="clear" w:color="auto" w:fill="auto"/>
                    </w:rPr>
                    <w:t>闪点℃</w:t>
                  </w:r>
                </w:p>
              </w:tc>
              <w:tc>
                <w:tcPr>
                  <w:tcW w:w="0" w:type="auto"/>
                  <w:noWrap w:val="0"/>
                  <w:vAlign w:val="center"/>
                </w:tcPr>
                <w:p w14:paraId="485CA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shd w:val="clear" w:color="auto" w:fill="auto"/>
                      <w:vertAlign w:val="baseline"/>
                      <w:lang w:eastAsia="zh-CN"/>
                    </w:rPr>
                  </w:pPr>
                  <w:r>
                    <w:rPr>
                      <w:rFonts w:hint="default" w:ascii="Times New Roman" w:hAnsi="Times New Roman" w:eastAsia="宋体" w:cs="Times New Roman"/>
                      <w:b/>
                      <w:bCs/>
                      <w:color w:val="auto"/>
                      <w:sz w:val="21"/>
                      <w:szCs w:val="21"/>
                      <w:highlight w:val="none"/>
                      <w:shd w:val="clear" w:color="auto" w:fill="auto"/>
                      <w:lang w:eastAsia="zh-CN"/>
                    </w:rPr>
                    <w:t>引燃温度</w:t>
                  </w:r>
                  <w:r>
                    <w:rPr>
                      <w:rFonts w:hint="default" w:ascii="Times New Roman" w:hAnsi="Times New Roman" w:eastAsia="宋体" w:cs="Times New Roman"/>
                      <w:b/>
                      <w:bCs/>
                      <w:color w:val="auto"/>
                      <w:sz w:val="21"/>
                      <w:szCs w:val="21"/>
                      <w:highlight w:val="none"/>
                      <w:shd w:val="clear" w:color="auto" w:fill="auto"/>
                    </w:rPr>
                    <w:t>℃</w:t>
                  </w:r>
                </w:p>
              </w:tc>
              <w:tc>
                <w:tcPr>
                  <w:tcW w:w="0" w:type="auto"/>
                  <w:noWrap w:val="0"/>
                  <w:vAlign w:val="center"/>
                </w:tcPr>
                <w:p w14:paraId="0778CA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shd w:val="clear" w:color="auto" w:fill="auto"/>
                      <w:vertAlign w:val="baseline"/>
                      <w:lang w:eastAsia="zh-CN"/>
                    </w:rPr>
                  </w:pPr>
                  <w:r>
                    <w:rPr>
                      <w:rFonts w:hint="default" w:ascii="Times New Roman" w:hAnsi="Times New Roman" w:eastAsia="宋体" w:cs="Times New Roman"/>
                      <w:b/>
                      <w:bCs/>
                      <w:color w:val="auto"/>
                      <w:sz w:val="21"/>
                      <w:szCs w:val="21"/>
                      <w:highlight w:val="none"/>
                      <w:shd w:val="clear" w:color="auto" w:fill="auto"/>
                      <w:lang w:eastAsia="zh-CN"/>
                    </w:rPr>
                    <w:t>危险特性</w:t>
                  </w:r>
                </w:p>
              </w:tc>
            </w:tr>
            <w:tr w14:paraId="0C71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0ABDE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aps w:val="0"/>
                      <w:color w:val="auto"/>
                      <w:spacing w:val="0"/>
                      <w:sz w:val="21"/>
                      <w:szCs w:val="21"/>
                      <w:highlight w:val="none"/>
                      <w:shd w:val="clear" w:color="auto" w:fill="auto"/>
                      <w:lang w:val="en-US" w:eastAsia="zh-CN"/>
                    </w:rPr>
                  </w:pPr>
                  <w:r>
                    <w:rPr>
                      <w:rFonts w:hint="eastAsia" w:cs="Times New Roman"/>
                      <w:i w:val="0"/>
                      <w:iCs w:val="0"/>
                      <w:caps w:val="0"/>
                      <w:color w:val="auto"/>
                      <w:spacing w:val="0"/>
                      <w:sz w:val="21"/>
                      <w:szCs w:val="21"/>
                      <w:highlight w:val="none"/>
                      <w:shd w:val="clear" w:color="auto" w:fill="auto"/>
                      <w:lang w:val="en-US" w:eastAsia="zh-CN"/>
                    </w:rPr>
                    <w:t>1</w:t>
                  </w:r>
                </w:p>
              </w:tc>
              <w:tc>
                <w:tcPr>
                  <w:tcW w:w="0" w:type="auto"/>
                  <w:noWrap w:val="0"/>
                  <w:vAlign w:val="center"/>
                </w:tcPr>
                <w:p w14:paraId="7DE89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aps w:val="0"/>
                      <w:color w:val="auto"/>
                      <w:spacing w:val="0"/>
                      <w:sz w:val="21"/>
                      <w:szCs w:val="21"/>
                      <w:highlight w:val="none"/>
                      <w:shd w:val="clear" w:color="auto" w:fill="auto"/>
                      <w:lang w:eastAsia="zh-CN"/>
                    </w:rPr>
                  </w:pPr>
                  <w:r>
                    <w:rPr>
                      <w:rFonts w:hint="eastAsia"/>
                      <w:sz w:val="21"/>
                      <w:szCs w:val="21"/>
                    </w:rPr>
                    <w:t>次氯酸纳</w:t>
                  </w:r>
                </w:p>
              </w:tc>
              <w:tc>
                <w:tcPr>
                  <w:tcW w:w="0" w:type="auto"/>
                  <w:noWrap w:val="0"/>
                  <w:vAlign w:val="center"/>
                </w:tcPr>
                <w:p w14:paraId="43FDE0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aps w:val="0"/>
                      <w:color w:val="auto"/>
                      <w:spacing w:val="0"/>
                      <w:sz w:val="21"/>
                      <w:szCs w:val="21"/>
                      <w:highlight w:val="none"/>
                      <w:shd w:val="clear" w:color="auto" w:fill="auto"/>
                      <w:lang w:val="en-US" w:eastAsia="zh-CN"/>
                    </w:rPr>
                  </w:pPr>
                  <w:r>
                    <w:rPr>
                      <w:rFonts w:hint="eastAsia"/>
                      <w:sz w:val="21"/>
                      <w:szCs w:val="21"/>
                    </w:rPr>
                    <w:t>7681-52-9</w:t>
                  </w:r>
                </w:p>
              </w:tc>
              <w:tc>
                <w:tcPr>
                  <w:tcW w:w="0" w:type="auto"/>
                  <w:noWrap w:val="0"/>
                  <w:vAlign w:val="center"/>
                </w:tcPr>
                <w:p w14:paraId="227799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i w:val="0"/>
                      <w:iCs w:val="0"/>
                      <w:caps w:val="0"/>
                      <w:color w:val="auto"/>
                      <w:spacing w:val="0"/>
                      <w:sz w:val="21"/>
                      <w:szCs w:val="21"/>
                      <w:highlight w:val="none"/>
                      <w:shd w:val="clear" w:color="auto" w:fill="auto"/>
                      <w:lang w:val="en-US" w:eastAsia="zh-CN"/>
                    </w:rPr>
                  </w:pPr>
                  <w:r>
                    <w:rPr>
                      <w:rFonts w:hint="eastAsia" w:cs="Times New Roman"/>
                      <w:i w:val="0"/>
                      <w:iCs w:val="0"/>
                      <w:caps w:val="0"/>
                      <w:color w:val="auto"/>
                      <w:spacing w:val="0"/>
                      <w:sz w:val="21"/>
                      <w:szCs w:val="21"/>
                      <w:highlight w:val="none"/>
                      <w:shd w:val="clear" w:color="auto" w:fill="auto"/>
                      <w:lang w:val="en-US" w:eastAsia="zh-CN"/>
                    </w:rPr>
                    <w:t>102.2</w:t>
                  </w:r>
                </w:p>
              </w:tc>
              <w:tc>
                <w:tcPr>
                  <w:tcW w:w="0" w:type="auto"/>
                  <w:noWrap w:val="0"/>
                  <w:vAlign w:val="center"/>
                </w:tcPr>
                <w:p w14:paraId="16840C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i w:val="0"/>
                      <w:iCs w:val="0"/>
                      <w:caps w:val="0"/>
                      <w:color w:val="auto"/>
                      <w:spacing w:val="0"/>
                      <w:sz w:val="21"/>
                      <w:szCs w:val="21"/>
                      <w:highlight w:val="none"/>
                      <w:shd w:val="clear" w:color="auto" w:fill="auto"/>
                      <w:lang w:val="en-US" w:eastAsia="zh-CN"/>
                    </w:rPr>
                  </w:pPr>
                  <w:r>
                    <w:rPr>
                      <w:rFonts w:hint="eastAsia" w:cs="Times New Roman"/>
                      <w:i w:val="0"/>
                      <w:iCs w:val="0"/>
                      <w:caps w:val="0"/>
                      <w:color w:val="auto"/>
                      <w:spacing w:val="0"/>
                      <w:sz w:val="21"/>
                      <w:szCs w:val="21"/>
                      <w:highlight w:val="none"/>
                      <w:shd w:val="clear" w:color="auto" w:fill="auto"/>
                      <w:lang w:val="en-US" w:eastAsia="zh-CN"/>
                    </w:rPr>
                    <w:t>/</w:t>
                  </w:r>
                </w:p>
              </w:tc>
              <w:tc>
                <w:tcPr>
                  <w:tcW w:w="0" w:type="auto"/>
                  <w:noWrap w:val="0"/>
                  <w:vAlign w:val="center"/>
                </w:tcPr>
                <w:p w14:paraId="2D3FE4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aps w:val="0"/>
                      <w:color w:val="auto"/>
                      <w:spacing w:val="0"/>
                      <w:sz w:val="21"/>
                      <w:szCs w:val="21"/>
                      <w:highlight w:val="none"/>
                      <w:shd w:val="clear" w:color="auto" w:fill="auto"/>
                      <w:lang w:val="en-US" w:eastAsia="zh-CN"/>
                    </w:rPr>
                  </w:pPr>
                  <w:r>
                    <w:rPr>
                      <w:rFonts w:hint="eastAsia" w:cs="Times New Roman"/>
                      <w:i w:val="0"/>
                      <w:iCs w:val="0"/>
                      <w:caps w:val="0"/>
                      <w:color w:val="auto"/>
                      <w:spacing w:val="0"/>
                      <w:sz w:val="21"/>
                      <w:szCs w:val="21"/>
                      <w:highlight w:val="none"/>
                      <w:shd w:val="clear" w:color="auto" w:fill="auto"/>
                      <w:lang w:val="en-US" w:eastAsia="zh-CN"/>
                    </w:rPr>
                    <w:t>/</w:t>
                  </w:r>
                </w:p>
              </w:tc>
              <w:tc>
                <w:tcPr>
                  <w:tcW w:w="0" w:type="auto"/>
                  <w:noWrap w:val="0"/>
                  <w:vAlign w:val="center"/>
                </w:tcPr>
                <w:p w14:paraId="52030F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i w:val="0"/>
                      <w:iCs w:val="0"/>
                      <w:caps w:val="0"/>
                      <w:color w:val="auto"/>
                      <w:spacing w:val="0"/>
                      <w:sz w:val="21"/>
                      <w:szCs w:val="21"/>
                      <w:highlight w:val="none"/>
                      <w:shd w:val="clear" w:color="auto" w:fill="auto"/>
                      <w:lang w:val="en-US" w:eastAsia="zh-CN"/>
                    </w:rPr>
                  </w:pPr>
                  <w:r>
                    <w:rPr>
                      <w:rFonts w:hint="eastAsia" w:ascii="Times New Roman" w:hAnsi="Times New Roman" w:eastAsia="宋体" w:cs="Times New Roman"/>
                      <w:i w:val="0"/>
                      <w:iCs w:val="0"/>
                      <w:caps w:val="0"/>
                      <w:color w:val="auto"/>
                      <w:spacing w:val="0"/>
                      <w:sz w:val="21"/>
                      <w:szCs w:val="21"/>
                      <w:highlight w:val="none"/>
                      <w:shd w:val="clear" w:color="auto" w:fill="auto"/>
                      <w:lang w:eastAsia="zh-CN"/>
                    </w:rPr>
                    <w:t>是强氧化剂，能与许多还原性物质发生剧烈反应，如与酸、易燃物、有机物等混合时，可能引发燃烧或爆炸</w:t>
                  </w:r>
                  <w:r>
                    <w:rPr>
                      <w:rFonts w:hint="eastAsia" w:cs="Times New Roman"/>
                      <w:i w:val="0"/>
                      <w:iCs w:val="0"/>
                      <w:caps w:val="0"/>
                      <w:color w:val="auto"/>
                      <w:spacing w:val="0"/>
                      <w:sz w:val="21"/>
                      <w:szCs w:val="21"/>
                      <w:highlight w:val="none"/>
                      <w:shd w:val="clear" w:color="auto" w:fill="auto"/>
                      <w:lang w:val="en-US" w:eastAsia="zh-CN"/>
                    </w:rPr>
                    <w:t>;对皮肤、眼睛和呼吸道有强烈的刺激和腐蚀作用;受光、热或重金属离子等影响易分解，放出氧气和氯气;与氨、硫化物、磷化物等物质混合会发生剧烈反应，产生有毒或易燃气体。</w:t>
                  </w:r>
                </w:p>
              </w:tc>
            </w:tr>
            <w:tr w14:paraId="06A3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0" w:type="auto"/>
                  <w:noWrap w:val="0"/>
                  <w:vAlign w:val="center"/>
                </w:tcPr>
                <w:p w14:paraId="107C4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aps w:val="0"/>
                      <w:color w:val="auto"/>
                      <w:spacing w:val="0"/>
                      <w:sz w:val="21"/>
                      <w:szCs w:val="21"/>
                      <w:highlight w:val="none"/>
                      <w:shd w:val="clear" w:color="auto" w:fill="auto"/>
                      <w:lang w:val="en-US" w:eastAsia="zh-CN"/>
                    </w:rPr>
                  </w:pPr>
                  <w:r>
                    <w:rPr>
                      <w:rFonts w:hint="eastAsia" w:cs="Times New Roman"/>
                      <w:i w:val="0"/>
                      <w:iCs w:val="0"/>
                      <w:caps w:val="0"/>
                      <w:color w:val="auto"/>
                      <w:spacing w:val="0"/>
                      <w:sz w:val="21"/>
                      <w:szCs w:val="21"/>
                      <w:highlight w:val="none"/>
                      <w:shd w:val="clear" w:color="auto" w:fill="auto"/>
                      <w:lang w:val="en-US" w:eastAsia="zh-CN"/>
                    </w:rPr>
                    <w:t>2</w:t>
                  </w:r>
                </w:p>
              </w:tc>
              <w:tc>
                <w:tcPr>
                  <w:tcW w:w="0" w:type="auto"/>
                  <w:noWrap w:val="0"/>
                  <w:vAlign w:val="center"/>
                </w:tcPr>
                <w:p w14:paraId="5B2EC9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aps w:val="0"/>
                      <w:color w:val="auto"/>
                      <w:spacing w:val="0"/>
                      <w:sz w:val="21"/>
                      <w:szCs w:val="21"/>
                      <w:highlight w:val="none"/>
                      <w:shd w:val="clear" w:color="auto" w:fill="auto"/>
                      <w:lang w:eastAsia="zh-CN"/>
                    </w:rPr>
                  </w:pPr>
                  <w:r>
                    <w:rPr>
                      <w:rFonts w:hint="eastAsia" w:cs="Times New Roman"/>
                      <w:i w:val="0"/>
                      <w:iCs w:val="0"/>
                      <w:caps w:val="0"/>
                      <w:color w:val="auto"/>
                      <w:spacing w:val="0"/>
                      <w:sz w:val="21"/>
                      <w:szCs w:val="21"/>
                      <w:highlight w:val="none"/>
                      <w:shd w:val="clear" w:color="auto" w:fill="auto"/>
                      <w:lang w:eastAsia="zh-CN"/>
                    </w:rPr>
                    <w:t>机油</w:t>
                  </w:r>
                </w:p>
              </w:tc>
              <w:tc>
                <w:tcPr>
                  <w:tcW w:w="0" w:type="auto"/>
                  <w:noWrap w:val="0"/>
                  <w:vAlign w:val="center"/>
                </w:tcPr>
                <w:p w14:paraId="01F5B0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i w:val="0"/>
                      <w:iCs w:val="0"/>
                      <w:caps w:val="0"/>
                      <w:color w:val="auto"/>
                      <w:spacing w:val="0"/>
                      <w:sz w:val="21"/>
                      <w:szCs w:val="21"/>
                      <w:highlight w:val="none"/>
                      <w:shd w:val="clear" w:color="auto" w:fill="auto"/>
                      <w:lang w:val="en-US" w:eastAsia="zh-CN"/>
                    </w:rPr>
                  </w:pPr>
                  <w:r>
                    <w:rPr>
                      <w:rFonts w:hint="eastAsia" w:cs="Times New Roman"/>
                      <w:i w:val="0"/>
                      <w:iCs w:val="0"/>
                      <w:caps w:val="0"/>
                      <w:color w:val="auto"/>
                      <w:spacing w:val="0"/>
                      <w:sz w:val="21"/>
                      <w:szCs w:val="21"/>
                      <w:highlight w:val="none"/>
                      <w:shd w:val="clear" w:color="auto" w:fill="auto"/>
                      <w:lang w:val="en-US" w:eastAsia="zh-CN"/>
                    </w:rPr>
                    <w:t>/</w:t>
                  </w:r>
                </w:p>
              </w:tc>
              <w:tc>
                <w:tcPr>
                  <w:tcW w:w="0" w:type="auto"/>
                  <w:noWrap w:val="0"/>
                  <w:vAlign w:val="center"/>
                </w:tcPr>
                <w:p w14:paraId="22890D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i w:val="0"/>
                      <w:iCs w:val="0"/>
                      <w:caps w:val="0"/>
                      <w:color w:val="auto"/>
                      <w:spacing w:val="0"/>
                      <w:sz w:val="21"/>
                      <w:szCs w:val="21"/>
                      <w:highlight w:val="none"/>
                      <w:shd w:val="clear" w:color="auto" w:fill="auto"/>
                      <w:lang w:val="en-US" w:eastAsia="zh-CN"/>
                    </w:rPr>
                  </w:pPr>
                  <w:r>
                    <w:rPr>
                      <w:rFonts w:hint="eastAsia" w:cs="Times New Roman"/>
                      <w:i w:val="0"/>
                      <w:iCs w:val="0"/>
                      <w:caps w:val="0"/>
                      <w:color w:val="auto"/>
                      <w:spacing w:val="0"/>
                      <w:sz w:val="21"/>
                      <w:szCs w:val="21"/>
                      <w:highlight w:val="none"/>
                      <w:shd w:val="clear" w:color="auto" w:fill="auto"/>
                      <w:lang w:val="en-US" w:eastAsia="zh-CN"/>
                    </w:rPr>
                    <w:t>200</w:t>
                  </w:r>
                  <w:r>
                    <w:rPr>
                      <w:rFonts w:hint="default" w:ascii="Times New Roman" w:hAnsi="Times New Roman" w:eastAsia="宋体" w:cs="Times New Roman"/>
                      <w:i w:val="0"/>
                      <w:iCs w:val="0"/>
                      <w:caps w:val="0"/>
                      <w:color w:val="auto"/>
                      <w:spacing w:val="0"/>
                      <w:sz w:val="21"/>
                      <w:szCs w:val="21"/>
                      <w:highlight w:val="none"/>
                      <w:shd w:val="clear" w:color="auto" w:fill="auto"/>
                      <w:lang w:val="en-US" w:eastAsia="zh-CN"/>
                    </w:rPr>
                    <w:t>~</w:t>
                  </w:r>
                  <w:r>
                    <w:rPr>
                      <w:rFonts w:hint="eastAsia" w:cs="Times New Roman"/>
                      <w:i w:val="0"/>
                      <w:iCs w:val="0"/>
                      <w:caps w:val="0"/>
                      <w:color w:val="auto"/>
                      <w:spacing w:val="0"/>
                      <w:sz w:val="21"/>
                      <w:szCs w:val="21"/>
                      <w:highlight w:val="none"/>
                      <w:shd w:val="clear" w:color="auto" w:fill="auto"/>
                      <w:lang w:val="en-US" w:eastAsia="zh-CN"/>
                    </w:rPr>
                    <w:t>300</w:t>
                  </w:r>
                </w:p>
              </w:tc>
              <w:tc>
                <w:tcPr>
                  <w:tcW w:w="0" w:type="auto"/>
                  <w:noWrap w:val="0"/>
                  <w:vAlign w:val="center"/>
                </w:tcPr>
                <w:p w14:paraId="30CC46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i w:val="0"/>
                      <w:iCs w:val="0"/>
                      <w:caps w:val="0"/>
                      <w:color w:val="auto"/>
                      <w:spacing w:val="0"/>
                      <w:sz w:val="21"/>
                      <w:szCs w:val="21"/>
                      <w:highlight w:val="none"/>
                      <w:shd w:val="clear" w:color="auto" w:fill="auto"/>
                      <w:lang w:val="en-US" w:eastAsia="zh-CN"/>
                    </w:rPr>
                  </w:pPr>
                  <w:r>
                    <w:rPr>
                      <w:rFonts w:hint="eastAsia" w:cs="Times New Roman"/>
                      <w:i w:val="0"/>
                      <w:iCs w:val="0"/>
                      <w:caps w:val="0"/>
                      <w:color w:val="auto"/>
                      <w:spacing w:val="0"/>
                      <w:sz w:val="21"/>
                      <w:szCs w:val="21"/>
                      <w:highlight w:val="none"/>
                      <w:shd w:val="clear" w:color="auto" w:fill="auto"/>
                      <w:lang w:val="en-US" w:eastAsia="zh-CN"/>
                    </w:rPr>
                    <w:t>170~240</w:t>
                  </w:r>
                </w:p>
              </w:tc>
              <w:tc>
                <w:tcPr>
                  <w:tcW w:w="0" w:type="auto"/>
                  <w:noWrap w:val="0"/>
                  <w:vAlign w:val="center"/>
                </w:tcPr>
                <w:p w14:paraId="013D80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aps w:val="0"/>
                      <w:color w:val="auto"/>
                      <w:spacing w:val="0"/>
                      <w:sz w:val="21"/>
                      <w:szCs w:val="21"/>
                      <w:highlight w:val="none"/>
                      <w:shd w:val="clear" w:color="auto" w:fill="auto"/>
                      <w:lang w:val="en-US" w:eastAsia="zh-CN"/>
                    </w:rPr>
                  </w:pPr>
                  <w:r>
                    <w:rPr>
                      <w:rFonts w:hint="eastAsia" w:cs="Times New Roman"/>
                      <w:i w:val="0"/>
                      <w:iCs w:val="0"/>
                      <w:caps w:val="0"/>
                      <w:color w:val="auto"/>
                      <w:spacing w:val="0"/>
                      <w:sz w:val="21"/>
                      <w:szCs w:val="21"/>
                      <w:highlight w:val="none"/>
                      <w:shd w:val="clear" w:color="auto" w:fill="auto"/>
                      <w:lang w:val="en-US" w:eastAsia="zh-CN"/>
                    </w:rPr>
                    <w:t>300~400</w:t>
                  </w:r>
                </w:p>
              </w:tc>
              <w:tc>
                <w:tcPr>
                  <w:tcW w:w="0" w:type="auto"/>
                  <w:vMerge w:val="restart"/>
                  <w:noWrap w:val="0"/>
                  <w:vAlign w:val="center"/>
                </w:tcPr>
                <w:p w14:paraId="40F1DB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i w:val="0"/>
                      <w:iCs w:val="0"/>
                      <w:caps w:val="0"/>
                      <w:color w:val="auto"/>
                      <w:spacing w:val="0"/>
                      <w:sz w:val="21"/>
                      <w:szCs w:val="21"/>
                      <w:highlight w:val="none"/>
                      <w:shd w:val="clear" w:color="auto" w:fill="auto"/>
                      <w:lang w:eastAsia="zh-CN"/>
                    </w:rPr>
                  </w:pPr>
                  <w:r>
                    <w:rPr>
                      <w:rFonts w:hint="eastAsia" w:ascii="Times New Roman" w:hAnsi="Times New Roman" w:eastAsia="宋体" w:cs="Times New Roman"/>
                      <w:i w:val="0"/>
                      <w:iCs w:val="0"/>
                      <w:caps w:val="0"/>
                      <w:color w:val="auto"/>
                      <w:spacing w:val="0"/>
                      <w:sz w:val="21"/>
                      <w:szCs w:val="21"/>
                      <w:highlight w:val="none"/>
                      <w:shd w:val="clear" w:color="auto" w:fill="auto"/>
                      <w:lang w:eastAsia="zh-CN"/>
                    </w:rPr>
                    <w:t>高温环境或遇到明火、火花等火源时，有可能被点燃，引发火灾</w:t>
                  </w:r>
                  <w:r>
                    <w:rPr>
                      <w:rFonts w:hint="eastAsia" w:cs="Times New Roman"/>
                      <w:i w:val="0"/>
                      <w:iCs w:val="0"/>
                      <w:caps w:val="0"/>
                      <w:color w:val="auto"/>
                      <w:spacing w:val="0"/>
                      <w:sz w:val="21"/>
                      <w:szCs w:val="21"/>
                      <w:highlight w:val="none"/>
                      <w:shd w:val="clear" w:color="auto" w:fill="auto"/>
                      <w:lang w:eastAsia="zh-CN"/>
                    </w:rPr>
                    <w:t>；机油中含有多种化学物质，如芳香烃、重金属等。如果人体长期接触机油，这些有害物质可能通过皮肤吸收、呼吸吸入或误食等途径进入人体，对呼吸系统、皮肤、眼睛等造成损害，还可能影响人体的神经系统、免疫系统等；机油一旦泄漏到环境中，会对土壤、水体等造成污染。它会在土壤中形成一层油膜，阻碍土壤中氧气和水分的交换，影响植物根系的生长；进入水体后，会漂浮在水面上，隔绝空气与水的接触，导致水中生物缺氧死亡，还会影响水体的自净能力。</w:t>
                  </w:r>
                </w:p>
              </w:tc>
            </w:tr>
            <w:tr w14:paraId="10F9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2E710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i w:val="0"/>
                      <w:iCs w:val="0"/>
                      <w:caps w:val="0"/>
                      <w:color w:val="auto"/>
                      <w:spacing w:val="0"/>
                      <w:sz w:val="21"/>
                      <w:szCs w:val="21"/>
                      <w:highlight w:val="none"/>
                      <w:shd w:val="clear" w:color="auto" w:fill="auto"/>
                      <w:lang w:val="en-US" w:eastAsia="zh-CN"/>
                    </w:rPr>
                  </w:pPr>
                  <w:r>
                    <w:rPr>
                      <w:rFonts w:hint="eastAsia" w:cs="Times New Roman"/>
                      <w:i w:val="0"/>
                      <w:iCs w:val="0"/>
                      <w:caps w:val="0"/>
                      <w:color w:val="auto"/>
                      <w:spacing w:val="0"/>
                      <w:sz w:val="21"/>
                      <w:szCs w:val="21"/>
                      <w:highlight w:val="none"/>
                      <w:shd w:val="clear" w:color="auto" w:fill="auto"/>
                      <w:lang w:val="en-US" w:eastAsia="zh-CN"/>
                    </w:rPr>
                    <w:t>3</w:t>
                  </w:r>
                </w:p>
              </w:tc>
              <w:tc>
                <w:tcPr>
                  <w:tcW w:w="0" w:type="auto"/>
                  <w:noWrap w:val="0"/>
                  <w:vAlign w:val="center"/>
                </w:tcPr>
                <w:p w14:paraId="578E33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aps w:val="0"/>
                      <w:color w:val="auto"/>
                      <w:spacing w:val="0"/>
                      <w:sz w:val="21"/>
                      <w:szCs w:val="21"/>
                      <w:highlight w:val="none"/>
                      <w:shd w:val="clear" w:color="auto" w:fill="auto"/>
                      <w:lang w:eastAsia="zh-CN"/>
                    </w:rPr>
                  </w:pPr>
                  <w:r>
                    <w:rPr>
                      <w:rFonts w:hint="eastAsia" w:cs="Times New Roman"/>
                      <w:i w:val="0"/>
                      <w:iCs w:val="0"/>
                      <w:caps w:val="0"/>
                      <w:color w:val="auto"/>
                      <w:spacing w:val="0"/>
                      <w:sz w:val="21"/>
                      <w:szCs w:val="21"/>
                      <w:highlight w:val="none"/>
                      <w:shd w:val="clear" w:color="auto" w:fill="auto"/>
                      <w:lang w:eastAsia="zh-CN"/>
                    </w:rPr>
                    <w:t>废机油</w:t>
                  </w:r>
                </w:p>
              </w:tc>
              <w:tc>
                <w:tcPr>
                  <w:tcW w:w="0" w:type="auto"/>
                  <w:noWrap w:val="0"/>
                  <w:vAlign w:val="center"/>
                </w:tcPr>
                <w:p w14:paraId="629D78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i w:val="0"/>
                      <w:iCs w:val="0"/>
                      <w:caps w:val="0"/>
                      <w:color w:val="auto"/>
                      <w:spacing w:val="0"/>
                      <w:sz w:val="21"/>
                      <w:szCs w:val="21"/>
                      <w:highlight w:val="none"/>
                      <w:shd w:val="clear" w:color="auto" w:fill="auto"/>
                      <w:lang w:val="en-US" w:eastAsia="zh-CN"/>
                    </w:rPr>
                  </w:pPr>
                  <w:r>
                    <w:rPr>
                      <w:rFonts w:hint="eastAsia" w:cs="Times New Roman"/>
                      <w:i w:val="0"/>
                      <w:iCs w:val="0"/>
                      <w:caps w:val="0"/>
                      <w:color w:val="auto"/>
                      <w:spacing w:val="0"/>
                      <w:sz w:val="21"/>
                      <w:szCs w:val="21"/>
                      <w:highlight w:val="none"/>
                      <w:shd w:val="clear" w:color="auto" w:fill="auto"/>
                      <w:lang w:val="en-US" w:eastAsia="zh-CN"/>
                    </w:rPr>
                    <w:t>/</w:t>
                  </w:r>
                </w:p>
              </w:tc>
              <w:tc>
                <w:tcPr>
                  <w:tcW w:w="0" w:type="auto"/>
                  <w:shd w:val="clear" w:color="auto" w:fill="auto"/>
                  <w:noWrap w:val="0"/>
                  <w:vAlign w:val="center"/>
                </w:tcPr>
                <w:p w14:paraId="26BEF8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i w:val="0"/>
                      <w:iCs w:val="0"/>
                      <w:caps w:val="0"/>
                      <w:color w:val="auto"/>
                      <w:spacing w:val="0"/>
                      <w:kern w:val="2"/>
                      <w:sz w:val="21"/>
                      <w:szCs w:val="21"/>
                      <w:highlight w:val="none"/>
                      <w:shd w:val="clear" w:color="auto" w:fill="auto"/>
                      <w:lang w:val="en-US" w:eastAsia="zh-CN" w:bidi="ar-SA"/>
                    </w:rPr>
                  </w:pPr>
                  <w:r>
                    <w:rPr>
                      <w:rFonts w:hint="eastAsia" w:cs="Times New Roman"/>
                      <w:i w:val="0"/>
                      <w:iCs w:val="0"/>
                      <w:caps w:val="0"/>
                      <w:color w:val="auto"/>
                      <w:spacing w:val="0"/>
                      <w:sz w:val="21"/>
                      <w:szCs w:val="21"/>
                      <w:highlight w:val="none"/>
                      <w:shd w:val="clear" w:color="auto" w:fill="auto"/>
                      <w:lang w:val="en-US" w:eastAsia="zh-CN"/>
                    </w:rPr>
                    <w:t>200</w:t>
                  </w:r>
                  <w:r>
                    <w:rPr>
                      <w:rFonts w:hint="default" w:ascii="Times New Roman" w:hAnsi="Times New Roman" w:eastAsia="宋体" w:cs="Times New Roman"/>
                      <w:i w:val="0"/>
                      <w:iCs w:val="0"/>
                      <w:caps w:val="0"/>
                      <w:color w:val="auto"/>
                      <w:spacing w:val="0"/>
                      <w:sz w:val="21"/>
                      <w:szCs w:val="21"/>
                      <w:highlight w:val="none"/>
                      <w:shd w:val="clear" w:color="auto" w:fill="auto"/>
                      <w:lang w:val="en-US" w:eastAsia="zh-CN"/>
                    </w:rPr>
                    <w:t>~</w:t>
                  </w:r>
                  <w:r>
                    <w:rPr>
                      <w:rFonts w:hint="eastAsia" w:cs="Times New Roman"/>
                      <w:i w:val="0"/>
                      <w:iCs w:val="0"/>
                      <w:caps w:val="0"/>
                      <w:color w:val="auto"/>
                      <w:spacing w:val="0"/>
                      <w:sz w:val="21"/>
                      <w:szCs w:val="21"/>
                      <w:highlight w:val="none"/>
                      <w:shd w:val="clear" w:color="auto" w:fill="auto"/>
                      <w:lang w:val="en-US" w:eastAsia="zh-CN"/>
                    </w:rPr>
                    <w:t>300</w:t>
                  </w:r>
                </w:p>
              </w:tc>
              <w:tc>
                <w:tcPr>
                  <w:tcW w:w="0" w:type="auto"/>
                  <w:noWrap w:val="0"/>
                  <w:vAlign w:val="center"/>
                </w:tcPr>
                <w:p w14:paraId="7D264E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i w:val="0"/>
                      <w:iCs w:val="0"/>
                      <w:caps w:val="0"/>
                      <w:color w:val="auto"/>
                      <w:spacing w:val="0"/>
                      <w:sz w:val="21"/>
                      <w:szCs w:val="21"/>
                      <w:highlight w:val="none"/>
                      <w:shd w:val="clear" w:color="auto" w:fill="auto"/>
                      <w:lang w:val="en-US" w:eastAsia="zh-CN"/>
                    </w:rPr>
                  </w:pPr>
                  <w:r>
                    <w:rPr>
                      <w:rFonts w:hint="eastAsia" w:cs="Times New Roman"/>
                      <w:i w:val="0"/>
                      <w:iCs w:val="0"/>
                      <w:caps w:val="0"/>
                      <w:color w:val="auto"/>
                      <w:spacing w:val="0"/>
                      <w:sz w:val="21"/>
                      <w:szCs w:val="21"/>
                      <w:highlight w:val="none"/>
                      <w:shd w:val="clear" w:color="auto" w:fill="auto"/>
                      <w:lang w:val="en-US" w:eastAsia="zh-CN"/>
                    </w:rPr>
                    <w:t>130~200</w:t>
                  </w:r>
                </w:p>
              </w:tc>
              <w:tc>
                <w:tcPr>
                  <w:tcW w:w="0" w:type="auto"/>
                  <w:shd w:val="clear" w:color="auto" w:fill="auto"/>
                  <w:noWrap w:val="0"/>
                  <w:vAlign w:val="center"/>
                </w:tcPr>
                <w:p w14:paraId="618205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aps w:val="0"/>
                      <w:color w:val="auto"/>
                      <w:spacing w:val="0"/>
                      <w:kern w:val="2"/>
                      <w:sz w:val="21"/>
                      <w:szCs w:val="21"/>
                      <w:highlight w:val="none"/>
                      <w:shd w:val="clear" w:color="auto" w:fill="auto"/>
                      <w:lang w:val="en-US" w:eastAsia="zh-CN" w:bidi="ar-SA"/>
                    </w:rPr>
                  </w:pPr>
                  <w:r>
                    <w:rPr>
                      <w:rFonts w:hint="eastAsia" w:cs="Times New Roman"/>
                      <w:i w:val="0"/>
                      <w:iCs w:val="0"/>
                      <w:caps w:val="0"/>
                      <w:color w:val="auto"/>
                      <w:spacing w:val="0"/>
                      <w:sz w:val="21"/>
                      <w:szCs w:val="21"/>
                      <w:highlight w:val="none"/>
                      <w:shd w:val="clear" w:color="auto" w:fill="auto"/>
                      <w:lang w:val="en-US" w:eastAsia="zh-CN"/>
                    </w:rPr>
                    <w:t>300~400</w:t>
                  </w:r>
                </w:p>
              </w:tc>
              <w:tc>
                <w:tcPr>
                  <w:tcW w:w="0" w:type="auto"/>
                  <w:vMerge w:val="continue"/>
                  <w:noWrap w:val="0"/>
                  <w:vAlign w:val="center"/>
                </w:tcPr>
                <w:p w14:paraId="17461D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i w:val="0"/>
                      <w:iCs w:val="0"/>
                      <w:caps w:val="0"/>
                      <w:color w:val="auto"/>
                      <w:spacing w:val="0"/>
                      <w:sz w:val="21"/>
                      <w:szCs w:val="21"/>
                      <w:highlight w:val="none"/>
                      <w:shd w:val="clear" w:color="auto" w:fill="auto"/>
                      <w:lang w:eastAsia="zh-CN"/>
                    </w:rPr>
                  </w:pPr>
                </w:p>
              </w:tc>
            </w:tr>
            <w:tr w14:paraId="5F3B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8C9D8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i w:val="0"/>
                      <w:iCs w:val="0"/>
                      <w:caps w:val="0"/>
                      <w:color w:val="auto"/>
                      <w:spacing w:val="0"/>
                      <w:sz w:val="21"/>
                      <w:szCs w:val="21"/>
                      <w:highlight w:val="none"/>
                      <w:shd w:val="clear" w:color="auto" w:fill="auto"/>
                      <w:lang w:val="en-US" w:eastAsia="zh-CN"/>
                    </w:rPr>
                  </w:pPr>
                  <w:r>
                    <w:rPr>
                      <w:rFonts w:hint="eastAsia" w:cs="Times New Roman"/>
                      <w:i w:val="0"/>
                      <w:iCs w:val="0"/>
                      <w:caps w:val="0"/>
                      <w:color w:val="auto"/>
                      <w:spacing w:val="0"/>
                      <w:sz w:val="21"/>
                      <w:szCs w:val="21"/>
                      <w:highlight w:val="none"/>
                      <w:shd w:val="clear" w:color="auto" w:fill="auto"/>
                      <w:lang w:val="en-US" w:eastAsia="zh-CN"/>
                    </w:rPr>
                    <w:t>4</w:t>
                  </w:r>
                </w:p>
              </w:tc>
              <w:tc>
                <w:tcPr>
                  <w:tcW w:w="0" w:type="auto"/>
                  <w:noWrap w:val="0"/>
                  <w:vAlign w:val="center"/>
                </w:tcPr>
                <w:p w14:paraId="694116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aps w:val="0"/>
                      <w:color w:val="auto"/>
                      <w:spacing w:val="0"/>
                      <w:sz w:val="21"/>
                      <w:szCs w:val="21"/>
                      <w:highlight w:val="none"/>
                      <w:shd w:val="clear" w:color="auto" w:fill="auto"/>
                      <w:lang w:eastAsia="zh-CN"/>
                    </w:rPr>
                  </w:pPr>
                  <w:r>
                    <w:rPr>
                      <w:rFonts w:hint="eastAsia" w:ascii="Times New Roman" w:hAnsi="Times New Roman" w:eastAsia="宋体" w:cs="Times New Roman"/>
                      <w:color w:val="000000"/>
                      <w:spacing w:val="0"/>
                      <w:w w:val="100"/>
                      <w:position w:val="0"/>
                      <w:sz w:val="21"/>
                      <w:szCs w:val="21"/>
                      <w:lang w:val="en-US" w:eastAsia="zh-CN"/>
                    </w:rPr>
                    <w:t>沼气（主要成分为甲烷60%）</w:t>
                  </w:r>
                </w:p>
              </w:tc>
              <w:tc>
                <w:tcPr>
                  <w:tcW w:w="0" w:type="auto"/>
                  <w:noWrap w:val="0"/>
                  <w:vAlign w:val="center"/>
                </w:tcPr>
                <w:p w14:paraId="746995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i w:val="0"/>
                      <w:iCs w:val="0"/>
                      <w:caps w:val="0"/>
                      <w:color w:val="auto"/>
                      <w:spacing w:val="0"/>
                      <w:sz w:val="21"/>
                      <w:szCs w:val="21"/>
                      <w:highlight w:val="none"/>
                      <w:shd w:val="clear" w:color="auto" w:fill="auto"/>
                      <w:lang w:val="en-US" w:eastAsia="zh-CN"/>
                    </w:rPr>
                  </w:pPr>
                  <w:r>
                    <w:rPr>
                      <w:rFonts w:hint="eastAsia" w:ascii="Times New Roman" w:hAnsi="Times New Roman" w:eastAsia="宋体" w:cs="Times New Roman"/>
                      <w:i w:val="0"/>
                      <w:iCs w:val="0"/>
                      <w:caps w:val="0"/>
                      <w:color w:val="auto"/>
                      <w:spacing w:val="0"/>
                      <w:sz w:val="21"/>
                      <w:szCs w:val="21"/>
                      <w:highlight w:val="none"/>
                      <w:shd w:val="clear" w:color="auto" w:fill="auto"/>
                      <w:lang w:val="en-US" w:eastAsia="zh-CN"/>
                    </w:rPr>
                    <w:t>74-82-8</w:t>
                  </w:r>
                </w:p>
              </w:tc>
              <w:tc>
                <w:tcPr>
                  <w:tcW w:w="0" w:type="auto"/>
                  <w:shd w:val="clear" w:color="auto" w:fill="auto"/>
                  <w:noWrap w:val="0"/>
                  <w:vAlign w:val="center"/>
                </w:tcPr>
                <w:p w14:paraId="4469CE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aps w:val="0"/>
                      <w:color w:val="auto"/>
                      <w:spacing w:val="0"/>
                      <w:sz w:val="21"/>
                      <w:szCs w:val="21"/>
                      <w:highlight w:val="none"/>
                      <w:shd w:val="clear" w:color="auto" w:fill="auto"/>
                      <w:lang w:val="en-US" w:eastAsia="zh-CN"/>
                    </w:rPr>
                  </w:pPr>
                  <w:r>
                    <w:rPr>
                      <w:rFonts w:hint="eastAsia" w:ascii="Times New Roman" w:hAnsi="Times New Roman" w:eastAsia="宋体" w:cs="Times New Roman"/>
                      <w:i w:val="0"/>
                      <w:iCs w:val="0"/>
                      <w:caps w:val="0"/>
                      <w:color w:val="auto"/>
                      <w:spacing w:val="0"/>
                      <w:sz w:val="21"/>
                      <w:szCs w:val="21"/>
                      <w:highlight w:val="none"/>
                      <w:shd w:val="clear" w:color="auto" w:fill="auto"/>
                      <w:lang w:val="en-US" w:eastAsia="zh-CN"/>
                    </w:rPr>
                    <w:t>-161.5</w:t>
                  </w:r>
                </w:p>
              </w:tc>
              <w:tc>
                <w:tcPr>
                  <w:tcW w:w="0" w:type="auto"/>
                  <w:noWrap w:val="0"/>
                  <w:vAlign w:val="center"/>
                </w:tcPr>
                <w:p w14:paraId="04B2B8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i w:val="0"/>
                      <w:iCs w:val="0"/>
                      <w:caps w:val="0"/>
                      <w:color w:val="auto"/>
                      <w:spacing w:val="0"/>
                      <w:sz w:val="21"/>
                      <w:szCs w:val="21"/>
                      <w:highlight w:val="none"/>
                      <w:shd w:val="clear" w:color="auto" w:fill="auto"/>
                      <w:lang w:val="en-US" w:eastAsia="zh-CN"/>
                    </w:rPr>
                  </w:pPr>
                  <w:r>
                    <w:rPr>
                      <w:rFonts w:hint="eastAsia" w:cs="Times New Roman"/>
                      <w:i w:val="0"/>
                      <w:iCs w:val="0"/>
                      <w:caps w:val="0"/>
                      <w:color w:val="auto"/>
                      <w:spacing w:val="0"/>
                      <w:sz w:val="21"/>
                      <w:szCs w:val="21"/>
                      <w:highlight w:val="none"/>
                      <w:shd w:val="clear" w:color="auto" w:fill="auto"/>
                      <w:lang w:val="en-US" w:eastAsia="zh-CN"/>
                    </w:rPr>
                    <w:t>-188</w:t>
                  </w:r>
                </w:p>
              </w:tc>
              <w:tc>
                <w:tcPr>
                  <w:tcW w:w="0" w:type="auto"/>
                  <w:shd w:val="clear" w:color="auto" w:fill="auto"/>
                  <w:noWrap w:val="0"/>
                  <w:vAlign w:val="center"/>
                </w:tcPr>
                <w:p w14:paraId="7947B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i w:val="0"/>
                      <w:iCs w:val="0"/>
                      <w:caps w:val="0"/>
                      <w:color w:val="auto"/>
                      <w:spacing w:val="0"/>
                      <w:sz w:val="21"/>
                      <w:szCs w:val="21"/>
                      <w:highlight w:val="none"/>
                      <w:shd w:val="clear" w:color="auto" w:fill="auto"/>
                      <w:lang w:val="en-US" w:eastAsia="zh-CN"/>
                    </w:rPr>
                  </w:pPr>
                  <w:r>
                    <w:rPr>
                      <w:rFonts w:hint="eastAsia" w:cs="Times New Roman"/>
                      <w:i w:val="0"/>
                      <w:iCs w:val="0"/>
                      <w:caps w:val="0"/>
                      <w:color w:val="auto"/>
                      <w:spacing w:val="0"/>
                      <w:sz w:val="21"/>
                      <w:szCs w:val="21"/>
                      <w:highlight w:val="none"/>
                      <w:shd w:val="clear" w:color="auto" w:fill="auto"/>
                      <w:lang w:val="en-US" w:eastAsia="zh-CN"/>
                    </w:rPr>
                    <w:t>540</w:t>
                  </w:r>
                </w:p>
              </w:tc>
              <w:tc>
                <w:tcPr>
                  <w:tcW w:w="0" w:type="auto"/>
                  <w:noWrap w:val="0"/>
                  <w:vAlign w:val="center"/>
                </w:tcPr>
                <w:p w14:paraId="667561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i w:val="0"/>
                      <w:iCs w:val="0"/>
                      <w:caps w:val="0"/>
                      <w:color w:val="auto"/>
                      <w:spacing w:val="0"/>
                      <w:sz w:val="21"/>
                      <w:szCs w:val="21"/>
                      <w:highlight w:val="none"/>
                      <w:shd w:val="clear" w:color="auto" w:fill="auto"/>
                      <w:lang w:eastAsia="zh-CN"/>
                    </w:rPr>
                  </w:pPr>
                  <w:r>
                    <w:rPr>
                      <w:rFonts w:hint="eastAsia" w:ascii="Times New Roman" w:hAnsi="Times New Roman" w:eastAsia="宋体" w:cs="Times New Roman"/>
                      <w:i w:val="0"/>
                      <w:iCs w:val="0"/>
                      <w:caps w:val="0"/>
                      <w:color w:val="auto"/>
                      <w:spacing w:val="0"/>
                      <w:sz w:val="21"/>
                      <w:szCs w:val="21"/>
                      <w:highlight w:val="none"/>
                      <w:shd w:val="clear" w:color="auto" w:fill="auto"/>
                      <w:lang w:eastAsia="zh-CN"/>
                    </w:rPr>
                    <w:t>甲烷在常温常压下与氧气反应产生二氧化碳和水，同时也可能与其他高风险气体形成爆炸。它是易燃物质，具有高爆特性，并且可能引发高压、低温灼伤等危险。甲烷还可能引起窒息，危险于密闭空间和通风不良的区域，以及密度高于空气的区域。</w:t>
                  </w:r>
                </w:p>
              </w:tc>
            </w:tr>
          </w:tbl>
          <w:p w14:paraId="5CFD228E">
            <w:pPr>
              <w:rPr>
                <w:rFonts w:hint="eastAsia"/>
                <w:highlight w:val="none"/>
                <w:lang w:eastAsia="zh-CN"/>
              </w:rPr>
            </w:pPr>
            <w:r>
              <w:rPr>
                <w:highlight w:val="none"/>
              </w:rPr>
              <w:t>本项目生产原辅料风险物质</w:t>
            </w:r>
            <w:r>
              <w:rPr>
                <w:rFonts w:hint="eastAsia"/>
                <w:highlight w:val="none"/>
                <w:lang w:eastAsia="zh-CN"/>
              </w:rPr>
              <w:t>最大储存量、临界量及</w:t>
            </w:r>
            <w:r>
              <w:rPr>
                <w:rFonts w:hint="eastAsia"/>
                <w:highlight w:val="none"/>
                <w:lang w:val="en-US" w:eastAsia="zh-CN"/>
              </w:rPr>
              <w:t>Q值</w:t>
            </w:r>
            <w:r>
              <w:rPr>
                <w:rFonts w:hint="eastAsia"/>
                <w:highlight w:val="none"/>
                <w:lang w:eastAsia="zh-CN"/>
              </w:rPr>
              <w:t>见下表：</w:t>
            </w:r>
          </w:p>
          <w:p w14:paraId="6042BCE9">
            <w:pPr>
              <w:pStyle w:val="8"/>
              <w:keepNext/>
              <w:keepLines w:val="0"/>
              <w:pageBreakBefore w:val="0"/>
              <w:widowControl w:val="0"/>
              <w:numPr>
                <w:ilvl w:val="5"/>
                <w:numId w:val="0"/>
              </w:numPr>
              <w:kinsoku/>
              <w:wordWrap/>
              <w:overflowPunct w:val="0"/>
              <w:topLinePunct w:val="0"/>
              <w:autoSpaceDE/>
              <w:autoSpaceDN/>
              <w:bidi w:val="0"/>
              <w:adjustRightInd/>
              <w:snapToGrid/>
              <w:ind w:left="0" w:leftChars="0" w:firstLine="0" w:firstLineChars="0"/>
              <w:textAlignment w:val="auto"/>
              <w:rPr>
                <w:rFonts w:hint="eastAsia"/>
                <w:highlight w:val="none"/>
                <w:lang w:eastAsia="zh-CN"/>
              </w:rPr>
            </w:pPr>
            <w:r>
              <w:rPr>
                <w:rFonts w:hint="default" w:ascii="Times New Roman" w:hAnsi="Times New Roman" w:eastAsia="宋体" w:cs="Times New Roman"/>
                <w:b/>
                <w:i w:val="0"/>
                <w:color w:val="auto"/>
                <w:kern w:val="2"/>
                <w:sz w:val="24"/>
                <w:szCs w:val="24"/>
                <w:highlight w:val="none"/>
                <w:shd w:val="clear" w:fill="FFFFFF"/>
                <w:lang w:val="en-US" w:eastAsia="zh-CN" w:bidi="ar-SA"/>
              </w:rPr>
              <w:t>表4-2</w:t>
            </w:r>
            <w:r>
              <w:rPr>
                <w:rFonts w:hint="eastAsia" w:cs="Times New Roman"/>
                <w:b/>
                <w:i w:val="0"/>
                <w:color w:val="auto"/>
                <w:kern w:val="2"/>
                <w:sz w:val="24"/>
                <w:szCs w:val="24"/>
                <w:highlight w:val="none"/>
                <w:shd w:val="clear" w:fill="FFFFFF"/>
                <w:lang w:val="en-US" w:eastAsia="zh-CN" w:bidi="ar-SA"/>
              </w:rPr>
              <w:t>9</w:t>
            </w:r>
            <w:r>
              <w:rPr>
                <w:rFonts w:hint="default" w:ascii="Times New Roman" w:hAnsi="Times New Roman" w:eastAsia="宋体" w:cs="Times New Roman"/>
                <w:b/>
                <w:bCs/>
                <w:sz w:val="24"/>
                <w:szCs w:val="24"/>
                <w:highlight w:val="none"/>
              </w:rPr>
              <w:t>Q值确定表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2595"/>
              <w:gridCol w:w="1725"/>
              <w:gridCol w:w="1732"/>
              <w:gridCol w:w="1729"/>
            </w:tblGrid>
            <w:tr w14:paraId="2537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noWrap w:val="0"/>
                  <w:vAlign w:val="center"/>
                </w:tcPr>
                <w:p w14:paraId="0885BD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1"/>
                      <w:szCs w:val="21"/>
                      <w:highlight w:val="none"/>
                    </w:rPr>
                  </w:pPr>
                  <w:r>
                    <w:rPr>
                      <w:b/>
                      <w:bCs/>
                      <w:sz w:val="21"/>
                      <w:szCs w:val="21"/>
                      <w:highlight w:val="none"/>
                    </w:rPr>
                    <w:t>序号</w:t>
                  </w:r>
                </w:p>
              </w:tc>
              <w:tc>
                <w:tcPr>
                  <w:tcW w:w="1503" w:type="pct"/>
                  <w:noWrap w:val="0"/>
                  <w:vAlign w:val="center"/>
                </w:tcPr>
                <w:p w14:paraId="63C47D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1"/>
                      <w:szCs w:val="21"/>
                      <w:highlight w:val="none"/>
                    </w:rPr>
                  </w:pPr>
                  <w:r>
                    <w:rPr>
                      <w:b/>
                      <w:bCs/>
                      <w:sz w:val="21"/>
                      <w:szCs w:val="21"/>
                      <w:highlight w:val="none"/>
                    </w:rPr>
                    <w:t>危险物质名称</w:t>
                  </w:r>
                </w:p>
              </w:tc>
              <w:tc>
                <w:tcPr>
                  <w:tcW w:w="999" w:type="pct"/>
                  <w:noWrap w:val="0"/>
                  <w:vAlign w:val="center"/>
                </w:tcPr>
                <w:p w14:paraId="3C02F6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1"/>
                      <w:szCs w:val="21"/>
                      <w:highlight w:val="none"/>
                    </w:rPr>
                  </w:pPr>
                  <w:r>
                    <w:rPr>
                      <w:b/>
                      <w:bCs/>
                      <w:sz w:val="21"/>
                      <w:szCs w:val="21"/>
                      <w:highlight w:val="none"/>
                    </w:rPr>
                    <w:t>最大暂存量（t）</w:t>
                  </w:r>
                </w:p>
              </w:tc>
              <w:tc>
                <w:tcPr>
                  <w:tcW w:w="1003" w:type="pct"/>
                  <w:noWrap w:val="0"/>
                  <w:vAlign w:val="center"/>
                </w:tcPr>
                <w:p w14:paraId="126067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1"/>
                      <w:szCs w:val="21"/>
                      <w:highlight w:val="none"/>
                    </w:rPr>
                  </w:pPr>
                  <w:r>
                    <w:rPr>
                      <w:b/>
                      <w:bCs/>
                      <w:sz w:val="21"/>
                      <w:szCs w:val="21"/>
                      <w:highlight w:val="none"/>
                    </w:rPr>
                    <w:t>临界量（t）</w:t>
                  </w:r>
                </w:p>
              </w:tc>
              <w:tc>
                <w:tcPr>
                  <w:tcW w:w="1001" w:type="pct"/>
                  <w:noWrap w:val="0"/>
                  <w:vAlign w:val="center"/>
                </w:tcPr>
                <w:p w14:paraId="714357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1"/>
                      <w:szCs w:val="21"/>
                      <w:highlight w:val="none"/>
                    </w:rPr>
                  </w:pPr>
                  <w:r>
                    <w:rPr>
                      <w:b/>
                      <w:bCs/>
                      <w:sz w:val="21"/>
                      <w:szCs w:val="21"/>
                      <w:highlight w:val="none"/>
                    </w:rPr>
                    <w:t>Q值</w:t>
                  </w:r>
                </w:p>
              </w:tc>
            </w:tr>
            <w:tr w14:paraId="22F0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noWrap w:val="0"/>
                  <w:vAlign w:val="center"/>
                </w:tcPr>
                <w:p w14:paraId="642B6A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1</w:t>
                  </w:r>
                </w:p>
              </w:tc>
              <w:tc>
                <w:tcPr>
                  <w:tcW w:w="1503" w:type="pct"/>
                  <w:noWrap w:val="0"/>
                  <w:vAlign w:val="center"/>
                </w:tcPr>
                <w:p w14:paraId="7BE965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lang w:eastAsia="zh-CN"/>
                    </w:rPr>
                  </w:pPr>
                  <w:r>
                    <w:rPr>
                      <w:rFonts w:hint="eastAsia"/>
                      <w:sz w:val="21"/>
                      <w:szCs w:val="21"/>
                    </w:rPr>
                    <w:t>次氯酸纳</w:t>
                  </w:r>
                </w:p>
              </w:tc>
              <w:tc>
                <w:tcPr>
                  <w:tcW w:w="999" w:type="pct"/>
                  <w:noWrap w:val="0"/>
                  <w:vAlign w:val="center"/>
                </w:tcPr>
                <w:p w14:paraId="71410A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0.45</w:t>
                  </w:r>
                </w:p>
              </w:tc>
              <w:tc>
                <w:tcPr>
                  <w:tcW w:w="1003" w:type="pct"/>
                  <w:noWrap w:val="0"/>
                  <w:vAlign w:val="center"/>
                </w:tcPr>
                <w:p w14:paraId="1EDAD2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5</w:t>
                  </w:r>
                </w:p>
              </w:tc>
              <w:tc>
                <w:tcPr>
                  <w:tcW w:w="1001" w:type="pct"/>
                  <w:noWrap w:val="0"/>
                  <w:vAlign w:val="center"/>
                </w:tcPr>
                <w:p w14:paraId="1B160A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0.09</w:t>
                  </w:r>
                </w:p>
              </w:tc>
            </w:tr>
            <w:tr w14:paraId="3261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noWrap w:val="0"/>
                  <w:vAlign w:val="center"/>
                </w:tcPr>
                <w:p w14:paraId="1952E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lang w:val="en-US" w:eastAsia="zh-CN"/>
                    </w:rPr>
                  </w:pPr>
                  <w:r>
                    <w:rPr>
                      <w:rFonts w:hint="eastAsia" w:cs="Times New Roman"/>
                      <w:i w:val="0"/>
                      <w:iCs w:val="0"/>
                      <w:caps w:val="0"/>
                      <w:color w:val="auto"/>
                      <w:spacing w:val="0"/>
                      <w:sz w:val="21"/>
                      <w:szCs w:val="21"/>
                      <w:highlight w:val="none"/>
                      <w:shd w:val="clear" w:color="auto" w:fill="auto"/>
                      <w:lang w:val="en-US" w:eastAsia="zh-CN"/>
                    </w:rPr>
                    <w:t>2</w:t>
                  </w:r>
                </w:p>
              </w:tc>
              <w:tc>
                <w:tcPr>
                  <w:tcW w:w="1503" w:type="pct"/>
                  <w:noWrap w:val="0"/>
                  <w:vAlign w:val="center"/>
                </w:tcPr>
                <w:p w14:paraId="5769D2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aps w:val="0"/>
                      <w:color w:val="auto"/>
                      <w:spacing w:val="0"/>
                      <w:sz w:val="21"/>
                      <w:szCs w:val="21"/>
                      <w:highlight w:val="none"/>
                      <w:shd w:val="clear" w:color="auto" w:fill="auto"/>
                      <w:lang w:eastAsia="zh-CN"/>
                    </w:rPr>
                  </w:pPr>
                  <w:r>
                    <w:rPr>
                      <w:rFonts w:hint="eastAsia" w:cs="Times New Roman"/>
                      <w:i w:val="0"/>
                      <w:iCs w:val="0"/>
                      <w:caps w:val="0"/>
                      <w:color w:val="auto"/>
                      <w:spacing w:val="0"/>
                      <w:sz w:val="21"/>
                      <w:szCs w:val="21"/>
                      <w:highlight w:val="none"/>
                      <w:shd w:val="clear" w:color="auto" w:fill="auto"/>
                      <w:lang w:eastAsia="zh-CN"/>
                    </w:rPr>
                    <w:t>机油</w:t>
                  </w:r>
                </w:p>
              </w:tc>
              <w:tc>
                <w:tcPr>
                  <w:tcW w:w="999" w:type="pct"/>
                  <w:noWrap w:val="0"/>
                  <w:vAlign w:val="center"/>
                </w:tcPr>
                <w:p w14:paraId="3EEDFF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0.18</w:t>
                  </w:r>
                </w:p>
              </w:tc>
              <w:tc>
                <w:tcPr>
                  <w:tcW w:w="1003" w:type="pct"/>
                  <w:noWrap w:val="0"/>
                  <w:vAlign w:val="center"/>
                </w:tcPr>
                <w:p w14:paraId="25214A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2500</w:t>
                  </w:r>
                </w:p>
              </w:tc>
              <w:tc>
                <w:tcPr>
                  <w:tcW w:w="1001" w:type="pct"/>
                  <w:noWrap w:val="0"/>
                  <w:vAlign w:val="center"/>
                </w:tcPr>
                <w:p w14:paraId="2542AA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0.000072</w:t>
                  </w:r>
                </w:p>
              </w:tc>
            </w:tr>
            <w:tr w14:paraId="312D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noWrap w:val="0"/>
                  <w:vAlign w:val="center"/>
                </w:tcPr>
                <w:p w14:paraId="176D8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lang w:val="en-US" w:eastAsia="zh-CN"/>
                    </w:rPr>
                  </w:pPr>
                  <w:r>
                    <w:rPr>
                      <w:rFonts w:hint="eastAsia" w:cs="Times New Roman"/>
                      <w:i w:val="0"/>
                      <w:iCs w:val="0"/>
                      <w:caps w:val="0"/>
                      <w:color w:val="auto"/>
                      <w:spacing w:val="0"/>
                      <w:sz w:val="21"/>
                      <w:szCs w:val="21"/>
                      <w:highlight w:val="none"/>
                      <w:shd w:val="clear" w:color="auto" w:fill="auto"/>
                      <w:lang w:val="en-US" w:eastAsia="zh-CN"/>
                    </w:rPr>
                    <w:t>3</w:t>
                  </w:r>
                </w:p>
              </w:tc>
              <w:tc>
                <w:tcPr>
                  <w:tcW w:w="1503" w:type="pct"/>
                  <w:noWrap w:val="0"/>
                  <w:vAlign w:val="center"/>
                </w:tcPr>
                <w:p w14:paraId="4186D3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aps w:val="0"/>
                      <w:color w:val="auto"/>
                      <w:spacing w:val="0"/>
                      <w:sz w:val="21"/>
                      <w:szCs w:val="21"/>
                      <w:highlight w:val="none"/>
                      <w:shd w:val="clear" w:color="auto" w:fill="auto"/>
                      <w:lang w:eastAsia="zh-CN"/>
                    </w:rPr>
                  </w:pPr>
                  <w:r>
                    <w:rPr>
                      <w:rFonts w:hint="eastAsia" w:cs="Times New Roman"/>
                      <w:i w:val="0"/>
                      <w:iCs w:val="0"/>
                      <w:caps w:val="0"/>
                      <w:color w:val="auto"/>
                      <w:spacing w:val="0"/>
                      <w:sz w:val="21"/>
                      <w:szCs w:val="21"/>
                      <w:highlight w:val="none"/>
                      <w:shd w:val="clear" w:color="auto" w:fill="auto"/>
                      <w:lang w:eastAsia="zh-CN"/>
                    </w:rPr>
                    <w:t>废机油</w:t>
                  </w:r>
                </w:p>
              </w:tc>
              <w:tc>
                <w:tcPr>
                  <w:tcW w:w="999" w:type="pct"/>
                  <w:noWrap w:val="0"/>
                  <w:vAlign w:val="center"/>
                </w:tcPr>
                <w:p w14:paraId="4EB401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0.05</w:t>
                  </w:r>
                </w:p>
              </w:tc>
              <w:tc>
                <w:tcPr>
                  <w:tcW w:w="1003" w:type="pct"/>
                  <w:noWrap w:val="0"/>
                  <w:vAlign w:val="center"/>
                </w:tcPr>
                <w:p w14:paraId="18CD47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2500</w:t>
                  </w:r>
                </w:p>
              </w:tc>
              <w:tc>
                <w:tcPr>
                  <w:tcW w:w="1001" w:type="pct"/>
                  <w:noWrap w:val="0"/>
                  <w:vAlign w:val="center"/>
                </w:tcPr>
                <w:p w14:paraId="454578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0.00002</w:t>
                  </w:r>
                </w:p>
              </w:tc>
            </w:tr>
            <w:tr w14:paraId="2FF5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noWrap w:val="0"/>
                  <w:vAlign w:val="center"/>
                </w:tcPr>
                <w:p w14:paraId="6E2A0C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i w:val="0"/>
                      <w:iCs w:val="0"/>
                      <w:caps w:val="0"/>
                      <w:color w:val="auto"/>
                      <w:spacing w:val="0"/>
                      <w:sz w:val="21"/>
                      <w:szCs w:val="21"/>
                      <w:highlight w:val="none"/>
                      <w:shd w:val="clear" w:color="auto" w:fill="auto"/>
                      <w:lang w:val="en-US" w:eastAsia="zh-CN"/>
                    </w:rPr>
                  </w:pPr>
                  <w:r>
                    <w:rPr>
                      <w:rFonts w:hint="eastAsia" w:cs="Times New Roman"/>
                      <w:i w:val="0"/>
                      <w:iCs w:val="0"/>
                      <w:caps w:val="0"/>
                      <w:color w:val="auto"/>
                      <w:spacing w:val="0"/>
                      <w:sz w:val="21"/>
                      <w:szCs w:val="21"/>
                      <w:highlight w:val="none"/>
                      <w:shd w:val="clear" w:color="auto" w:fill="auto"/>
                      <w:lang w:val="en-US" w:eastAsia="zh-CN"/>
                    </w:rPr>
                    <w:t>4</w:t>
                  </w:r>
                </w:p>
              </w:tc>
              <w:tc>
                <w:tcPr>
                  <w:tcW w:w="1503" w:type="pct"/>
                  <w:noWrap w:val="0"/>
                  <w:vAlign w:val="center"/>
                </w:tcPr>
                <w:p w14:paraId="7299ED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aps w:val="0"/>
                      <w:color w:val="auto"/>
                      <w:spacing w:val="0"/>
                      <w:sz w:val="21"/>
                      <w:szCs w:val="21"/>
                      <w:highlight w:val="none"/>
                      <w:shd w:val="clear" w:color="auto" w:fill="auto"/>
                      <w:lang w:eastAsia="zh-CN"/>
                    </w:rPr>
                  </w:pPr>
                  <w:r>
                    <w:rPr>
                      <w:rFonts w:hint="eastAsia" w:ascii="Times New Roman" w:hAnsi="Times New Roman" w:eastAsia="宋体" w:cs="Times New Roman"/>
                      <w:color w:val="000000"/>
                      <w:spacing w:val="0"/>
                      <w:w w:val="100"/>
                      <w:position w:val="0"/>
                      <w:sz w:val="21"/>
                      <w:szCs w:val="21"/>
                      <w:lang w:val="en-US" w:eastAsia="zh-CN"/>
                    </w:rPr>
                    <w:t>沼气（主要成分为甲烷60%）</w:t>
                  </w:r>
                </w:p>
              </w:tc>
              <w:tc>
                <w:tcPr>
                  <w:tcW w:w="999" w:type="pct"/>
                  <w:noWrap w:val="0"/>
                  <w:vAlign w:val="center"/>
                </w:tcPr>
                <w:p w14:paraId="71FEAC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2</w:t>
                  </w:r>
                </w:p>
              </w:tc>
              <w:tc>
                <w:tcPr>
                  <w:tcW w:w="1003" w:type="pct"/>
                  <w:noWrap w:val="0"/>
                  <w:vAlign w:val="center"/>
                </w:tcPr>
                <w:p w14:paraId="093A87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10</w:t>
                  </w:r>
                </w:p>
              </w:tc>
              <w:tc>
                <w:tcPr>
                  <w:tcW w:w="1001" w:type="pct"/>
                  <w:noWrap w:val="0"/>
                  <w:vAlign w:val="center"/>
                </w:tcPr>
                <w:p w14:paraId="17D508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0.2</w:t>
                  </w:r>
                </w:p>
              </w:tc>
            </w:tr>
          </w:tbl>
          <w:p w14:paraId="1D02055C">
            <w:pPr>
              <w:ind w:firstLine="480"/>
              <w:rPr>
                <w:highlight w:val="none"/>
              </w:rPr>
            </w:pPr>
            <w:r>
              <w:rPr>
                <w:rFonts w:hint="eastAsia"/>
                <w:highlight w:val="none"/>
              </w:rPr>
              <w:t>根据《建设项目环境风险评价技术导则》（HJ/T169-2018）附录C，当只涉及一种危险物质时，计算该物质的总量与其临界量比值，即为Q。当存在多种危险物质时，则按下式计算物质总量与其临界量的比值（Q）：</w:t>
            </w:r>
          </w:p>
          <w:p w14:paraId="71946CC4">
            <w:pPr>
              <w:ind w:firstLine="480"/>
              <w:rPr>
                <w:highlight w:val="none"/>
              </w:rPr>
            </w:pPr>
            <m:oMathPara>
              <m:oMath>
                <m:r>
                  <m:rPr/>
                  <w:rPr>
                    <w:rFonts w:ascii="Cambria Math" w:hAnsi="Cambria Math"/>
                    <w:highlight w:val="none"/>
                  </w:rPr>
                  <m:t>Q=</m:t>
                </m:r>
                <m:f>
                  <m:fPr>
                    <m:ctrlPr>
                      <w:rPr>
                        <w:rFonts w:ascii="Cambria Math" w:hAnsi="Cambria Math"/>
                        <w:highlight w:val="none"/>
                      </w:rPr>
                    </m:ctrlPr>
                  </m:fPr>
                  <m:num>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1</m:t>
                        </m:r>
                        <m:ctrlPr>
                          <w:rPr>
                            <w:rFonts w:ascii="Cambria Math" w:hAnsi="Cambria Math"/>
                            <w:highlight w:val="none"/>
                          </w:rPr>
                        </m:ctrlPr>
                      </m:sub>
                    </m:sSub>
                    <m:ctrlPr>
                      <w:rPr>
                        <w:rFonts w:ascii="Cambria Math" w:hAnsi="Cambria Math"/>
                        <w:highlight w:val="none"/>
                      </w:rPr>
                    </m:ctrlPr>
                  </m:num>
                  <m:den>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1</m:t>
                        </m:r>
                        <m:ctrlPr>
                          <w:rPr>
                            <w:rFonts w:ascii="Cambria Math" w:hAnsi="Cambria Math"/>
                            <w:highlight w:val="none"/>
                          </w:rPr>
                        </m:ctrlPr>
                      </m:sub>
                    </m:sSub>
                    <m:ctrlPr>
                      <w:rPr>
                        <w:rFonts w:ascii="Cambria Math" w:hAnsi="Cambria Math"/>
                        <w:highlight w:val="none"/>
                      </w:rPr>
                    </m:ctrlPr>
                  </m:den>
                </m:f>
                <m:r>
                  <m:rPr/>
                  <w:rPr>
                    <w:rFonts w:ascii="Cambria Math" w:hAnsi="Cambria Math"/>
                    <w:highlight w:val="none"/>
                  </w:rPr>
                  <m:t>+</m:t>
                </m:r>
                <m:f>
                  <m:fPr>
                    <m:ctrlPr>
                      <w:rPr>
                        <w:rFonts w:ascii="Cambria Math" w:hAnsi="Cambria Math"/>
                        <w:highlight w:val="none"/>
                      </w:rPr>
                    </m:ctrlPr>
                  </m:fPr>
                  <m:num>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2</m:t>
                        </m:r>
                        <m:ctrlPr>
                          <w:rPr>
                            <w:rFonts w:ascii="Cambria Math" w:hAnsi="Cambria Math"/>
                            <w:highlight w:val="none"/>
                          </w:rPr>
                        </m:ctrlPr>
                      </m:sub>
                    </m:sSub>
                    <m:ctrlPr>
                      <w:rPr>
                        <w:rFonts w:ascii="Cambria Math" w:hAnsi="Cambria Math"/>
                        <w:highlight w:val="none"/>
                      </w:rPr>
                    </m:ctrlPr>
                  </m:num>
                  <m:den>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2</m:t>
                        </m:r>
                        <m:ctrlPr>
                          <w:rPr>
                            <w:rFonts w:ascii="Cambria Math" w:hAnsi="Cambria Math"/>
                            <w:highlight w:val="none"/>
                          </w:rPr>
                        </m:ctrlPr>
                      </m:sub>
                    </m:sSub>
                    <m:ctrlPr>
                      <w:rPr>
                        <w:rFonts w:ascii="Cambria Math" w:hAnsi="Cambria Math"/>
                        <w:highlight w:val="none"/>
                      </w:rPr>
                    </m:ctrlPr>
                  </m:den>
                </m:f>
                <m:r>
                  <m:rPr/>
                  <w:rPr>
                    <w:rFonts w:ascii="Cambria Math" w:hAnsi="Cambria Math"/>
                    <w:highlight w:val="none"/>
                  </w:rPr>
                  <m:t>+</m:t>
                </m:r>
                <m:func>
                  <m:funcPr>
                    <m:ctrlPr>
                      <w:rPr>
                        <w:rFonts w:ascii="Cambria Math" w:hAnsi="Cambria Math"/>
                        <w:highlight w:val="none"/>
                      </w:rPr>
                    </m:ctrlPr>
                  </m:funcPr>
                  <m:fName>
                    <m:r>
                      <m:rPr>
                        <m:sty m:val="p"/>
                      </m:rPr>
                      <w:rPr>
                        <w:rFonts w:ascii="Cambria Math" w:hAnsi="Cambria Math"/>
                        <w:highlight w:val="none"/>
                      </w:rPr>
                      <m:t>···</m:t>
                    </m:r>
                    <m:ctrlPr>
                      <w:rPr>
                        <w:rFonts w:ascii="Cambria Math" w:hAnsi="Cambria Math"/>
                        <w:highlight w:val="none"/>
                      </w:rPr>
                    </m:ctrlPr>
                  </m:fName>
                  <m:e>
                    <m:r>
                      <m:rPr/>
                      <w:rPr>
                        <w:rFonts w:ascii="Cambria Math" w:hAnsi="Cambria Math"/>
                        <w:highlight w:val="none"/>
                      </w:rPr>
                      <m:t>+</m:t>
                    </m:r>
                    <m:f>
                      <m:fPr>
                        <m:ctrlPr>
                          <w:rPr>
                            <w:rFonts w:ascii="Cambria Math" w:hAnsi="Cambria Math"/>
                            <w:highlight w:val="none"/>
                          </w:rPr>
                        </m:ctrlPr>
                      </m:fPr>
                      <m:num>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n</m:t>
                            </m:r>
                            <m:ctrlPr>
                              <w:rPr>
                                <w:rFonts w:ascii="Cambria Math" w:hAnsi="Cambria Math"/>
                                <w:highlight w:val="none"/>
                              </w:rPr>
                            </m:ctrlPr>
                          </m:sub>
                        </m:sSub>
                        <m:ctrlPr>
                          <w:rPr>
                            <w:rFonts w:ascii="Cambria Math" w:hAnsi="Cambria Math"/>
                            <w:highlight w:val="none"/>
                          </w:rPr>
                        </m:ctrlPr>
                      </m:num>
                      <m:den>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n</m:t>
                            </m:r>
                            <m:ctrlPr>
                              <w:rPr>
                                <w:rFonts w:ascii="Cambria Math" w:hAnsi="Cambria Math"/>
                                <w:highlight w:val="none"/>
                              </w:rPr>
                            </m:ctrlPr>
                          </m:sub>
                        </m:sSub>
                        <m:ctrlPr>
                          <w:rPr>
                            <w:rFonts w:ascii="Cambria Math" w:hAnsi="Cambria Math"/>
                            <w:highlight w:val="none"/>
                          </w:rPr>
                        </m:ctrlPr>
                      </m:den>
                    </m:f>
                    <m:ctrlPr>
                      <w:rPr>
                        <w:rFonts w:ascii="Cambria Math" w:hAnsi="Cambria Math"/>
                        <w:highlight w:val="none"/>
                      </w:rPr>
                    </m:ctrlPr>
                  </m:e>
                </m:func>
              </m:oMath>
            </m:oMathPara>
          </w:p>
          <w:p w14:paraId="661D8CF1">
            <w:pPr>
              <w:ind w:firstLine="480"/>
              <w:rPr>
                <w:highlight w:val="none"/>
              </w:rPr>
            </w:pPr>
            <w:r>
              <w:rPr>
                <w:highlight w:val="none"/>
              </w:rPr>
              <w:t>式中</w:t>
            </w:r>
            <w:r>
              <w:rPr>
                <w:rFonts w:hint="eastAsia"/>
                <w:highlight w:val="none"/>
              </w:rPr>
              <w:t>：</w:t>
            </w:r>
            <m:oMath>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1</m:t>
                  </m:r>
                  <m:ctrlPr>
                    <w:rPr>
                      <w:rFonts w:ascii="Cambria Math" w:hAnsi="Cambria Math"/>
                      <w:highlight w:val="none"/>
                    </w:rPr>
                  </m:ctrlPr>
                </m:sub>
              </m:sSub>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2</m:t>
                  </m:r>
                  <m:ctrlPr>
                    <w:rPr>
                      <w:rFonts w:ascii="Cambria Math" w:hAnsi="Cambria Math"/>
                      <w:highlight w:val="none"/>
                    </w:rPr>
                  </m:ctrlPr>
                </m:sub>
              </m:sSub>
              <m:r>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n</m:t>
                  </m:r>
                  <m:ctrlPr>
                    <w:rPr>
                      <w:rFonts w:ascii="Cambria Math" w:hAnsi="Cambria Math"/>
                      <w:highlight w:val="none"/>
                    </w:rPr>
                  </m:ctrlPr>
                </m:sub>
              </m:sSub>
            </m:oMath>
            <w:r>
              <w:rPr>
                <w:highlight w:val="none"/>
              </w:rPr>
              <w:t>为每种危险物质实际存在量，单位t；</w:t>
            </w:r>
          </w:p>
          <w:p w14:paraId="16B4EF91">
            <w:pPr>
              <w:ind w:firstLine="480"/>
              <w:rPr>
                <w:highlight w:val="none"/>
                <w:vertAlign w:val="subscript"/>
              </w:rPr>
            </w:pPr>
            <m:oMath>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1</m:t>
                  </m:r>
                  <m:ctrlPr>
                    <w:rPr>
                      <w:rFonts w:ascii="Cambria Math" w:hAnsi="Cambria Math"/>
                      <w:highlight w:val="none"/>
                    </w:rPr>
                  </m:ctrlPr>
                </m:sub>
              </m:sSub>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2</m:t>
                  </m:r>
                  <m:ctrlPr>
                    <w:rPr>
                      <w:rFonts w:ascii="Cambria Math" w:hAnsi="Cambria Math"/>
                      <w:highlight w:val="none"/>
                    </w:rPr>
                  </m:ctrlPr>
                </m:sub>
              </m:sSub>
              <m:r>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n</m:t>
                  </m:r>
                  <m:ctrlPr>
                    <w:rPr>
                      <w:rFonts w:ascii="Cambria Math" w:hAnsi="Cambria Math"/>
                      <w:highlight w:val="none"/>
                    </w:rPr>
                  </m:ctrlPr>
                </m:sub>
              </m:sSub>
            </m:oMath>
            <w:r>
              <w:rPr>
                <w:highlight w:val="none"/>
              </w:rPr>
              <w:t>为与各危险物质相对应单元的临界量，单位t。</w:t>
            </w:r>
          </w:p>
          <w:p w14:paraId="36574460">
            <w:pPr>
              <w:ind w:firstLine="480"/>
              <w:rPr>
                <w:highlight w:val="none"/>
              </w:rPr>
            </w:pPr>
            <w:r>
              <w:rPr>
                <w:highlight w:val="none"/>
              </w:rPr>
              <w:t>当Q</w:t>
            </w:r>
            <w:r>
              <w:rPr>
                <w:rFonts w:hint="eastAsia"/>
                <w:highlight w:val="none"/>
              </w:rPr>
              <w:t>&lt;</w:t>
            </w:r>
            <w:r>
              <w:rPr>
                <w:highlight w:val="none"/>
              </w:rPr>
              <w:t>1时，该项目环境风险潜势为I。</w:t>
            </w:r>
          </w:p>
          <w:p w14:paraId="4CE6E147">
            <w:pPr>
              <w:ind w:firstLine="480"/>
              <w:rPr>
                <w:highlight w:val="none"/>
              </w:rPr>
            </w:pPr>
            <w:r>
              <w:rPr>
                <w:highlight w:val="none"/>
              </w:rPr>
              <w:t>当Q≥1时，将Q值划分为：1≤Q</w:t>
            </w:r>
            <w:r>
              <w:rPr>
                <w:rFonts w:hint="eastAsia"/>
                <w:highlight w:val="none"/>
              </w:rPr>
              <w:t>&lt;</w:t>
            </w:r>
            <w:r>
              <w:rPr>
                <w:highlight w:val="none"/>
              </w:rPr>
              <w:t>10；10≤Q</w:t>
            </w:r>
            <w:r>
              <w:rPr>
                <w:rFonts w:hint="eastAsia"/>
                <w:highlight w:val="none"/>
              </w:rPr>
              <w:t>&lt;</w:t>
            </w:r>
            <w:r>
              <w:rPr>
                <w:highlight w:val="none"/>
              </w:rPr>
              <w:t>100；Q≥100。</w:t>
            </w:r>
          </w:p>
          <w:p w14:paraId="3EB77D20">
            <w:pPr>
              <w:bidi w:val="0"/>
              <w:ind w:left="0" w:leftChars="0" w:firstLine="480" w:firstLineChars="200"/>
              <w:jc w:val="both"/>
              <w:rPr>
                <w:rFonts w:hint="default"/>
                <w:b/>
                <w:bCs/>
                <w:lang w:val="en-US" w:eastAsia="zh-CN"/>
              </w:rPr>
            </w:pPr>
            <w:r>
              <w:rPr>
                <w:rFonts w:hint="default"/>
                <w:b w:val="0"/>
                <w:bCs w:val="0"/>
                <w:lang w:val="en-US" w:eastAsia="zh-CN"/>
              </w:rPr>
              <w:t>由上表可知，Q&lt;1，企业直接评为一般环境风险等级</w:t>
            </w:r>
          </w:p>
          <w:p w14:paraId="490BB222">
            <w:pPr>
              <w:bidi w:val="0"/>
              <w:ind w:left="0" w:leftChars="0" w:firstLine="0" w:firstLineChars="0"/>
              <w:jc w:val="center"/>
              <w:rPr>
                <w:rFonts w:hint="default" w:ascii="Times New Roman" w:hAnsi="Times New Roman" w:eastAsia="宋体" w:cs="Times New Roman"/>
                <w:b/>
                <w:bCs/>
                <w:szCs w:val="24"/>
              </w:rPr>
            </w:pPr>
            <w:r>
              <w:rPr>
                <w:rFonts w:hint="default"/>
                <w:b/>
                <w:bCs/>
                <w:lang w:val="en-US" w:eastAsia="zh-CN"/>
              </w:rPr>
              <w:t>表4-</w:t>
            </w:r>
            <w:r>
              <w:rPr>
                <w:rFonts w:hint="eastAsia"/>
                <w:b/>
                <w:bCs/>
                <w:lang w:val="en-US" w:eastAsia="zh-CN"/>
              </w:rPr>
              <w:t>30</w:t>
            </w:r>
            <w:r>
              <w:rPr>
                <w:rFonts w:hint="default"/>
                <w:b/>
                <w:bCs/>
              </w:rPr>
              <w:t>环境风险识别表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178"/>
              <w:gridCol w:w="1675"/>
              <w:gridCol w:w="2092"/>
              <w:gridCol w:w="1372"/>
              <w:gridCol w:w="1394"/>
            </w:tblGrid>
            <w:tr w14:paraId="60B9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1C360E9">
                  <w:pPr>
                    <w:pStyle w:val="42"/>
                    <w:bidi w:val="0"/>
                    <w:jc w:val="center"/>
                    <w:rPr>
                      <w:rFonts w:hint="eastAsia"/>
                      <w:b/>
                      <w:bCs/>
                      <w:lang w:eastAsia="zh-CN"/>
                    </w:rPr>
                  </w:pPr>
                  <w:r>
                    <w:rPr>
                      <w:rFonts w:hint="eastAsia"/>
                      <w:b/>
                      <w:bCs/>
                      <w:lang w:eastAsia="zh-CN"/>
                    </w:rPr>
                    <w:t>序号</w:t>
                  </w:r>
                </w:p>
              </w:tc>
              <w:tc>
                <w:tcPr>
                  <w:tcW w:w="0" w:type="auto"/>
                  <w:vAlign w:val="center"/>
                </w:tcPr>
                <w:p w14:paraId="4580289F">
                  <w:pPr>
                    <w:pStyle w:val="42"/>
                    <w:bidi w:val="0"/>
                    <w:jc w:val="center"/>
                    <w:rPr>
                      <w:rFonts w:hint="eastAsia"/>
                      <w:b/>
                      <w:bCs/>
                      <w:lang w:eastAsia="zh-CN"/>
                    </w:rPr>
                  </w:pPr>
                  <w:r>
                    <w:rPr>
                      <w:rFonts w:hint="eastAsia"/>
                      <w:b/>
                      <w:bCs/>
                      <w:lang w:eastAsia="zh-CN"/>
                    </w:rPr>
                    <w:t>危险单元</w:t>
                  </w:r>
                </w:p>
              </w:tc>
              <w:tc>
                <w:tcPr>
                  <w:tcW w:w="0" w:type="auto"/>
                  <w:vAlign w:val="center"/>
                </w:tcPr>
                <w:p w14:paraId="1C50D0EA">
                  <w:pPr>
                    <w:pStyle w:val="42"/>
                    <w:bidi w:val="0"/>
                    <w:jc w:val="center"/>
                    <w:rPr>
                      <w:rFonts w:hint="eastAsia"/>
                      <w:b/>
                      <w:bCs/>
                      <w:lang w:eastAsia="zh-CN"/>
                    </w:rPr>
                  </w:pPr>
                  <w:r>
                    <w:rPr>
                      <w:rFonts w:hint="eastAsia"/>
                      <w:b/>
                      <w:bCs/>
                      <w:lang w:eastAsia="zh-CN"/>
                    </w:rPr>
                    <w:t>风险源</w:t>
                  </w:r>
                </w:p>
              </w:tc>
              <w:tc>
                <w:tcPr>
                  <w:tcW w:w="0" w:type="auto"/>
                  <w:vAlign w:val="center"/>
                </w:tcPr>
                <w:p w14:paraId="1BD51517">
                  <w:pPr>
                    <w:pStyle w:val="42"/>
                    <w:bidi w:val="0"/>
                    <w:jc w:val="center"/>
                    <w:rPr>
                      <w:rFonts w:hint="eastAsia"/>
                      <w:b/>
                      <w:bCs/>
                      <w:lang w:eastAsia="zh-CN"/>
                    </w:rPr>
                  </w:pPr>
                  <w:r>
                    <w:rPr>
                      <w:rFonts w:hint="eastAsia"/>
                      <w:b/>
                      <w:bCs/>
                      <w:lang w:eastAsia="zh-CN"/>
                    </w:rPr>
                    <w:t>主要危险物质</w:t>
                  </w:r>
                </w:p>
              </w:tc>
              <w:tc>
                <w:tcPr>
                  <w:tcW w:w="0" w:type="auto"/>
                  <w:vAlign w:val="center"/>
                </w:tcPr>
                <w:p w14:paraId="29A4ED53">
                  <w:pPr>
                    <w:pStyle w:val="42"/>
                    <w:bidi w:val="0"/>
                    <w:jc w:val="center"/>
                    <w:rPr>
                      <w:rFonts w:hint="eastAsia"/>
                      <w:b/>
                      <w:bCs/>
                      <w:lang w:eastAsia="zh-CN"/>
                    </w:rPr>
                  </w:pPr>
                  <w:r>
                    <w:rPr>
                      <w:rFonts w:hint="eastAsia"/>
                      <w:b/>
                      <w:bCs/>
                      <w:lang w:eastAsia="zh-CN"/>
                    </w:rPr>
                    <w:t>环境风险类型</w:t>
                  </w:r>
                </w:p>
              </w:tc>
              <w:tc>
                <w:tcPr>
                  <w:tcW w:w="0" w:type="auto"/>
                  <w:vAlign w:val="center"/>
                </w:tcPr>
                <w:p w14:paraId="179884F0">
                  <w:pPr>
                    <w:pStyle w:val="42"/>
                    <w:bidi w:val="0"/>
                    <w:jc w:val="center"/>
                    <w:rPr>
                      <w:rFonts w:hint="eastAsia"/>
                      <w:b/>
                      <w:bCs/>
                      <w:lang w:eastAsia="zh-CN"/>
                    </w:rPr>
                  </w:pPr>
                  <w:r>
                    <w:rPr>
                      <w:rFonts w:hint="eastAsia"/>
                      <w:b/>
                      <w:bCs/>
                      <w:lang w:eastAsia="zh-CN"/>
                    </w:rPr>
                    <w:t>环境影响途径</w:t>
                  </w:r>
                </w:p>
              </w:tc>
            </w:tr>
            <w:tr w14:paraId="48A6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21D62AD">
                  <w:pPr>
                    <w:pStyle w:val="42"/>
                    <w:bidi w:val="0"/>
                    <w:jc w:val="center"/>
                    <w:rPr>
                      <w:rFonts w:hint="default"/>
                      <w:lang w:val="en-US" w:eastAsia="zh-CN"/>
                    </w:rPr>
                  </w:pPr>
                  <w:r>
                    <w:rPr>
                      <w:rFonts w:hint="eastAsia"/>
                      <w:lang w:val="en-US" w:eastAsia="zh-CN"/>
                    </w:rPr>
                    <w:t>1</w:t>
                  </w:r>
                </w:p>
              </w:tc>
              <w:tc>
                <w:tcPr>
                  <w:tcW w:w="1178" w:type="dxa"/>
                  <w:vAlign w:val="center"/>
                </w:tcPr>
                <w:p w14:paraId="089DC3F0">
                  <w:pPr>
                    <w:pStyle w:val="42"/>
                    <w:bidi w:val="0"/>
                    <w:ind w:firstLine="0" w:firstLineChars="0"/>
                    <w:jc w:val="center"/>
                    <w:rPr>
                      <w:rFonts w:hint="eastAsia"/>
                      <w:lang w:eastAsia="zh-CN"/>
                    </w:rPr>
                  </w:pPr>
                  <w:r>
                    <w:rPr>
                      <w:rFonts w:hint="eastAsia"/>
                      <w:lang w:eastAsia="zh-CN"/>
                    </w:rPr>
                    <w:t>危废暂存间</w:t>
                  </w:r>
                </w:p>
              </w:tc>
              <w:tc>
                <w:tcPr>
                  <w:tcW w:w="1675" w:type="dxa"/>
                  <w:vAlign w:val="center"/>
                </w:tcPr>
                <w:p w14:paraId="5395FA21">
                  <w:pPr>
                    <w:pStyle w:val="42"/>
                    <w:bidi w:val="0"/>
                    <w:ind w:firstLine="0" w:firstLineChars="0"/>
                    <w:jc w:val="center"/>
                    <w:rPr>
                      <w:rFonts w:hint="eastAsia"/>
                      <w:lang w:eastAsia="zh-CN"/>
                    </w:rPr>
                  </w:pPr>
                  <w:r>
                    <w:rPr>
                      <w:rFonts w:hint="eastAsia"/>
                      <w:lang w:eastAsia="zh-CN"/>
                    </w:rPr>
                    <w:t>废机油</w:t>
                  </w:r>
                </w:p>
              </w:tc>
              <w:tc>
                <w:tcPr>
                  <w:tcW w:w="2092" w:type="dxa"/>
                  <w:vAlign w:val="center"/>
                </w:tcPr>
                <w:p w14:paraId="39F22D27">
                  <w:pPr>
                    <w:pStyle w:val="42"/>
                    <w:bidi w:val="0"/>
                    <w:ind w:firstLine="0" w:firstLineChars="0"/>
                    <w:jc w:val="center"/>
                    <w:rPr>
                      <w:rFonts w:hint="eastAsia"/>
                      <w:lang w:eastAsia="zh-CN"/>
                    </w:rPr>
                  </w:pPr>
                  <w:r>
                    <w:rPr>
                      <w:rFonts w:hint="eastAsia"/>
                      <w:lang w:eastAsia="zh-CN"/>
                    </w:rPr>
                    <w:t>油类物质</w:t>
                  </w:r>
                </w:p>
              </w:tc>
              <w:tc>
                <w:tcPr>
                  <w:tcW w:w="1372" w:type="dxa"/>
                  <w:vAlign w:val="center"/>
                </w:tcPr>
                <w:p w14:paraId="78F57790">
                  <w:pPr>
                    <w:pStyle w:val="42"/>
                    <w:bidi w:val="0"/>
                    <w:ind w:firstLine="0" w:firstLineChars="0"/>
                    <w:jc w:val="center"/>
                    <w:rPr>
                      <w:rFonts w:hint="eastAsia"/>
                      <w:lang w:eastAsia="zh-CN"/>
                    </w:rPr>
                  </w:pPr>
                  <w:r>
                    <w:rPr>
                      <w:rFonts w:hint="eastAsia"/>
                      <w:lang w:eastAsia="zh-CN"/>
                    </w:rPr>
                    <w:t>泄漏</w:t>
                  </w:r>
                </w:p>
              </w:tc>
              <w:tc>
                <w:tcPr>
                  <w:tcW w:w="1394" w:type="dxa"/>
                  <w:vAlign w:val="center"/>
                </w:tcPr>
                <w:p w14:paraId="32A91CE3">
                  <w:pPr>
                    <w:pStyle w:val="42"/>
                    <w:bidi w:val="0"/>
                    <w:ind w:firstLine="0" w:firstLineChars="0"/>
                    <w:jc w:val="center"/>
                    <w:rPr>
                      <w:rFonts w:hint="eastAsia"/>
                      <w:lang w:eastAsia="zh-CN"/>
                    </w:rPr>
                  </w:pPr>
                  <w:r>
                    <w:rPr>
                      <w:rFonts w:hint="eastAsia"/>
                      <w:lang w:eastAsia="zh-CN"/>
                    </w:rPr>
                    <w:t>泄漏、火灾</w:t>
                  </w:r>
                </w:p>
              </w:tc>
            </w:tr>
            <w:tr w14:paraId="4432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1F072DE">
                  <w:pPr>
                    <w:pStyle w:val="42"/>
                    <w:bidi w:val="0"/>
                    <w:jc w:val="center"/>
                    <w:rPr>
                      <w:rFonts w:hint="default"/>
                      <w:lang w:val="en-US" w:eastAsia="zh-CN"/>
                    </w:rPr>
                  </w:pPr>
                  <w:r>
                    <w:rPr>
                      <w:rFonts w:hint="eastAsia"/>
                      <w:lang w:val="en-US" w:eastAsia="zh-CN"/>
                    </w:rPr>
                    <w:t>2</w:t>
                  </w:r>
                </w:p>
              </w:tc>
              <w:tc>
                <w:tcPr>
                  <w:tcW w:w="1178" w:type="dxa"/>
                  <w:vAlign w:val="center"/>
                </w:tcPr>
                <w:p w14:paraId="017510D5">
                  <w:pPr>
                    <w:pStyle w:val="42"/>
                    <w:bidi w:val="0"/>
                    <w:ind w:firstLine="0" w:firstLineChars="0"/>
                    <w:jc w:val="center"/>
                    <w:rPr>
                      <w:rFonts w:hint="eastAsia"/>
                      <w:lang w:eastAsia="zh-CN"/>
                    </w:rPr>
                  </w:pPr>
                  <w:r>
                    <w:rPr>
                      <w:rFonts w:hint="eastAsia"/>
                      <w:lang w:eastAsia="zh-CN"/>
                    </w:rPr>
                    <w:t>库房</w:t>
                  </w:r>
                </w:p>
              </w:tc>
              <w:tc>
                <w:tcPr>
                  <w:tcW w:w="1675" w:type="dxa"/>
                  <w:vAlign w:val="center"/>
                </w:tcPr>
                <w:p w14:paraId="76693E30">
                  <w:pPr>
                    <w:pStyle w:val="42"/>
                    <w:bidi w:val="0"/>
                    <w:ind w:firstLine="0" w:firstLineChars="0"/>
                    <w:jc w:val="center"/>
                    <w:rPr>
                      <w:rFonts w:hint="eastAsia"/>
                      <w:lang w:eastAsia="zh-CN"/>
                    </w:rPr>
                  </w:pPr>
                  <w:r>
                    <w:rPr>
                      <w:rFonts w:hint="eastAsia"/>
                      <w:lang w:eastAsia="zh-CN"/>
                    </w:rPr>
                    <w:t>机油、次氯酸钠</w:t>
                  </w:r>
                </w:p>
              </w:tc>
              <w:tc>
                <w:tcPr>
                  <w:tcW w:w="2092" w:type="dxa"/>
                  <w:vAlign w:val="center"/>
                </w:tcPr>
                <w:p w14:paraId="180BA66A">
                  <w:pPr>
                    <w:pStyle w:val="42"/>
                    <w:bidi w:val="0"/>
                    <w:ind w:firstLine="0" w:firstLineChars="0"/>
                    <w:jc w:val="center"/>
                    <w:rPr>
                      <w:rFonts w:hint="eastAsia"/>
                      <w:lang w:eastAsia="zh-CN"/>
                    </w:rPr>
                  </w:pPr>
                  <w:r>
                    <w:rPr>
                      <w:rFonts w:hint="eastAsia"/>
                      <w:lang w:eastAsia="zh-CN"/>
                    </w:rPr>
                    <w:t>油类物质、次氯酸钠</w:t>
                  </w:r>
                </w:p>
              </w:tc>
              <w:tc>
                <w:tcPr>
                  <w:tcW w:w="1372" w:type="dxa"/>
                  <w:vAlign w:val="center"/>
                </w:tcPr>
                <w:p w14:paraId="52ECEF0E">
                  <w:pPr>
                    <w:pStyle w:val="42"/>
                    <w:bidi w:val="0"/>
                    <w:ind w:firstLine="0" w:firstLineChars="0"/>
                    <w:jc w:val="center"/>
                    <w:rPr>
                      <w:rFonts w:hint="eastAsia" w:eastAsia="宋体"/>
                      <w:lang w:eastAsia="zh-CN"/>
                    </w:rPr>
                  </w:pPr>
                  <w:r>
                    <w:rPr>
                      <w:rFonts w:hint="eastAsia"/>
                      <w:lang w:eastAsia="zh-CN"/>
                    </w:rPr>
                    <w:t>泄漏</w:t>
                  </w:r>
                </w:p>
              </w:tc>
              <w:tc>
                <w:tcPr>
                  <w:tcW w:w="1394" w:type="dxa"/>
                  <w:vAlign w:val="center"/>
                </w:tcPr>
                <w:p w14:paraId="15BB934E">
                  <w:pPr>
                    <w:pStyle w:val="42"/>
                    <w:bidi w:val="0"/>
                    <w:ind w:firstLine="0" w:firstLineChars="0"/>
                    <w:jc w:val="center"/>
                    <w:rPr>
                      <w:rFonts w:hint="eastAsia"/>
                      <w:lang w:eastAsia="zh-CN"/>
                    </w:rPr>
                  </w:pPr>
                  <w:r>
                    <w:rPr>
                      <w:rFonts w:hint="eastAsia"/>
                      <w:lang w:eastAsia="zh-CN"/>
                    </w:rPr>
                    <w:t>泄漏、火灾</w:t>
                  </w:r>
                </w:p>
              </w:tc>
            </w:tr>
            <w:tr w14:paraId="4D69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B0437AC">
                  <w:pPr>
                    <w:pStyle w:val="42"/>
                    <w:bidi w:val="0"/>
                    <w:jc w:val="center"/>
                    <w:rPr>
                      <w:rFonts w:hint="default"/>
                      <w:lang w:val="en-US" w:eastAsia="zh-CN"/>
                    </w:rPr>
                  </w:pPr>
                  <w:r>
                    <w:rPr>
                      <w:rFonts w:hint="eastAsia"/>
                      <w:lang w:val="en-US" w:eastAsia="zh-CN"/>
                    </w:rPr>
                    <w:t>3</w:t>
                  </w:r>
                </w:p>
              </w:tc>
              <w:tc>
                <w:tcPr>
                  <w:tcW w:w="1178" w:type="dxa"/>
                  <w:vAlign w:val="center"/>
                </w:tcPr>
                <w:p w14:paraId="2F58D848">
                  <w:pPr>
                    <w:pStyle w:val="42"/>
                    <w:bidi w:val="0"/>
                    <w:ind w:firstLine="0" w:firstLineChars="0"/>
                    <w:jc w:val="center"/>
                    <w:rPr>
                      <w:rFonts w:hint="eastAsia"/>
                      <w:lang w:eastAsia="zh-CN"/>
                    </w:rPr>
                  </w:pPr>
                  <w:r>
                    <w:rPr>
                      <w:rFonts w:hint="eastAsia"/>
                      <w:lang w:eastAsia="zh-CN"/>
                    </w:rPr>
                    <w:t>黑膜厌氧池、管道</w:t>
                  </w:r>
                </w:p>
              </w:tc>
              <w:tc>
                <w:tcPr>
                  <w:tcW w:w="1675" w:type="dxa"/>
                  <w:vAlign w:val="center"/>
                </w:tcPr>
                <w:p w14:paraId="5A72AFF3">
                  <w:pPr>
                    <w:pStyle w:val="42"/>
                    <w:bidi w:val="0"/>
                    <w:ind w:firstLine="0" w:firstLineChars="0"/>
                    <w:jc w:val="center"/>
                    <w:rPr>
                      <w:rFonts w:hint="eastAsia"/>
                      <w:lang w:eastAsia="zh-CN"/>
                    </w:rPr>
                  </w:pPr>
                  <w:r>
                    <w:rPr>
                      <w:rFonts w:hint="eastAsia"/>
                      <w:lang w:eastAsia="zh-CN"/>
                    </w:rPr>
                    <w:t>沼气</w:t>
                  </w:r>
                </w:p>
              </w:tc>
              <w:tc>
                <w:tcPr>
                  <w:tcW w:w="2092" w:type="dxa"/>
                  <w:vAlign w:val="center"/>
                </w:tcPr>
                <w:p w14:paraId="46564C4B">
                  <w:pPr>
                    <w:pStyle w:val="42"/>
                    <w:bidi w:val="0"/>
                    <w:ind w:firstLine="0" w:firstLineChars="0"/>
                    <w:jc w:val="center"/>
                    <w:rPr>
                      <w:rFonts w:hint="eastAsia"/>
                      <w:lang w:eastAsia="zh-CN"/>
                    </w:rPr>
                  </w:pPr>
                  <w:r>
                    <w:rPr>
                      <w:rFonts w:hint="eastAsia"/>
                      <w:lang w:eastAsia="zh-CN"/>
                    </w:rPr>
                    <w:t>甲烷</w:t>
                  </w:r>
                </w:p>
              </w:tc>
              <w:tc>
                <w:tcPr>
                  <w:tcW w:w="1372" w:type="dxa"/>
                  <w:vAlign w:val="center"/>
                </w:tcPr>
                <w:p w14:paraId="4C85AF7B">
                  <w:pPr>
                    <w:pStyle w:val="42"/>
                    <w:bidi w:val="0"/>
                    <w:ind w:firstLine="0" w:firstLineChars="0"/>
                    <w:jc w:val="center"/>
                    <w:rPr>
                      <w:rFonts w:hint="eastAsia"/>
                      <w:lang w:eastAsia="zh-CN"/>
                    </w:rPr>
                  </w:pPr>
                  <w:r>
                    <w:rPr>
                      <w:rFonts w:hint="eastAsia"/>
                      <w:lang w:eastAsia="zh-CN"/>
                    </w:rPr>
                    <w:t>泄漏</w:t>
                  </w:r>
                </w:p>
              </w:tc>
              <w:tc>
                <w:tcPr>
                  <w:tcW w:w="1394" w:type="dxa"/>
                  <w:vAlign w:val="center"/>
                </w:tcPr>
                <w:p w14:paraId="38368240">
                  <w:pPr>
                    <w:pStyle w:val="42"/>
                    <w:bidi w:val="0"/>
                    <w:ind w:firstLine="0" w:firstLineChars="0"/>
                    <w:jc w:val="center"/>
                    <w:rPr>
                      <w:rFonts w:hint="eastAsia"/>
                      <w:lang w:eastAsia="zh-CN"/>
                    </w:rPr>
                  </w:pPr>
                  <w:r>
                    <w:rPr>
                      <w:rFonts w:hint="eastAsia"/>
                      <w:lang w:eastAsia="zh-CN"/>
                    </w:rPr>
                    <w:t>泄漏、火灾</w:t>
                  </w:r>
                </w:p>
              </w:tc>
            </w:tr>
          </w:tbl>
          <w:p w14:paraId="39D2452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lang w:eastAsia="zh-CN"/>
              </w:rPr>
            </w:pPr>
          </w:p>
          <w:p w14:paraId="3121AB5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lang w:eastAsia="zh-CN"/>
              </w:rPr>
            </w:pPr>
            <w:r>
              <w:rPr>
                <w:rFonts w:hint="eastAsia"/>
                <w:b/>
                <w:bCs/>
                <w:lang w:eastAsia="zh-CN"/>
              </w:rPr>
              <w:t>表</w:t>
            </w:r>
            <w:r>
              <w:rPr>
                <w:rFonts w:hint="eastAsia"/>
                <w:b/>
                <w:bCs/>
                <w:lang w:val="en-US" w:eastAsia="zh-CN"/>
              </w:rPr>
              <w:t>4-31</w:t>
            </w:r>
            <w:r>
              <w:rPr>
                <w:rFonts w:hint="eastAsia"/>
                <w:b/>
                <w:bCs/>
                <w:lang w:eastAsia="zh-CN"/>
              </w:rPr>
              <w:t>环境风险保护目标</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4"/>
              <w:gridCol w:w="958"/>
              <w:gridCol w:w="2946"/>
              <w:gridCol w:w="1779"/>
            </w:tblGrid>
            <w:tr w14:paraId="310E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pct"/>
                  <w:noWrap w:val="0"/>
                  <w:vAlign w:val="center"/>
                </w:tcPr>
                <w:p w14:paraId="3158E3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风险保护目标名称</w:t>
                  </w:r>
                </w:p>
              </w:tc>
              <w:tc>
                <w:tcPr>
                  <w:tcW w:w="555" w:type="pct"/>
                  <w:noWrap w:val="0"/>
                  <w:vAlign w:val="center"/>
                </w:tcPr>
                <w:p w14:paraId="1E3AAC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方位</w:t>
                  </w:r>
                </w:p>
              </w:tc>
              <w:tc>
                <w:tcPr>
                  <w:tcW w:w="1707" w:type="pct"/>
                  <w:noWrap w:val="0"/>
                  <w:vAlign w:val="center"/>
                </w:tcPr>
                <w:p w14:paraId="40261F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距厂界最近距离/m</w:t>
                  </w:r>
                </w:p>
              </w:tc>
              <w:tc>
                <w:tcPr>
                  <w:tcW w:w="1031" w:type="pct"/>
                  <w:noWrap w:val="0"/>
                  <w:vAlign w:val="center"/>
                </w:tcPr>
                <w:p w14:paraId="74BBF7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规模</w:t>
                  </w:r>
                </w:p>
              </w:tc>
            </w:tr>
            <w:tr w14:paraId="0963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pct"/>
                  <w:noWrap w:val="0"/>
                  <w:vAlign w:val="center"/>
                </w:tcPr>
                <w:p w14:paraId="17C3EB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val="en-US" w:eastAsia="zh-CN"/>
                    </w:rPr>
                    <w:t>南侧散户民居</w:t>
                  </w:r>
                </w:p>
              </w:tc>
              <w:tc>
                <w:tcPr>
                  <w:tcW w:w="555" w:type="pct"/>
                  <w:noWrap w:val="0"/>
                  <w:vAlign w:val="center"/>
                </w:tcPr>
                <w:p w14:paraId="608EE0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val="en-US" w:eastAsia="zh-CN"/>
                    </w:rPr>
                    <w:t>南</w:t>
                  </w:r>
                </w:p>
              </w:tc>
              <w:tc>
                <w:tcPr>
                  <w:tcW w:w="1707" w:type="pct"/>
                  <w:noWrap w:val="0"/>
                  <w:vAlign w:val="center"/>
                </w:tcPr>
                <w:p w14:paraId="3C9D43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约400</w:t>
                  </w:r>
                </w:p>
              </w:tc>
              <w:tc>
                <w:tcPr>
                  <w:tcW w:w="1031" w:type="pct"/>
                  <w:noWrap w:val="0"/>
                  <w:vAlign w:val="center"/>
                </w:tcPr>
                <w:p w14:paraId="25767C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约5人</w:t>
                  </w:r>
                </w:p>
              </w:tc>
            </w:tr>
            <w:tr w14:paraId="1996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pct"/>
                  <w:noWrap w:val="0"/>
                  <w:vAlign w:val="center"/>
                </w:tcPr>
                <w:p w14:paraId="1B3A83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val="en-US" w:eastAsia="zh-CN"/>
                    </w:rPr>
                    <w:t>西南侧散户民居</w:t>
                  </w:r>
                </w:p>
              </w:tc>
              <w:tc>
                <w:tcPr>
                  <w:tcW w:w="555" w:type="pct"/>
                  <w:noWrap w:val="0"/>
                  <w:vAlign w:val="center"/>
                </w:tcPr>
                <w:p w14:paraId="6614DD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val="en-US" w:eastAsia="zh-CN"/>
                    </w:rPr>
                    <w:t>西南</w:t>
                  </w:r>
                </w:p>
              </w:tc>
              <w:tc>
                <w:tcPr>
                  <w:tcW w:w="1707" w:type="pct"/>
                  <w:noWrap w:val="0"/>
                  <w:vAlign w:val="center"/>
                </w:tcPr>
                <w:p w14:paraId="123656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约340</w:t>
                  </w:r>
                </w:p>
              </w:tc>
              <w:tc>
                <w:tcPr>
                  <w:tcW w:w="1031" w:type="pct"/>
                  <w:noWrap w:val="0"/>
                  <w:vAlign w:val="center"/>
                </w:tcPr>
                <w:p w14:paraId="508126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约5人</w:t>
                  </w:r>
                </w:p>
              </w:tc>
            </w:tr>
            <w:tr w14:paraId="6897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pct"/>
                  <w:noWrap w:val="0"/>
                  <w:vAlign w:val="center"/>
                </w:tcPr>
                <w:p w14:paraId="509E50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val="en-US" w:eastAsia="zh-CN"/>
                    </w:rPr>
                    <w:t>东南侧散户民居</w:t>
                  </w:r>
                </w:p>
              </w:tc>
              <w:tc>
                <w:tcPr>
                  <w:tcW w:w="555" w:type="pct"/>
                  <w:noWrap w:val="0"/>
                  <w:vAlign w:val="center"/>
                </w:tcPr>
                <w:p w14:paraId="5ED5A1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val="en-US" w:eastAsia="zh-CN"/>
                    </w:rPr>
                    <w:t>东南</w:t>
                  </w:r>
                </w:p>
              </w:tc>
              <w:tc>
                <w:tcPr>
                  <w:tcW w:w="1707" w:type="pct"/>
                  <w:noWrap w:val="0"/>
                  <w:vAlign w:val="center"/>
                </w:tcPr>
                <w:p w14:paraId="02427A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约150</w:t>
                  </w:r>
                </w:p>
              </w:tc>
              <w:tc>
                <w:tcPr>
                  <w:tcW w:w="1031" w:type="pct"/>
                  <w:noWrap w:val="0"/>
                  <w:vAlign w:val="center"/>
                </w:tcPr>
                <w:p w14:paraId="48CEA7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约5人</w:t>
                  </w:r>
                </w:p>
              </w:tc>
            </w:tr>
            <w:tr w14:paraId="4F91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pct"/>
                  <w:noWrap w:val="0"/>
                  <w:vAlign w:val="center"/>
                </w:tcPr>
                <w:p w14:paraId="710010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蒋家村、涂家村</w:t>
                  </w:r>
                </w:p>
              </w:tc>
              <w:tc>
                <w:tcPr>
                  <w:tcW w:w="555" w:type="pct"/>
                  <w:noWrap w:val="0"/>
                  <w:vAlign w:val="center"/>
                </w:tcPr>
                <w:p w14:paraId="37478A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西</w:t>
                  </w:r>
                </w:p>
              </w:tc>
              <w:tc>
                <w:tcPr>
                  <w:tcW w:w="1707" w:type="pct"/>
                  <w:noWrap w:val="0"/>
                  <w:vAlign w:val="center"/>
                </w:tcPr>
                <w:p w14:paraId="169E4E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约830</w:t>
                  </w:r>
                </w:p>
              </w:tc>
              <w:tc>
                <w:tcPr>
                  <w:tcW w:w="1031" w:type="pct"/>
                  <w:noWrap w:val="0"/>
                  <w:vAlign w:val="center"/>
                </w:tcPr>
                <w:p w14:paraId="7F19AA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约</w:t>
                  </w:r>
                  <w:r>
                    <w:rPr>
                      <w:rFonts w:hint="eastAsia" w:ascii="Times New Roman" w:hAnsi="Times New Roman" w:eastAsia="宋体" w:cs="Times New Roman"/>
                      <w:vertAlign w:val="baseline"/>
                      <w:lang w:val="en-US" w:eastAsia="zh-CN"/>
                    </w:rPr>
                    <w:t>200人</w:t>
                  </w:r>
                </w:p>
              </w:tc>
            </w:tr>
            <w:tr w14:paraId="48A0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pct"/>
                  <w:noWrap w:val="0"/>
                  <w:vAlign w:val="center"/>
                </w:tcPr>
                <w:p w14:paraId="680CB0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福田坪村</w:t>
                  </w:r>
                </w:p>
              </w:tc>
              <w:tc>
                <w:tcPr>
                  <w:tcW w:w="555" w:type="pct"/>
                  <w:noWrap w:val="0"/>
                  <w:vAlign w:val="center"/>
                </w:tcPr>
                <w:p w14:paraId="66E399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西南</w:t>
                  </w:r>
                </w:p>
              </w:tc>
              <w:tc>
                <w:tcPr>
                  <w:tcW w:w="1707" w:type="pct"/>
                  <w:noWrap w:val="0"/>
                  <w:vAlign w:val="center"/>
                </w:tcPr>
                <w:p w14:paraId="0ADB34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约810</w:t>
                  </w:r>
                </w:p>
              </w:tc>
              <w:tc>
                <w:tcPr>
                  <w:tcW w:w="1031" w:type="pct"/>
                  <w:noWrap w:val="0"/>
                  <w:vAlign w:val="center"/>
                </w:tcPr>
                <w:p w14:paraId="073C10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eastAsia="zh-CN"/>
                    </w:rPr>
                    <w:t>约</w:t>
                  </w:r>
                  <w:r>
                    <w:rPr>
                      <w:rFonts w:hint="eastAsia" w:ascii="Times New Roman" w:hAnsi="Times New Roman" w:eastAsia="宋体" w:cs="Times New Roman"/>
                      <w:vertAlign w:val="baseline"/>
                      <w:lang w:val="en-US" w:eastAsia="zh-CN"/>
                    </w:rPr>
                    <w:t>100人</w:t>
                  </w:r>
                </w:p>
              </w:tc>
            </w:tr>
            <w:tr w14:paraId="4060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pct"/>
                  <w:noWrap w:val="0"/>
                  <w:vAlign w:val="center"/>
                </w:tcPr>
                <w:p w14:paraId="301A9F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茶园头村</w:t>
                  </w:r>
                </w:p>
              </w:tc>
              <w:tc>
                <w:tcPr>
                  <w:tcW w:w="555" w:type="pct"/>
                  <w:noWrap w:val="0"/>
                  <w:vAlign w:val="center"/>
                </w:tcPr>
                <w:p w14:paraId="112556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东南</w:t>
                  </w:r>
                </w:p>
              </w:tc>
              <w:tc>
                <w:tcPr>
                  <w:tcW w:w="1707" w:type="pct"/>
                  <w:noWrap w:val="0"/>
                  <w:vAlign w:val="center"/>
                </w:tcPr>
                <w:p w14:paraId="1EB9FE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约1150</w:t>
                  </w:r>
                </w:p>
              </w:tc>
              <w:tc>
                <w:tcPr>
                  <w:tcW w:w="1031" w:type="pct"/>
                  <w:noWrap w:val="0"/>
                  <w:vAlign w:val="center"/>
                </w:tcPr>
                <w:p w14:paraId="15DBBD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约</w:t>
                  </w:r>
                  <w:r>
                    <w:rPr>
                      <w:rFonts w:hint="eastAsia" w:ascii="Times New Roman" w:hAnsi="Times New Roman" w:eastAsia="宋体" w:cs="Times New Roman"/>
                      <w:vertAlign w:val="baseline"/>
                      <w:lang w:val="en-US" w:eastAsia="zh-CN"/>
                    </w:rPr>
                    <w:t>100人</w:t>
                  </w:r>
                </w:p>
              </w:tc>
            </w:tr>
            <w:tr w14:paraId="4532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pct"/>
                  <w:noWrap w:val="0"/>
                  <w:vAlign w:val="center"/>
                </w:tcPr>
                <w:p w14:paraId="296283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婆婆殿村</w:t>
                  </w:r>
                </w:p>
              </w:tc>
              <w:tc>
                <w:tcPr>
                  <w:tcW w:w="555" w:type="pct"/>
                  <w:noWrap w:val="0"/>
                  <w:vAlign w:val="center"/>
                </w:tcPr>
                <w:p w14:paraId="7AFC12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东</w:t>
                  </w:r>
                </w:p>
              </w:tc>
              <w:tc>
                <w:tcPr>
                  <w:tcW w:w="1707" w:type="pct"/>
                  <w:noWrap w:val="0"/>
                  <w:vAlign w:val="center"/>
                </w:tcPr>
                <w:p w14:paraId="4843BC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约1050</w:t>
                  </w:r>
                </w:p>
              </w:tc>
              <w:tc>
                <w:tcPr>
                  <w:tcW w:w="1031" w:type="pct"/>
                  <w:noWrap w:val="0"/>
                  <w:vAlign w:val="center"/>
                </w:tcPr>
                <w:p w14:paraId="052AF3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vertAlign w:val="baseline"/>
                      <w:lang w:eastAsia="zh-CN"/>
                    </w:rPr>
                  </w:pPr>
                  <w:r>
                    <w:rPr>
                      <w:rFonts w:hint="eastAsia" w:ascii="Times New Roman" w:hAnsi="Times New Roman" w:eastAsia="宋体" w:cs="Times New Roman"/>
                      <w:vertAlign w:val="baseline"/>
                      <w:lang w:eastAsia="zh-CN"/>
                    </w:rPr>
                    <w:t>约</w:t>
                  </w:r>
                  <w:r>
                    <w:rPr>
                      <w:rFonts w:hint="eastAsia" w:ascii="Times New Roman" w:hAnsi="Times New Roman" w:eastAsia="宋体" w:cs="Times New Roman"/>
                      <w:vertAlign w:val="baseline"/>
                      <w:lang w:val="en-US" w:eastAsia="zh-CN"/>
                    </w:rPr>
                    <w:t>100人</w:t>
                  </w:r>
                </w:p>
              </w:tc>
            </w:tr>
          </w:tbl>
          <w:p w14:paraId="0892AD49">
            <w:pPr>
              <w:pStyle w:val="5"/>
              <w:numPr>
                <w:ilvl w:val="2"/>
                <w:numId w:val="0"/>
              </w:numPr>
              <w:bidi w:val="0"/>
              <w:ind w:left="0" w:leftChars="0" w:firstLine="0" w:firstLineChars="0"/>
            </w:pPr>
            <w:r>
              <w:rPr>
                <w:rFonts w:hint="default" w:ascii="Times New Roman" w:hAnsi="Times New Roman" w:eastAsia="宋体" w:cs="Times New Roman"/>
                <w:b/>
                <w:i w:val="0"/>
                <w:color w:val="auto"/>
                <w:kern w:val="2"/>
                <w:sz w:val="24"/>
                <w:szCs w:val="24"/>
                <w:lang w:val="en-US" w:eastAsia="zh-CN" w:bidi="ar-SA"/>
              </w:rPr>
              <w:t>4.11.</w:t>
            </w:r>
            <w:r>
              <w:rPr>
                <w:rFonts w:hint="eastAsia" w:cs="Times New Roman"/>
                <w:b/>
                <w:i w:val="0"/>
                <w:color w:val="auto"/>
                <w:kern w:val="2"/>
                <w:sz w:val="24"/>
                <w:szCs w:val="24"/>
                <w:lang w:val="en-US" w:eastAsia="zh-CN" w:bidi="ar-SA"/>
              </w:rPr>
              <w:t>2</w:t>
            </w:r>
            <w:r>
              <w:rPr>
                <w:rFonts w:hint="default" w:ascii="Times New Roman" w:hAnsi="Times New Roman" w:eastAsia="宋体" w:cs="Times New Roman"/>
                <w:b/>
                <w:i w:val="0"/>
                <w:color w:val="auto"/>
                <w:kern w:val="2"/>
                <w:sz w:val="24"/>
                <w:szCs w:val="24"/>
                <w:lang w:val="en-US" w:eastAsia="zh-CN" w:bidi="ar-SA"/>
              </w:rPr>
              <w:t>、</w:t>
            </w:r>
            <w:r>
              <w:t>主要危险物质及分布</w:t>
            </w:r>
          </w:p>
          <w:p w14:paraId="5D274F7A">
            <w:pPr>
              <w:rPr>
                <w:rFonts w:hint="eastAsia"/>
                <w:lang w:eastAsia="zh-CN"/>
              </w:rPr>
            </w:pPr>
            <w:r>
              <w:rPr>
                <w:rFonts w:hint="eastAsia"/>
                <w:lang w:eastAsia="zh-CN"/>
              </w:rPr>
              <w:t>本项目主要风险物质为</w:t>
            </w:r>
            <w:r>
              <w:rPr>
                <w:rFonts w:hint="eastAsia"/>
                <w:spacing w:val="-3"/>
                <w:sz w:val="24"/>
                <w:szCs w:val="24"/>
                <w:lang w:eastAsia="zh-CN"/>
              </w:rPr>
              <w:t>次氯酸钠消毒液、机油和废机油，次氯酸钠消毒液、机油主要分布在库房中，废机油主要分布在危废暂存间。</w:t>
            </w:r>
          </w:p>
          <w:p w14:paraId="46700F3C">
            <w:pPr>
              <w:pStyle w:val="5"/>
              <w:numPr>
                <w:ilvl w:val="2"/>
                <w:numId w:val="0"/>
              </w:numPr>
              <w:bidi w:val="0"/>
              <w:ind w:left="0" w:leftChars="0" w:firstLine="0" w:firstLineChars="0"/>
              <w:rPr>
                <w:rFonts w:hint="eastAsia"/>
                <w:lang w:eastAsia="zh-CN"/>
              </w:rPr>
            </w:pPr>
            <w:r>
              <w:rPr>
                <w:rFonts w:hint="default" w:ascii="Times New Roman" w:hAnsi="Times New Roman" w:eastAsia="宋体" w:cs="Times New Roman"/>
                <w:b/>
                <w:i w:val="0"/>
                <w:color w:val="auto"/>
                <w:kern w:val="2"/>
                <w:sz w:val="24"/>
                <w:szCs w:val="24"/>
                <w:lang w:val="en-US" w:eastAsia="zh-CN" w:bidi="ar-SA"/>
              </w:rPr>
              <w:t>4.11.</w:t>
            </w:r>
            <w:r>
              <w:rPr>
                <w:rFonts w:hint="eastAsia" w:cs="Times New Roman"/>
                <w:b/>
                <w:i w:val="0"/>
                <w:color w:val="auto"/>
                <w:kern w:val="2"/>
                <w:sz w:val="24"/>
                <w:szCs w:val="24"/>
                <w:lang w:val="en-US" w:eastAsia="zh-CN" w:bidi="ar-SA"/>
              </w:rPr>
              <w:t>3</w:t>
            </w:r>
            <w:r>
              <w:rPr>
                <w:rFonts w:hint="default" w:ascii="Times New Roman" w:hAnsi="Times New Roman" w:eastAsia="宋体" w:cs="Times New Roman"/>
                <w:b/>
                <w:i w:val="0"/>
                <w:color w:val="auto"/>
                <w:kern w:val="2"/>
                <w:sz w:val="24"/>
                <w:szCs w:val="24"/>
                <w:lang w:val="en-US" w:eastAsia="zh-CN" w:bidi="ar-SA"/>
              </w:rPr>
              <w:t>、</w:t>
            </w:r>
            <w:r>
              <w:rPr>
                <w:rFonts w:hint="eastAsia"/>
                <w:lang w:eastAsia="zh-CN"/>
              </w:rPr>
              <w:t>环境风向防范措施</w:t>
            </w:r>
          </w:p>
          <w:p w14:paraId="1626CD56">
            <w:pPr>
              <w:bidi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1）危险物品贮存要求</w:t>
            </w:r>
          </w:p>
          <w:p w14:paraId="03910D58">
            <w:pPr>
              <w:bidi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①库房条件：库房应当干燥、通风、避光的防火建筑，建筑材料经过防腐处理。</w:t>
            </w:r>
          </w:p>
          <w:p w14:paraId="013A7264">
            <w:pPr>
              <w:bidi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安全条件：避免阳光直射、暴晒，远离热源、电源和火源，库房建筑及各种设备均应符合《建筑设计防火规范》中的规定。按化学品不同类别、性质、危险程度、灭火方法等分区分类贮存，并附上明显标示。性质相抵的禁止同库储存。分类存放废电子电器产品的储存场所，禁止无关人员进入。</w:t>
            </w:r>
          </w:p>
          <w:p w14:paraId="7CEAEC41">
            <w:pPr>
              <w:bidi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③库房卫生条件：库房地面、门窗、货架应定期打扫，保持清洁；仓库区内的杂物、易燃物质应及时清理。</w:t>
            </w:r>
          </w:p>
          <w:p w14:paraId="59D0806A">
            <w:pPr>
              <w:bidi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④涉及危险物质的原料、产品和固体废物或其他化学品的储存区、通道、道路应做好防渗处理，以免危险物质泄漏进入土壤污染地下水，从而污染周围水体和土壤环境。</w:t>
            </w:r>
          </w:p>
          <w:p w14:paraId="7255480A">
            <w:pPr>
              <w:bidi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2）易燃易爆物品贮存区事故风险防范措施</w:t>
            </w:r>
          </w:p>
          <w:p w14:paraId="1E77F099">
            <w:pPr>
              <w:bidi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①易燃易爆物品贮存区在总图布置上有足够的防火距离，其与回收车间和交通路线的距离，与其他建筑物之间的距离符合规范要求；</w:t>
            </w:r>
          </w:p>
          <w:p w14:paraId="3958B713">
            <w:pPr>
              <w:bidi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②贮存区周围设置环形的消防通道，合理进行竖向布置、排雨水、排洪设计；</w:t>
            </w:r>
          </w:p>
          <w:p w14:paraId="4E7A101D">
            <w:pPr>
              <w:bidi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③做好储存瓶的防雷、防静电、保护和工作接地设计，满足有关规范要求。</w:t>
            </w:r>
          </w:p>
          <w:p w14:paraId="6B3B693F">
            <w:pPr>
              <w:bidi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物质泄漏的防范物料泄漏事故的防治是生产和储运过程中最重要的环节，发生泄漏事故可能引起火灾和爆炸等一系列重大事故。经验表明：设备失灵和人为的操作失误是引发泄漏的主要原因。因此选用良好的设备、精心设计和制造、认真的管理和操作人员的责任心是减少泄漏事故的关键。</w:t>
            </w:r>
          </w:p>
          <w:p w14:paraId="70EE12E9">
            <w:pPr>
              <w:bidi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①应定期检查拆解生产线的安全系统的工作状态，是否能够自动报警或喷雾；</w:t>
            </w:r>
          </w:p>
          <w:p w14:paraId="403DE5C8">
            <w:pPr>
              <w:bidi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②储罐的结构材料与储存物料和储存条件应相适应。新罐应先进行适当的整体试验、外观检查和测试，并将记录存档备查。定期对储罐进行检查，及时发现破损和漏处；</w:t>
            </w:r>
          </w:p>
          <w:p w14:paraId="14EE2EFD">
            <w:pPr>
              <w:bidi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③装卸料时要严格按照规章操作，避免泄漏事故的发生。</w:t>
            </w:r>
          </w:p>
          <w:p w14:paraId="32208E19">
            <w:pPr>
              <w:bidi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4）火灾和爆炸的防范</w:t>
            </w:r>
          </w:p>
          <w:p w14:paraId="59F6A70D">
            <w:pPr>
              <w:bidi w:val="0"/>
              <w:rPr>
                <w:rFonts w:hint="default" w:ascii="Times New Roman" w:hAnsi="Times New Roman" w:eastAsia="宋体" w:cs="Times New Roman"/>
                <w:sz w:val="24"/>
                <w:szCs w:val="24"/>
              </w:rPr>
            </w:pPr>
            <w:r>
              <w:rPr>
                <w:rFonts w:hint="eastAsia" w:cs="Times New Roman"/>
                <w:sz w:val="24"/>
                <w:szCs w:val="24"/>
                <w:lang w:eastAsia="zh-CN"/>
              </w:rPr>
              <w:t>①</w:t>
            </w:r>
            <w:r>
              <w:rPr>
                <w:rFonts w:hint="default" w:ascii="Times New Roman" w:hAnsi="Times New Roman" w:eastAsia="宋体" w:cs="Times New Roman"/>
                <w:sz w:val="24"/>
                <w:szCs w:val="24"/>
              </w:rPr>
              <w:t>定期对设备、存储仓库进行安全检测，检测内容、时间、人员应有记录保存。安全检测应根据安全性、危险性设定检测频次。</w:t>
            </w:r>
          </w:p>
          <w:p w14:paraId="12317117">
            <w:pPr>
              <w:bidi w:val="0"/>
              <w:rPr>
                <w:rFonts w:hint="default" w:ascii="Times New Roman" w:hAnsi="Times New Roman" w:eastAsia="宋体" w:cs="Times New Roman"/>
                <w:sz w:val="24"/>
                <w:szCs w:val="24"/>
              </w:rPr>
            </w:pPr>
            <w:r>
              <w:rPr>
                <w:rFonts w:hint="eastAsia" w:cs="Times New Roman"/>
                <w:sz w:val="24"/>
                <w:szCs w:val="24"/>
                <w:lang w:eastAsia="zh-CN"/>
              </w:rPr>
              <w:t>②</w:t>
            </w:r>
            <w:r>
              <w:rPr>
                <w:rFonts w:hint="default" w:ascii="Times New Roman" w:hAnsi="Times New Roman" w:eastAsia="宋体" w:cs="Times New Roman"/>
                <w:sz w:val="24"/>
                <w:szCs w:val="24"/>
              </w:rPr>
              <w:t>火源的管理严禁火源进入储料区，对明火严格控制，明火发生源为火柴、打火机等，维修用火控制，对设备维修检查，需进行维修焊接，应经安全部门确认、准许，并有记录在案。机动车在厂内行驶，须安装阻火器，必要设备安装防火、防爆装置。</w:t>
            </w:r>
          </w:p>
          <w:p w14:paraId="2743D976">
            <w:pPr>
              <w:bidi w:val="0"/>
              <w:rPr>
                <w:rFonts w:hint="default" w:ascii="Times New Roman" w:hAnsi="Times New Roman" w:eastAsia="宋体" w:cs="Times New Roman"/>
                <w:sz w:val="24"/>
                <w:szCs w:val="24"/>
              </w:rPr>
            </w:pPr>
            <w:r>
              <w:rPr>
                <w:rFonts w:hint="eastAsia" w:cs="Times New Roman"/>
                <w:sz w:val="24"/>
                <w:szCs w:val="24"/>
                <w:lang w:val="en-US" w:eastAsia="zh-CN"/>
              </w:rPr>
              <w:t>5</w:t>
            </w:r>
            <w:r>
              <w:rPr>
                <w:rFonts w:hint="default" w:ascii="Times New Roman" w:hAnsi="Times New Roman" w:eastAsia="宋体" w:cs="Times New Roman"/>
                <w:sz w:val="24"/>
                <w:szCs w:val="24"/>
              </w:rPr>
              <w:t>）危险物品运输风险事故防范措施</w:t>
            </w:r>
          </w:p>
          <w:p w14:paraId="488BFFF5">
            <w:pPr>
              <w:bidi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对危险物品的装卸、转移应由专业人员或经过严格培训的员工来操作建立一套完整的作业操作技术规划，严格遵守操作规定。其中，应专门定制专用的运输箱，所有涉及危险物质运输的车辆必须经过专门的防渗漏、密封处理，严控设计危险物质的各个回收、贮存、运输过程的安全；</w:t>
            </w:r>
          </w:p>
          <w:p w14:paraId="58975808">
            <w:pPr>
              <w:bidi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②装卸站的进、出口，宜分开设置，当进、出口合用时，站内应设回车场；</w:t>
            </w:r>
          </w:p>
          <w:p w14:paraId="24F13AA7">
            <w:pPr>
              <w:bidi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③装卸站的车场应采用现浇混凝土地面，装车时尽可能采取全封闭作业方式；</w:t>
            </w:r>
          </w:p>
          <w:p w14:paraId="2479D027">
            <w:pPr>
              <w:bidi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④在装运易燃、可燃液体或气体时宜装阻火器以防雷电危害。</w:t>
            </w:r>
          </w:p>
          <w:p w14:paraId="134A311B">
            <w:pPr>
              <w:bidi w:val="0"/>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）编制突发环境事件应急预案</w:t>
            </w:r>
          </w:p>
          <w:p w14:paraId="73188819">
            <w:pPr>
              <w:bidi w:val="0"/>
              <w:rPr>
                <w:rFonts w:hint="eastAsia"/>
                <w:lang w:eastAsia="zh-CN"/>
              </w:rPr>
            </w:pPr>
            <w:r>
              <w:rPr>
                <w:rFonts w:hint="default" w:ascii="Times New Roman" w:hAnsi="Times New Roman" w:eastAsia="宋体" w:cs="Times New Roman"/>
                <w:sz w:val="24"/>
                <w:szCs w:val="24"/>
              </w:rPr>
              <w:t>根据《环境风险评价导则》（HJ169-2018）10.3中突发环境事件应急预案编制要求：按照国家、地方和相关部门要求，提出企业突发环境事件应急预案编制的原则要求，包括预案使用范围、环境事件分类与分级、组织机构与职责、监控和预警、应急响应、应急保障、善后处置、预案管理与演练等内容。</w:t>
            </w:r>
          </w:p>
          <w:p w14:paraId="72E1615A">
            <w:pPr>
              <w:pStyle w:val="5"/>
              <w:numPr>
                <w:ilvl w:val="2"/>
                <w:numId w:val="0"/>
              </w:numPr>
              <w:ind w:left="0" w:leftChars="0" w:firstLine="0" w:firstLineChars="0"/>
            </w:pPr>
            <w:r>
              <w:rPr>
                <w:rFonts w:hint="default" w:ascii="Times New Roman" w:hAnsi="Times New Roman" w:eastAsia="宋体" w:cs="Times New Roman"/>
                <w:b/>
                <w:i w:val="0"/>
                <w:color w:val="auto"/>
                <w:kern w:val="2"/>
                <w:sz w:val="24"/>
                <w:szCs w:val="24"/>
                <w:lang w:val="en-US" w:eastAsia="zh-CN" w:bidi="ar-SA"/>
              </w:rPr>
              <w:t>4.11.</w:t>
            </w:r>
            <w:r>
              <w:rPr>
                <w:rFonts w:hint="eastAsia" w:cs="Times New Roman"/>
                <w:b/>
                <w:i w:val="0"/>
                <w:color w:val="auto"/>
                <w:kern w:val="2"/>
                <w:sz w:val="24"/>
                <w:szCs w:val="24"/>
                <w:lang w:val="en-US" w:eastAsia="zh-CN" w:bidi="ar-SA"/>
              </w:rPr>
              <w:t>4</w:t>
            </w:r>
            <w:r>
              <w:rPr>
                <w:rFonts w:hint="default" w:ascii="Times New Roman" w:hAnsi="Times New Roman" w:eastAsia="宋体" w:cs="Times New Roman"/>
                <w:b/>
                <w:i w:val="0"/>
                <w:color w:val="auto"/>
                <w:kern w:val="2"/>
                <w:sz w:val="24"/>
                <w:szCs w:val="24"/>
                <w:lang w:val="en-US" w:eastAsia="zh-CN" w:bidi="ar-SA"/>
              </w:rPr>
              <w:t>、</w:t>
            </w:r>
            <w:r>
              <w:rPr>
                <w:rFonts w:hint="eastAsia"/>
              </w:rPr>
              <w:t>环境风险评价</w:t>
            </w:r>
            <w:r>
              <w:t>结论</w:t>
            </w:r>
          </w:p>
          <w:p w14:paraId="1698CB98">
            <w:pPr>
              <w:bidi w:val="0"/>
            </w:pPr>
            <w:r>
              <w:t>项目采取有效的预防、应急措施，避免火灾事故的发生，并从各方面积极采取防护措施，落实本项目的环境风险防范措施，制定环境风险应急预案，保证应急响应系统在事故状态下立即启动，加强管理，同时定期检验风险事故应急预案，当出现事故时要采取紧急的工程应急措施，可以控制事故和减少对环境造成的危害。</w:t>
            </w:r>
          </w:p>
          <w:p w14:paraId="572D77B6">
            <w:pPr>
              <w:bidi w:val="0"/>
            </w:pPr>
            <w:r>
              <w:t>本项目发生环境风险事故后，对周围环境的影响可控，风险水平可以接受</w:t>
            </w:r>
            <w:r>
              <w:rPr>
                <w:rFonts w:hint="eastAsia"/>
              </w:rPr>
              <w:t>。</w:t>
            </w:r>
          </w:p>
          <w:p w14:paraId="02A029B6">
            <w:pPr>
              <w:pStyle w:val="4"/>
              <w:numPr>
                <w:ilvl w:val="1"/>
                <w:numId w:val="0"/>
              </w:numPr>
              <w:ind w:left="0" w:leftChars="0" w:firstLine="0" w:firstLineChars="0"/>
            </w:pPr>
            <w:r>
              <w:rPr>
                <w:rFonts w:hint="default" w:ascii="Times New Roman" w:hAnsi="Times New Roman" w:eastAsia="宋体" w:cs="Times New Roman"/>
                <w:b/>
                <w:i w:val="0"/>
                <w:kern w:val="2"/>
                <w:sz w:val="24"/>
                <w:szCs w:val="24"/>
                <w:lang w:val="en-US" w:eastAsia="zh-CN" w:bidi="ar-SA"/>
              </w:rPr>
              <w:t>4.1</w:t>
            </w:r>
            <w:r>
              <w:rPr>
                <w:rFonts w:hint="eastAsia" w:cs="Times New Roman"/>
                <w:b/>
                <w:i w:val="0"/>
                <w:kern w:val="2"/>
                <w:sz w:val="24"/>
                <w:szCs w:val="24"/>
                <w:lang w:val="en-US" w:eastAsia="zh-CN" w:bidi="ar-SA"/>
              </w:rPr>
              <w:t>2</w:t>
            </w:r>
            <w:r>
              <w:rPr>
                <w:rFonts w:hint="default" w:ascii="Times New Roman" w:hAnsi="Times New Roman" w:eastAsia="宋体" w:cs="Times New Roman"/>
                <w:b/>
                <w:i w:val="0"/>
                <w:kern w:val="2"/>
                <w:sz w:val="24"/>
                <w:szCs w:val="24"/>
                <w:lang w:val="en-US" w:eastAsia="zh-CN" w:bidi="ar-SA"/>
              </w:rPr>
              <w:t>、</w:t>
            </w:r>
            <w:r>
              <w:rPr>
                <w:rFonts w:hint="eastAsia"/>
              </w:rPr>
              <w:t>环保投资</w:t>
            </w:r>
          </w:p>
          <w:p w14:paraId="556CCA83">
            <w:pPr>
              <w:ind w:firstLine="480"/>
            </w:pPr>
            <w:r>
              <w:rPr>
                <w:rFonts w:hint="eastAsia"/>
              </w:rPr>
              <w:t>项目总投资</w:t>
            </w:r>
            <w:r>
              <w:rPr>
                <w:rFonts w:hint="eastAsia"/>
                <w:lang w:val="en-US" w:eastAsia="zh-CN"/>
              </w:rPr>
              <w:t>1000</w:t>
            </w:r>
            <w:r>
              <w:rPr>
                <w:rFonts w:hint="eastAsia"/>
              </w:rPr>
              <w:t>万元，其中环保投资</w:t>
            </w:r>
            <w:r>
              <w:rPr>
                <w:rFonts w:hint="eastAsia"/>
                <w:lang w:val="en-US" w:eastAsia="zh-CN"/>
              </w:rPr>
              <w:t>110.8</w:t>
            </w:r>
            <w:r>
              <w:rPr>
                <w:rFonts w:hint="eastAsia"/>
              </w:rPr>
              <w:t>万元，占总投资的</w:t>
            </w:r>
            <w:r>
              <w:rPr>
                <w:rFonts w:hint="eastAsia"/>
                <w:lang w:val="en-US" w:eastAsia="zh-CN"/>
              </w:rPr>
              <w:t>11.08</w:t>
            </w:r>
            <w:r>
              <w:t>%</w:t>
            </w:r>
            <w:r>
              <w:rPr>
                <w:rFonts w:hint="eastAsia"/>
              </w:rPr>
              <w:t>。详见下表。</w:t>
            </w:r>
          </w:p>
          <w:p w14:paraId="49A1E18D">
            <w:pPr>
              <w:pStyle w:val="8"/>
              <w:numPr>
                <w:ilvl w:val="5"/>
                <w:numId w:val="0"/>
              </w:numPr>
              <w:ind w:left="0" w:leftChars="0" w:firstLine="480" w:firstLineChars="200"/>
            </w:pPr>
            <w:r>
              <w:rPr>
                <w:rFonts w:hint="default" w:ascii="Times New Roman" w:hAnsi="Times New Roman" w:eastAsia="宋体" w:cs="Times New Roman"/>
                <w:b/>
                <w:i w:val="0"/>
                <w:color w:val="auto"/>
                <w:kern w:val="2"/>
                <w:sz w:val="24"/>
                <w:szCs w:val="24"/>
                <w:shd w:val="clear" w:fill="FFFFFF"/>
                <w:lang w:val="en-US" w:eastAsia="zh-CN" w:bidi="ar-SA"/>
              </w:rPr>
              <w:t>表4-3</w:t>
            </w:r>
            <w:r>
              <w:rPr>
                <w:rFonts w:hint="eastAsia" w:cs="Times New Roman"/>
                <w:b/>
                <w:i w:val="0"/>
                <w:color w:val="auto"/>
                <w:kern w:val="2"/>
                <w:sz w:val="24"/>
                <w:szCs w:val="24"/>
                <w:shd w:val="clear" w:fill="FFFFFF"/>
                <w:lang w:val="en-US" w:eastAsia="zh-CN" w:bidi="ar-SA"/>
              </w:rPr>
              <w:t>2</w:t>
            </w:r>
            <w:r>
              <w:rPr>
                <w:rFonts w:hint="eastAsia"/>
              </w:rPr>
              <w:t>环保措施投资一览表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559"/>
              <w:gridCol w:w="3515"/>
              <w:gridCol w:w="2035"/>
            </w:tblGrid>
            <w:tr w14:paraId="5671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14:paraId="6256C685">
                  <w:pPr>
                    <w:pStyle w:val="42"/>
                  </w:pPr>
                  <w:r>
                    <w:rPr>
                      <w:rFonts w:hint="eastAsia"/>
                    </w:rPr>
                    <w:t>阶段</w:t>
                  </w:r>
                </w:p>
              </w:tc>
              <w:tc>
                <w:tcPr>
                  <w:tcW w:w="1559" w:type="dxa"/>
                  <w:vAlign w:val="center"/>
                </w:tcPr>
                <w:p w14:paraId="360AD686">
                  <w:pPr>
                    <w:pStyle w:val="42"/>
                  </w:pPr>
                  <w:r>
                    <w:rPr>
                      <w:rFonts w:hint="eastAsia"/>
                    </w:rPr>
                    <w:t>项目</w:t>
                  </w:r>
                </w:p>
              </w:tc>
              <w:tc>
                <w:tcPr>
                  <w:tcW w:w="3515" w:type="dxa"/>
                  <w:vAlign w:val="center"/>
                </w:tcPr>
                <w:p w14:paraId="58D4B655">
                  <w:pPr>
                    <w:pStyle w:val="42"/>
                  </w:pPr>
                  <w:r>
                    <w:rPr>
                      <w:rFonts w:hint="eastAsia"/>
                    </w:rPr>
                    <w:t>环保投资内容</w:t>
                  </w:r>
                </w:p>
              </w:tc>
              <w:tc>
                <w:tcPr>
                  <w:tcW w:w="2035" w:type="dxa"/>
                  <w:vAlign w:val="center"/>
                </w:tcPr>
                <w:p w14:paraId="7363CB0B">
                  <w:pPr>
                    <w:pStyle w:val="42"/>
                  </w:pPr>
                  <w:r>
                    <w:rPr>
                      <w:rFonts w:hint="eastAsia"/>
                    </w:rPr>
                    <w:t>投资费用（万元）</w:t>
                  </w:r>
                </w:p>
              </w:tc>
            </w:tr>
            <w:tr w14:paraId="3D24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Merge w:val="restart"/>
                  <w:vAlign w:val="center"/>
                </w:tcPr>
                <w:p w14:paraId="56C88CC2">
                  <w:pPr>
                    <w:pStyle w:val="42"/>
                  </w:pPr>
                  <w:r>
                    <w:rPr>
                      <w:rFonts w:hint="eastAsia"/>
                    </w:rPr>
                    <w:t>运营期</w:t>
                  </w:r>
                </w:p>
              </w:tc>
              <w:tc>
                <w:tcPr>
                  <w:tcW w:w="1559" w:type="dxa"/>
                  <w:vMerge w:val="restart"/>
                  <w:vAlign w:val="center"/>
                </w:tcPr>
                <w:p w14:paraId="66CCDF9E">
                  <w:pPr>
                    <w:pStyle w:val="42"/>
                  </w:pPr>
                  <w:r>
                    <w:rPr>
                      <w:rFonts w:hint="eastAsia"/>
                    </w:rPr>
                    <w:t>废气治理</w:t>
                  </w:r>
                </w:p>
              </w:tc>
              <w:tc>
                <w:tcPr>
                  <w:tcW w:w="3515" w:type="dxa"/>
                  <w:vAlign w:val="center"/>
                </w:tcPr>
                <w:p w14:paraId="5CAB94E0">
                  <w:pPr>
                    <w:pStyle w:val="42"/>
                    <w:rPr>
                      <w:rFonts w:hint="eastAsia" w:eastAsia="宋体"/>
                      <w:lang w:val="en-US" w:eastAsia="zh-CN"/>
                    </w:rPr>
                  </w:pPr>
                  <w:r>
                    <w:rPr>
                      <w:rFonts w:hint="eastAsia"/>
                    </w:rPr>
                    <w:t>厂房封闭</w:t>
                  </w:r>
                  <w:r>
                    <w:rPr>
                      <w:rFonts w:hint="eastAsia"/>
                      <w:lang w:val="en-US" w:eastAsia="zh-CN"/>
                    </w:rPr>
                    <w:t>+负压</w:t>
                  </w:r>
                </w:p>
              </w:tc>
              <w:tc>
                <w:tcPr>
                  <w:tcW w:w="2035" w:type="dxa"/>
                  <w:vAlign w:val="center"/>
                </w:tcPr>
                <w:p w14:paraId="3D7B4578">
                  <w:pPr>
                    <w:pStyle w:val="42"/>
                    <w:rPr>
                      <w:rFonts w:hint="eastAsia" w:eastAsia="宋体"/>
                      <w:lang w:eastAsia="zh-CN"/>
                    </w:rPr>
                  </w:pPr>
                  <w:r>
                    <w:rPr>
                      <w:rFonts w:hint="eastAsia"/>
                      <w:lang w:val="en-US" w:eastAsia="zh-CN"/>
                    </w:rPr>
                    <w:t>4</w:t>
                  </w:r>
                </w:p>
              </w:tc>
            </w:tr>
            <w:tr w14:paraId="69DD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Merge w:val="continue"/>
                  <w:vAlign w:val="center"/>
                </w:tcPr>
                <w:p w14:paraId="4A221396">
                  <w:pPr>
                    <w:pStyle w:val="42"/>
                  </w:pPr>
                </w:p>
              </w:tc>
              <w:tc>
                <w:tcPr>
                  <w:tcW w:w="1559" w:type="dxa"/>
                  <w:vMerge w:val="continue"/>
                  <w:vAlign w:val="center"/>
                </w:tcPr>
                <w:p w14:paraId="18562BE6">
                  <w:pPr>
                    <w:pStyle w:val="42"/>
                  </w:pPr>
                </w:p>
              </w:tc>
              <w:tc>
                <w:tcPr>
                  <w:tcW w:w="3515" w:type="dxa"/>
                  <w:vAlign w:val="center"/>
                </w:tcPr>
                <w:p w14:paraId="3CDED831">
                  <w:pPr>
                    <w:pStyle w:val="42"/>
                    <w:rPr>
                      <w:rFonts w:hint="default" w:eastAsia="宋体"/>
                      <w:lang w:val="en-US" w:eastAsia="zh-CN"/>
                    </w:rPr>
                  </w:pPr>
                  <w:r>
                    <w:rPr>
                      <w:rFonts w:hint="eastAsia"/>
                      <w:lang w:val="en-US" w:eastAsia="zh-CN"/>
                    </w:rPr>
                    <w:t>袋式除尘+15</w:t>
                  </w:r>
                  <w:r>
                    <w:rPr>
                      <w:rFonts w:hint="eastAsia" w:ascii="Times New Roman" w:hAnsi="Times New Roman" w:eastAsia="宋体" w:cs="Times New Roman"/>
                      <w:spacing w:val="-2"/>
                      <w:sz w:val="21"/>
                      <w:szCs w:val="21"/>
                      <w:lang w:val="en-US" w:eastAsia="zh-CN"/>
                    </w:rPr>
                    <w:t>m</w:t>
                  </w:r>
                  <w:r>
                    <w:rPr>
                      <w:rFonts w:hint="eastAsia"/>
                      <w:sz w:val="21"/>
                      <w:szCs w:val="21"/>
                      <w:u w:val="single"/>
                    </w:rPr>
                    <w:t>排气筒</w:t>
                  </w:r>
                </w:p>
              </w:tc>
              <w:tc>
                <w:tcPr>
                  <w:tcW w:w="2035" w:type="dxa"/>
                  <w:vAlign w:val="center"/>
                </w:tcPr>
                <w:p w14:paraId="4C18AE23">
                  <w:pPr>
                    <w:pStyle w:val="42"/>
                    <w:rPr>
                      <w:rFonts w:hint="default" w:eastAsia="宋体"/>
                      <w:lang w:val="en-US" w:eastAsia="zh-CN"/>
                    </w:rPr>
                  </w:pPr>
                  <w:r>
                    <w:rPr>
                      <w:rFonts w:hint="eastAsia"/>
                      <w:lang w:val="en-US" w:eastAsia="zh-CN"/>
                    </w:rPr>
                    <w:t>20</w:t>
                  </w:r>
                </w:p>
              </w:tc>
            </w:tr>
            <w:tr w14:paraId="4F21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Merge w:val="continue"/>
                  <w:vAlign w:val="center"/>
                </w:tcPr>
                <w:p w14:paraId="684CA414">
                  <w:pPr>
                    <w:pStyle w:val="42"/>
                  </w:pPr>
                </w:p>
              </w:tc>
              <w:tc>
                <w:tcPr>
                  <w:tcW w:w="1559" w:type="dxa"/>
                  <w:vMerge w:val="continue"/>
                  <w:vAlign w:val="center"/>
                </w:tcPr>
                <w:p w14:paraId="5F3F77F8">
                  <w:pPr>
                    <w:pStyle w:val="42"/>
                  </w:pPr>
                </w:p>
              </w:tc>
              <w:tc>
                <w:tcPr>
                  <w:tcW w:w="3515" w:type="dxa"/>
                  <w:vAlign w:val="center"/>
                </w:tcPr>
                <w:p w14:paraId="20EA43BB">
                  <w:pPr>
                    <w:pStyle w:val="42"/>
                    <w:rPr>
                      <w:rFonts w:hint="eastAsia" w:eastAsia="宋体"/>
                      <w:lang w:eastAsia="zh-CN"/>
                    </w:rPr>
                  </w:pPr>
                  <w:r>
                    <w:rPr>
                      <w:rFonts w:hint="eastAsia"/>
                      <w:lang w:eastAsia="zh-CN"/>
                    </w:rPr>
                    <w:t>除臭塔+碱喷淋塔+二级活性炭吸附</w:t>
                  </w:r>
                  <w:r>
                    <w:rPr>
                      <w:rFonts w:hint="eastAsia"/>
                      <w:lang w:val="en-US" w:eastAsia="zh-CN"/>
                    </w:rPr>
                    <w:t>+</w:t>
                  </w:r>
                  <w:r>
                    <w:rPr>
                      <w:rFonts w:hint="eastAsia" w:ascii="Times New Roman" w:hAnsi="Times New Roman" w:eastAsia="宋体" w:cs="Times New Roman"/>
                      <w:spacing w:val="-2"/>
                      <w:sz w:val="21"/>
                      <w:szCs w:val="21"/>
                      <w:lang w:val="en-US" w:eastAsia="zh-CN"/>
                    </w:rPr>
                    <w:t>2</w:t>
                  </w:r>
                  <w:r>
                    <w:rPr>
                      <w:rFonts w:hint="eastAsia" w:cs="Times New Roman"/>
                      <w:spacing w:val="-2"/>
                      <w:sz w:val="21"/>
                      <w:szCs w:val="21"/>
                      <w:lang w:val="en-US" w:eastAsia="zh-CN"/>
                    </w:rPr>
                    <w:t>0</w:t>
                  </w:r>
                  <w:r>
                    <w:rPr>
                      <w:rFonts w:hint="eastAsia" w:ascii="Times New Roman" w:hAnsi="Times New Roman" w:eastAsia="宋体" w:cs="Times New Roman"/>
                      <w:spacing w:val="-2"/>
                      <w:sz w:val="21"/>
                      <w:szCs w:val="21"/>
                      <w:lang w:val="en-US" w:eastAsia="zh-CN"/>
                    </w:rPr>
                    <w:t>m</w:t>
                  </w:r>
                  <w:r>
                    <w:rPr>
                      <w:rFonts w:hint="eastAsia"/>
                      <w:sz w:val="21"/>
                      <w:szCs w:val="21"/>
                      <w:u w:val="single"/>
                    </w:rPr>
                    <w:t>排气筒</w:t>
                  </w:r>
                </w:p>
              </w:tc>
              <w:tc>
                <w:tcPr>
                  <w:tcW w:w="2035" w:type="dxa"/>
                  <w:vAlign w:val="center"/>
                </w:tcPr>
                <w:p w14:paraId="56352038">
                  <w:pPr>
                    <w:pStyle w:val="42"/>
                    <w:rPr>
                      <w:rFonts w:hint="default" w:eastAsia="宋体"/>
                      <w:lang w:val="en-US" w:eastAsia="zh-CN"/>
                    </w:rPr>
                  </w:pPr>
                  <w:r>
                    <w:rPr>
                      <w:rFonts w:hint="eastAsia"/>
                      <w:lang w:val="en-US" w:eastAsia="zh-CN"/>
                    </w:rPr>
                    <w:t>36.3</w:t>
                  </w:r>
                </w:p>
              </w:tc>
            </w:tr>
            <w:tr w14:paraId="58FE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Merge w:val="continue"/>
                  <w:vAlign w:val="center"/>
                </w:tcPr>
                <w:p w14:paraId="61FC3B3E">
                  <w:pPr>
                    <w:pStyle w:val="42"/>
                  </w:pPr>
                </w:p>
              </w:tc>
              <w:tc>
                <w:tcPr>
                  <w:tcW w:w="1559" w:type="dxa"/>
                  <w:vMerge w:val="restart"/>
                  <w:vAlign w:val="center"/>
                </w:tcPr>
                <w:p w14:paraId="2479B070">
                  <w:pPr>
                    <w:pStyle w:val="42"/>
                  </w:pPr>
                  <w:r>
                    <w:rPr>
                      <w:rFonts w:hint="eastAsia"/>
                    </w:rPr>
                    <w:t>废水治理</w:t>
                  </w:r>
                </w:p>
              </w:tc>
              <w:tc>
                <w:tcPr>
                  <w:tcW w:w="3515" w:type="dxa"/>
                  <w:vAlign w:val="center"/>
                </w:tcPr>
                <w:p w14:paraId="6B727647">
                  <w:pPr>
                    <w:pStyle w:val="42"/>
                    <w:rPr>
                      <w:rFonts w:hint="eastAsia" w:eastAsia="宋体"/>
                      <w:lang w:eastAsia="zh-CN"/>
                    </w:rPr>
                  </w:pPr>
                  <w:r>
                    <w:rPr>
                      <w:rFonts w:hint="eastAsia"/>
                      <w:lang w:eastAsia="zh-CN"/>
                    </w:rPr>
                    <w:t>黑膜厌氧池</w:t>
                  </w:r>
                </w:p>
              </w:tc>
              <w:tc>
                <w:tcPr>
                  <w:tcW w:w="2035" w:type="dxa"/>
                  <w:vAlign w:val="center"/>
                </w:tcPr>
                <w:p w14:paraId="21306779">
                  <w:pPr>
                    <w:pStyle w:val="42"/>
                    <w:rPr>
                      <w:rFonts w:hint="default" w:eastAsia="宋体"/>
                      <w:lang w:val="en-US" w:eastAsia="zh-CN"/>
                    </w:rPr>
                  </w:pPr>
                  <w:r>
                    <w:rPr>
                      <w:rFonts w:hint="eastAsia"/>
                      <w:lang w:val="en-US" w:eastAsia="zh-CN"/>
                    </w:rPr>
                    <w:t>42</w:t>
                  </w:r>
                </w:p>
              </w:tc>
            </w:tr>
            <w:tr w14:paraId="265E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Merge w:val="continue"/>
                  <w:vAlign w:val="center"/>
                </w:tcPr>
                <w:p w14:paraId="2FC953AA">
                  <w:pPr>
                    <w:pStyle w:val="42"/>
                  </w:pPr>
                </w:p>
              </w:tc>
              <w:tc>
                <w:tcPr>
                  <w:tcW w:w="1559" w:type="dxa"/>
                  <w:vMerge w:val="continue"/>
                  <w:vAlign w:val="center"/>
                </w:tcPr>
                <w:p w14:paraId="599B7FB1">
                  <w:pPr>
                    <w:pStyle w:val="42"/>
                  </w:pPr>
                </w:p>
              </w:tc>
              <w:tc>
                <w:tcPr>
                  <w:tcW w:w="3515" w:type="dxa"/>
                  <w:vAlign w:val="center"/>
                </w:tcPr>
                <w:p w14:paraId="3D7E8876">
                  <w:pPr>
                    <w:pStyle w:val="42"/>
                  </w:pPr>
                  <w:r>
                    <w:rPr>
                      <w:rFonts w:hint="eastAsia"/>
                    </w:rPr>
                    <w:t>化粪池</w:t>
                  </w:r>
                </w:p>
              </w:tc>
              <w:tc>
                <w:tcPr>
                  <w:tcW w:w="2035" w:type="dxa"/>
                  <w:vAlign w:val="center"/>
                </w:tcPr>
                <w:p w14:paraId="3A45E492">
                  <w:pPr>
                    <w:pStyle w:val="42"/>
                    <w:rPr>
                      <w:rFonts w:hint="eastAsia" w:eastAsia="宋体"/>
                      <w:lang w:eastAsia="zh-CN"/>
                    </w:rPr>
                  </w:pPr>
                  <w:r>
                    <w:rPr>
                      <w:rFonts w:hint="eastAsia"/>
                      <w:lang w:val="en-US" w:eastAsia="zh-CN"/>
                    </w:rPr>
                    <w:t>2</w:t>
                  </w:r>
                </w:p>
              </w:tc>
            </w:tr>
            <w:tr w14:paraId="1722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Merge w:val="continue"/>
                  <w:vAlign w:val="center"/>
                </w:tcPr>
                <w:p w14:paraId="10F029B4">
                  <w:pPr>
                    <w:pStyle w:val="42"/>
                  </w:pPr>
                </w:p>
              </w:tc>
              <w:tc>
                <w:tcPr>
                  <w:tcW w:w="1559" w:type="dxa"/>
                  <w:vAlign w:val="center"/>
                </w:tcPr>
                <w:p w14:paraId="687C9649">
                  <w:pPr>
                    <w:pStyle w:val="42"/>
                  </w:pPr>
                  <w:r>
                    <w:rPr>
                      <w:rFonts w:hint="eastAsia"/>
                    </w:rPr>
                    <w:t>噪声治理</w:t>
                  </w:r>
                </w:p>
              </w:tc>
              <w:tc>
                <w:tcPr>
                  <w:tcW w:w="3515" w:type="dxa"/>
                  <w:vAlign w:val="center"/>
                </w:tcPr>
                <w:p w14:paraId="0E9E5BB2">
                  <w:pPr>
                    <w:pStyle w:val="42"/>
                  </w:pPr>
                  <w:r>
                    <w:t>基础减震</w:t>
                  </w:r>
                </w:p>
              </w:tc>
              <w:tc>
                <w:tcPr>
                  <w:tcW w:w="2035" w:type="dxa"/>
                  <w:vAlign w:val="center"/>
                </w:tcPr>
                <w:p w14:paraId="6C3061BA">
                  <w:pPr>
                    <w:pStyle w:val="42"/>
                    <w:rPr>
                      <w:rFonts w:hint="eastAsia" w:eastAsia="宋体"/>
                      <w:lang w:eastAsia="zh-CN"/>
                    </w:rPr>
                  </w:pPr>
                  <w:r>
                    <w:rPr>
                      <w:rFonts w:hint="eastAsia"/>
                      <w:lang w:val="en-US" w:eastAsia="zh-CN"/>
                    </w:rPr>
                    <w:t>2</w:t>
                  </w:r>
                </w:p>
              </w:tc>
            </w:tr>
            <w:tr w14:paraId="7BAD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Merge w:val="continue"/>
                  <w:vAlign w:val="center"/>
                </w:tcPr>
                <w:p w14:paraId="0E8959CA">
                  <w:pPr>
                    <w:pStyle w:val="42"/>
                  </w:pPr>
                </w:p>
              </w:tc>
              <w:tc>
                <w:tcPr>
                  <w:tcW w:w="1559" w:type="dxa"/>
                  <w:vMerge w:val="restart"/>
                  <w:vAlign w:val="center"/>
                </w:tcPr>
                <w:p w14:paraId="464652E1">
                  <w:pPr>
                    <w:pStyle w:val="42"/>
                  </w:pPr>
                  <w:r>
                    <w:rPr>
                      <w:rFonts w:hint="eastAsia"/>
                    </w:rPr>
                    <w:t>固废治理</w:t>
                  </w:r>
                </w:p>
              </w:tc>
              <w:tc>
                <w:tcPr>
                  <w:tcW w:w="3515" w:type="dxa"/>
                  <w:vAlign w:val="center"/>
                </w:tcPr>
                <w:p w14:paraId="12E659EF">
                  <w:pPr>
                    <w:pStyle w:val="42"/>
                  </w:pPr>
                  <w:r>
                    <w:t>危险废物暂存间</w:t>
                  </w:r>
                  <w:r>
                    <w:rPr>
                      <w:rFonts w:hint="eastAsia"/>
                    </w:rPr>
                    <w:t>及防渗措施</w:t>
                  </w:r>
                </w:p>
              </w:tc>
              <w:tc>
                <w:tcPr>
                  <w:tcW w:w="2035" w:type="dxa"/>
                  <w:vAlign w:val="center"/>
                </w:tcPr>
                <w:p w14:paraId="2A14D149">
                  <w:pPr>
                    <w:pStyle w:val="42"/>
                    <w:rPr>
                      <w:rFonts w:hint="eastAsia" w:eastAsia="宋体"/>
                      <w:lang w:eastAsia="zh-CN"/>
                    </w:rPr>
                  </w:pPr>
                  <w:r>
                    <w:rPr>
                      <w:rFonts w:hint="eastAsia"/>
                      <w:lang w:val="en-US" w:eastAsia="zh-CN"/>
                    </w:rPr>
                    <w:t>4</w:t>
                  </w:r>
                </w:p>
              </w:tc>
            </w:tr>
            <w:tr w14:paraId="0E58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Merge w:val="continue"/>
                  <w:vAlign w:val="center"/>
                </w:tcPr>
                <w:p w14:paraId="4EA5C108">
                  <w:pPr>
                    <w:pStyle w:val="42"/>
                  </w:pPr>
                </w:p>
              </w:tc>
              <w:tc>
                <w:tcPr>
                  <w:tcW w:w="1559" w:type="dxa"/>
                  <w:vMerge w:val="continue"/>
                  <w:vAlign w:val="center"/>
                </w:tcPr>
                <w:p w14:paraId="47EB1C8F">
                  <w:pPr>
                    <w:pStyle w:val="42"/>
                  </w:pPr>
                </w:p>
              </w:tc>
              <w:tc>
                <w:tcPr>
                  <w:tcW w:w="3515" w:type="dxa"/>
                  <w:vAlign w:val="center"/>
                </w:tcPr>
                <w:p w14:paraId="21B36CD2">
                  <w:pPr>
                    <w:pStyle w:val="42"/>
                  </w:pPr>
                  <w:r>
                    <w:t>垃圾桶</w:t>
                  </w:r>
                </w:p>
              </w:tc>
              <w:tc>
                <w:tcPr>
                  <w:tcW w:w="2035" w:type="dxa"/>
                  <w:vAlign w:val="center"/>
                </w:tcPr>
                <w:p w14:paraId="7B628A14">
                  <w:pPr>
                    <w:pStyle w:val="42"/>
                  </w:pPr>
                  <w:r>
                    <w:t>0.5</w:t>
                  </w:r>
                </w:p>
              </w:tc>
            </w:tr>
            <w:tr w14:paraId="2DD5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Merge w:val="continue"/>
                  <w:vAlign w:val="center"/>
                </w:tcPr>
                <w:p w14:paraId="65E92BB0">
                  <w:pPr>
                    <w:pStyle w:val="42"/>
                  </w:pPr>
                </w:p>
              </w:tc>
              <w:tc>
                <w:tcPr>
                  <w:tcW w:w="5074" w:type="dxa"/>
                  <w:gridSpan w:val="2"/>
                  <w:vAlign w:val="center"/>
                </w:tcPr>
                <w:p w14:paraId="3D3DDF4C">
                  <w:pPr>
                    <w:pStyle w:val="42"/>
                  </w:pPr>
                  <w:r>
                    <w:rPr>
                      <w:rFonts w:hint="eastAsia"/>
                    </w:rPr>
                    <w:t>合计</w:t>
                  </w:r>
                </w:p>
              </w:tc>
              <w:tc>
                <w:tcPr>
                  <w:tcW w:w="2035" w:type="dxa"/>
                  <w:vAlign w:val="center"/>
                </w:tcPr>
                <w:p w14:paraId="09AC30B8">
                  <w:pPr>
                    <w:pStyle w:val="42"/>
                    <w:rPr>
                      <w:rFonts w:hint="default" w:eastAsia="宋体"/>
                      <w:lang w:val="en-US" w:eastAsia="zh-CN"/>
                    </w:rPr>
                  </w:pPr>
                  <w:r>
                    <w:rPr>
                      <w:rFonts w:hint="eastAsia"/>
                      <w:lang w:val="en-US" w:eastAsia="zh-CN"/>
                    </w:rPr>
                    <w:t>110.8</w:t>
                  </w:r>
                </w:p>
              </w:tc>
            </w:tr>
          </w:tbl>
          <w:p w14:paraId="29CF3753">
            <w:pPr>
              <w:pStyle w:val="4"/>
              <w:numPr>
                <w:ilvl w:val="1"/>
                <w:numId w:val="0"/>
              </w:numPr>
              <w:ind w:left="0" w:leftChars="0" w:firstLine="0" w:firstLineChars="0"/>
              <w:rPr>
                <w:u w:val="single"/>
              </w:rPr>
            </w:pPr>
            <w:r>
              <w:rPr>
                <w:rFonts w:hint="default" w:ascii="Times New Roman" w:hAnsi="Times New Roman" w:eastAsia="宋体" w:cs="Times New Roman"/>
                <w:b/>
                <w:i w:val="0"/>
                <w:kern w:val="2"/>
                <w:sz w:val="24"/>
                <w:szCs w:val="24"/>
                <w:lang w:val="en-US" w:eastAsia="zh-CN" w:bidi="ar-SA"/>
              </w:rPr>
              <w:t>4.1</w:t>
            </w:r>
            <w:r>
              <w:rPr>
                <w:rFonts w:hint="eastAsia" w:cs="Times New Roman"/>
                <w:b/>
                <w:i w:val="0"/>
                <w:kern w:val="2"/>
                <w:sz w:val="24"/>
                <w:szCs w:val="24"/>
                <w:lang w:val="en-US" w:eastAsia="zh-CN" w:bidi="ar-SA"/>
              </w:rPr>
              <w:t>3</w:t>
            </w:r>
            <w:r>
              <w:rPr>
                <w:rFonts w:hint="default" w:ascii="Times New Roman" w:hAnsi="Times New Roman" w:eastAsia="宋体" w:cs="Times New Roman"/>
                <w:b/>
                <w:i w:val="0"/>
                <w:kern w:val="2"/>
                <w:sz w:val="24"/>
                <w:szCs w:val="24"/>
                <w:lang w:val="en-US" w:eastAsia="zh-CN" w:bidi="ar-SA"/>
              </w:rPr>
              <w:t>、</w:t>
            </w:r>
            <w:r>
              <w:rPr>
                <w:rFonts w:hint="eastAsia"/>
                <w:u w:val="single"/>
              </w:rPr>
              <w:t>环保验收</w:t>
            </w:r>
          </w:p>
          <w:p w14:paraId="0D8A3CD4">
            <w:pPr>
              <w:ind w:firstLine="480"/>
              <w:rPr>
                <w:u w:val="single"/>
              </w:rPr>
            </w:pPr>
            <w:r>
              <w:rPr>
                <w:rFonts w:hint="eastAsia"/>
                <w:u w:val="single"/>
              </w:rPr>
              <w:t>根据《中华人民共和国环境保护法》（2015年1月1日起施行）、《建设项目竣工环境保护验收管理办法》（国环规环评这〔2017〕4号）、《广西壮族自治区环境保护厅关于建设项目竣工环境保护验收工作的通知》（桂环函〔201</w:t>
            </w:r>
            <w:r>
              <w:rPr>
                <w:u w:val="single"/>
              </w:rPr>
              <w:t>8</w:t>
            </w:r>
            <w:r>
              <w:rPr>
                <w:rFonts w:hint="eastAsia"/>
                <w:u w:val="single"/>
              </w:rPr>
              <w:t>〕317号），建设单位是建设项目竣工环境保护验收的责任主体，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建设单位自行组织对建设项目废气、废水、噪声、固体废物污染防治设施进行验收，并按照相关的验收流程向社会公开验收信息。</w:t>
            </w:r>
          </w:p>
          <w:p w14:paraId="0B4C440C">
            <w:pPr>
              <w:ind w:firstLine="480"/>
              <w:rPr>
                <w:u w:val="single"/>
              </w:rPr>
            </w:pPr>
            <w:r>
              <w:rPr>
                <w:rFonts w:hint="eastAsia"/>
                <w:u w:val="single"/>
              </w:rPr>
              <w:t>项目运营期环保验收一览表见下表。</w:t>
            </w:r>
          </w:p>
          <w:p w14:paraId="07DB283A">
            <w:pPr>
              <w:pStyle w:val="8"/>
              <w:numPr>
                <w:ilvl w:val="5"/>
                <w:numId w:val="0"/>
              </w:numPr>
              <w:ind w:left="0" w:leftChars="0" w:firstLine="480" w:firstLineChars="200"/>
              <w:rPr>
                <w:u w:val="single"/>
              </w:rPr>
            </w:pPr>
            <w:r>
              <w:rPr>
                <w:rFonts w:hint="default" w:ascii="Times New Roman" w:hAnsi="Times New Roman" w:eastAsia="宋体" w:cs="Times New Roman"/>
                <w:b/>
                <w:i w:val="0"/>
                <w:color w:val="auto"/>
                <w:kern w:val="2"/>
                <w:sz w:val="24"/>
                <w:szCs w:val="24"/>
                <w:shd w:val="clear" w:fill="FFFFFF"/>
                <w:lang w:val="en-US" w:eastAsia="zh-CN" w:bidi="ar-SA"/>
              </w:rPr>
              <w:t>表4-3</w:t>
            </w:r>
            <w:r>
              <w:rPr>
                <w:rFonts w:hint="eastAsia" w:cs="Times New Roman"/>
                <w:b/>
                <w:i w:val="0"/>
                <w:color w:val="auto"/>
                <w:kern w:val="2"/>
                <w:sz w:val="24"/>
                <w:szCs w:val="24"/>
                <w:shd w:val="clear" w:fill="FFFFFF"/>
                <w:lang w:val="en-US" w:eastAsia="zh-CN" w:bidi="ar-SA"/>
              </w:rPr>
              <w:t>3</w:t>
            </w:r>
            <w:r>
              <w:rPr>
                <w:rFonts w:hint="eastAsia"/>
                <w:u w:val="single"/>
              </w:rPr>
              <w:t>建设项目环保验收一览表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835"/>
              <w:gridCol w:w="1215"/>
              <w:gridCol w:w="1340"/>
              <w:gridCol w:w="3796"/>
              <w:gridCol w:w="948"/>
            </w:tblGrid>
            <w:tr w14:paraId="7522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Align w:val="center"/>
                </w:tcPr>
                <w:p w14:paraId="7DA2DE75">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rPr>
                    <w:t>类别</w:t>
                  </w:r>
                </w:p>
              </w:tc>
              <w:tc>
                <w:tcPr>
                  <w:tcW w:w="835" w:type="dxa"/>
                  <w:vAlign w:val="center"/>
                </w:tcPr>
                <w:p w14:paraId="6C3D20D8">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rPr>
                    <w:t>排放口/污染源</w:t>
                  </w:r>
                </w:p>
              </w:tc>
              <w:tc>
                <w:tcPr>
                  <w:tcW w:w="1215" w:type="dxa"/>
                  <w:vAlign w:val="center"/>
                </w:tcPr>
                <w:p w14:paraId="0021DF81">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rPr>
                    <w:t>污染物</w:t>
                  </w:r>
                </w:p>
              </w:tc>
              <w:tc>
                <w:tcPr>
                  <w:tcW w:w="1340" w:type="dxa"/>
                  <w:vAlign w:val="center"/>
                </w:tcPr>
                <w:p w14:paraId="2E881408">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rPr>
                    <w:t>治理措施</w:t>
                  </w:r>
                </w:p>
              </w:tc>
              <w:tc>
                <w:tcPr>
                  <w:tcW w:w="3796" w:type="dxa"/>
                  <w:vAlign w:val="center"/>
                </w:tcPr>
                <w:p w14:paraId="35754B47">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rPr>
                    <w:t>验收内容及治理效果</w:t>
                  </w:r>
                </w:p>
              </w:tc>
              <w:tc>
                <w:tcPr>
                  <w:tcW w:w="948" w:type="dxa"/>
                  <w:vAlign w:val="center"/>
                </w:tcPr>
                <w:p w14:paraId="6FD5B8E2">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rPr>
                    <w:t>完成时间</w:t>
                  </w:r>
                </w:p>
              </w:tc>
            </w:tr>
            <w:tr w14:paraId="59D0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restart"/>
                  <w:vAlign w:val="center"/>
                </w:tcPr>
                <w:p w14:paraId="4E069389">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rPr>
                    <w:t>废气</w:t>
                  </w:r>
                </w:p>
              </w:tc>
              <w:tc>
                <w:tcPr>
                  <w:tcW w:w="835" w:type="dxa"/>
                  <w:vAlign w:val="center"/>
                </w:tcPr>
                <w:p w14:paraId="6D56D0B3">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default" w:eastAsia="宋体"/>
                      <w:u w:val="single"/>
                      <w:lang w:val="en-US" w:eastAsia="zh-CN"/>
                    </w:rPr>
                  </w:pPr>
                  <w:r>
                    <w:rPr>
                      <w:rFonts w:hint="eastAsia"/>
                      <w:u w:val="single"/>
                      <w:lang w:val="en-US" w:eastAsia="zh-CN"/>
                    </w:rPr>
                    <w:t>DA001排气筒</w:t>
                  </w:r>
                </w:p>
              </w:tc>
              <w:tc>
                <w:tcPr>
                  <w:tcW w:w="1215" w:type="dxa"/>
                  <w:vAlign w:val="center"/>
                </w:tcPr>
                <w:p w14:paraId="36914C61">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eastAsia="宋体"/>
                      <w:u w:val="single"/>
                      <w:lang w:eastAsia="zh-CN"/>
                    </w:rPr>
                  </w:pPr>
                  <w:r>
                    <w:rPr>
                      <w:rFonts w:hint="eastAsia"/>
                      <w:sz w:val="21"/>
                      <w:szCs w:val="21"/>
                      <w:lang w:val="en-US" w:eastAsia="zh-CN"/>
                    </w:rPr>
                    <w:t>TSP</w:t>
                  </w:r>
                  <w:r>
                    <w:rPr>
                      <w:rFonts w:hint="eastAsia"/>
                      <w:u w:val="none"/>
                      <w:lang w:eastAsia="zh-CN"/>
                    </w:rPr>
                    <w:t>、</w:t>
                  </w:r>
                  <w:r>
                    <w:rPr>
                      <w:rFonts w:hint="eastAsia"/>
                      <w:lang w:val="en-US" w:eastAsia="zh-CN"/>
                    </w:rPr>
                    <w:t>SO</w:t>
                  </w:r>
                  <w:r>
                    <w:rPr>
                      <w:rFonts w:hint="eastAsia"/>
                      <w:vertAlign w:val="subscript"/>
                      <w:lang w:val="en-US" w:eastAsia="zh-CN"/>
                    </w:rPr>
                    <w:t>2</w:t>
                  </w:r>
                  <w:r>
                    <w:rPr>
                      <w:rFonts w:hint="eastAsia"/>
                      <w:vertAlign w:val="baseline"/>
                      <w:lang w:val="en-US" w:eastAsia="zh-CN"/>
                    </w:rPr>
                    <w:t>、</w:t>
                  </w:r>
                  <w:r>
                    <w:rPr>
                      <w:rFonts w:hint="eastAsia"/>
                      <w:lang w:val="en-US" w:eastAsia="zh-CN"/>
                    </w:rPr>
                    <w:t>NOx、</w:t>
                  </w:r>
                  <w:r>
                    <w:rPr>
                      <w:rFonts w:hint="eastAsia"/>
                      <w:sz w:val="21"/>
                      <w:szCs w:val="21"/>
                      <w:lang w:val="en-US" w:eastAsia="zh-CN"/>
                    </w:rPr>
                    <w:t>非甲烷总烃、NH</w:t>
                  </w:r>
                  <w:r>
                    <w:rPr>
                      <w:rFonts w:hint="eastAsia"/>
                      <w:sz w:val="21"/>
                      <w:szCs w:val="21"/>
                      <w:vertAlign w:val="subscript"/>
                      <w:lang w:val="en-US" w:eastAsia="zh-CN"/>
                    </w:rPr>
                    <w:t>3</w:t>
                  </w:r>
                  <w:r>
                    <w:rPr>
                      <w:rFonts w:hint="eastAsia"/>
                      <w:sz w:val="21"/>
                      <w:szCs w:val="21"/>
                      <w:lang w:val="en-US" w:eastAsia="zh-CN"/>
                    </w:rPr>
                    <w:t>、H</w:t>
                  </w:r>
                  <w:r>
                    <w:rPr>
                      <w:rFonts w:hint="eastAsia"/>
                      <w:sz w:val="21"/>
                      <w:szCs w:val="21"/>
                      <w:vertAlign w:val="subscript"/>
                      <w:lang w:val="en-US" w:eastAsia="zh-CN"/>
                    </w:rPr>
                    <w:t>2</w:t>
                  </w:r>
                  <w:r>
                    <w:rPr>
                      <w:rFonts w:hint="eastAsia"/>
                      <w:sz w:val="21"/>
                      <w:szCs w:val="21"/>
                      <w:lang w:val="en-US" w:eastAsia="zh-CN"/>
                    </w:rPr>
                    <w:t>S、</w:t>
                  </w:r>
                  <w:r>
                    <w:rPr>
                      <w:rFonts w:hint="eastAsia"/>
                      <w:u w:val="single"/>
                      <w:lang w:eastAsia="zh-CN"/>
                    </w:rPr>
                    <w:t>臭气浓度</w:t>
                  </w:r>
                </w:p>
              </w:tc>
              <w:tc>
                <w:tcPr>
                  <w:tcW w:w="1340" w:type="dxa"/>
                  <w:vAlign w:val="center"/>
                </w:tcPr>
                <w:p w14:paraId="7F2BE7B2">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lang w:val="en-US" w:eastAsia="zh-CN"/>
                    </w:rPr>
                    <w:t>袋式除尘+除臭箱+低氮燃烧+15</w:t>
                  </w:r>
                  <w:r>
                    <w:rPr>
                      <w:rFonts w:hint="eastAsia" w:ascii="Times New Roman" w:hAnsi="Times New Roman" w:eastAsia="宋体" w:cs="Times New Roman"/>
                      <w:spacing w:val="-2"/>
                      <w:sz w:val="21"/>
                      <w:szCs w:val="21"/>
                      <w:lang w:val="en-US" w:eastAsia="zh-CN"/>
                    </w:rPr>
                    <w:t>m</w:t>
                  </w:r>
                  <w:r>
                    <w:rPr>
                      <w:rFonts w:hint="eastAsia"/>
                      <w:sz w:val="21"/>
                      <w:szCs w:val="21"/>
                      <w:u w:val="single"/>
                    </w:rPr>
                    <w:t>排气筒</w:t>
                  </w:r>
                </w:p>
              </w:tc>
              <w:tc>
                <w:tcPr>
                  <w:tcW w:w="3796" w:type="dxa"/>
                  <w:vMerge w:val="restart"/>
                  <w:vAlign w:val="center"/>
                </w:tcPr>
                <w:p w14:paraId="56A141EA">
                  <w:pPr>
                    <w:pStyle w:val="12"/>
                    <w:rPr>
                      <w:sz w:val="21"/>
                      <w:szCs w:val="21"/>
                    </w:rPr>
                  </w:pPr>
                  <w:r>
                    <w:rPr>
                      <w:rFonts w:hint="eastAsia"/>
                      <w:sz w:val="21"/>
                      <w:szCs w:val="21"/>
                      <w:u w:val="none"/>
                    </w:rPr>
                    <w:t>排气筒有组织排放颗粒物、</w:t>
                  </w:r>
                  <w:r>
                    <w:rPr>
                      <w:rFonts w:hint="eastAsia"/>
                      <w:sz w:val="21"/>
                      <w:szCs w:val="21"/>
                      <w:u w:val="none"/>
                      <w:lang w:eastAsia="zh-CN"/>
                    </w:rPr>
                    <w:t>非甲烷总烃、氨气、硫化氢、臭气浓度，</w:t>
                  </w:r>
                  <w:r>
                    <w:rPr>
                      <w:rFonts w:hint="eastAsia"/>
                      <w:sz w:val="21"/>
                      <w:szCs w:val="21"/>
                      <w:u w:val="none"/>
                    </w:rPr>
                    <w:t>厂界无组织排放颗粒物</w:t>
                  </w:r>
                  <w:r>
                    <w:rPr>
                      <w:rFonts w:hint="eastAsia"/>
                      <w:sz w:val="21"/>
                      <w:szCs w:val="21"/>
                      <w:u w:val="none"/>
                      <w:lang w:eastAsia="zh-CN"/>
                    </w:rPr>
                    <w:t>、非甲烷总烃、氨气、硫化氢、臭气浓度</w:t>
                  </w:r>
                  <w:r>
                    <w:rPr>
                      <w:rFonts w:hint="eastAsia"/>
                      <w:sz w:val="21"/>
                      <w:szCs w:val="21"/>
                      <w:u w:val="none"/>
                    </w:rPr>
                    <w:t>符合</w:t>
                  </w:r>
                  <w:r>
                    <w:rPr>
                      <w:rFonts w:hint="eastAsia"/>
                      <w:sz w:val="21"/>
                      <w:szCs w:val="21"/>
                      <w:u w:val="none"/>
                      <w:lang w:eastAsia="zh-CN"/>
                    </w:rPr>
                    <w:t>《恶臭污染物排放标准》(GB14554-93)、《大气污染物综合排放标准》(GB16297-1996)表2要求限值</w:t>
                  </w:r>
                  <w:r>
                    <w:rPr>
                      <w:rFonts w:hint="eastAsia"/>
                      <w:sz w:val="21"/>
                      <w:szCs w:val="21"/>
                      <w:u w:val="none"/>
                    </w:rPr>
                    <w:t>）</w:t>
                  </w:r>
                  <w:r>
                    <w:rPr>
                      <w:rFonts w:hint="eastAsia"/>
                      <w:sz w:val="21"/>
                      <w:szCs w:val="21"/>
                      <w:u w:val="none"/>
                      <w:lang w:eastAsia="zh-CN"/>
                    </w:rPr>
                    <w:t>、</w:t>
                  </w:r>
                  <w:r>
                    <w:rPr>
                      <w:rFonts w:hint="eastAsia"/>
                      <w:sz w:val="21"/>
                      <w:szCs w:val="21"/>
                    </w:rPr>
                    <w:t>《挥发性有机物无组织排放控制标准》(GB37822-2019)</w:t>
                  </w:r>
                  <w:r>
                    <w:rPr>
                      <w:rFonts w:hint="eastAsia"/>
                      <w:sz w:val="21"/>
                      <w:szCs w:val="21"/>
                      <w:lang w:eastAsia="zh-CN"/>
                    </w:rPr>
                    <w:t>、</w:t>
                  </w:r>
                  <w:r>
                    <w:rPr>
                      <w:rFonts w:hint="eastAsia"/>
                      <w:sz w:val="21"/>
                      <w:szCs w:val="21"/>
                    </w:rPr>
                    <w:t>《锅炉大气污染物排放标准》(GB13271-2014)</w:t>
                  </w:r>
                </w:p>
                <w:p w14:paraId="3C470540">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eastAsia="宋体"/>
                      <w:u w:val="single"/>
                      <w:lang w:eastAsia="zh-CN"/>
                    </w:rPr>
                  </w:pPr>
                </w:p>
              </w:tc>
              <w:tc>
                <w:tcPr>
                  <w:tcW w:w="948" w:type="dxa"/>
                  <w:vMerge w:val="restart"/>
                  <w:vAlign w:val="center"/>
                </w:tcPr>
                <w:p w14:paraId="78CC89D6">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rPr>
                    <w:t>与主体工程同时设计、同时施工、同时投产使用。</w:t>
                  </w:r>
                </w:p>
              </w:tc>
            </w:tr>
            <w:tr w14:paraId="68FD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vAlign w:val="center"/>
                </w:tcPr>
                <w:p w14:paraId="3BE6F2D5">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c>
                <w:tcPr>
                  <w:tcW w:w="835" w:type="dxa"/>
                  <w:vAlign w:val="center"/>
                </w:tcPr>
                <w:p w14:paraId="25FE9FDC">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default" w:eastAsia="宋体"/>
                      <w:u w:val="single"/>
                      <w:lang w:val="en-US" w:eastAsia="zh-CN"/>
                    </w:rPr>
                  </w:pPr>
                  <w:r>
                    <w:rPr>
                      <w:rFonts w:hint="eastAsia"/>
                      <w:u w:val="single"/>
                      <w:lang w:val="en-US" w:eastAsia="zh-CN"/>
                    </w:rPr>
                    <w:t>DA002排气筒</w:t>
                  </w:r>
                </w:p>
              </w:tc>
              <w:tc>
                <w:tcPr>
                  <w:tcW w:w="1215" w:type="dxa"/>
                  <w:vAlign w:val="center"/>
                </w:tcPr>
                <w:p w14:paraId="34478387">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sz w:val="21"/>
                      <w:szCs w:val="21"/>
                      <w:lang w:val="en-US" w:eastAsia="zh-CN"/>
                    </w:rPr>
                    <w:t>非甲烷总烃、NH</w:t>
                  </w:r>
                  <w:r>
                    <w:rPr>
                      <w:rFonts w:hint="eastAsia"/>
                      <w:sz w:val="21"/>
                      <w:szCs w:val="21"/>
                      <w:vertAlign w:val="subscript"/>
                      <w:lang w:val="en-US" w:eastAsia="zh-CN"/>
                    </w:rPr>
                    <w:t>3</w:t>
                  </w:r>
                  <w:r>
                    <w:rPr>
                      <w:rFonts w:hint="eastAsia"/>
                      <w:sz w:val="21"/>
                      <w:szCs w:val="21"/>
                      <w:lang w:val="en-US" w:eastAsia="zh-CN"/>
                    </w:rPr>
                    <w:t>、H</w:t>
                  </w:r>
                  <w:r>
                    <w:rPr>
                      <w:rFonts w:hint="eastAsia"/>
                      <w:sz w:val="21"/>
                      <w:szCs w:val="21"/>
                      <w:vertAlign w:val="subscript"/>
                      <w:lang w:val="en-US" w:eastAsia="zh-CN"/>
                    </w:rPr>
                    <w:t>2</w:t>
                  </w:r>
                  <w:r>
                    <w:rPr>
                      <w:rFonts w:hint="eastAsia"/>
                      <w:sz w:val="21"/>
                      <w:szCs w:val="21"/>
                      <w:lang w:val="en-US" w:eastAsia="zh-CN"/>
                    </w:rPr>
                    <w:t>S、</w:t>
                  </w:r>
                  <w:r>
                    <w:rPr>
                      <w:rFonts w:hint="eastAsia"/>
                      <w:u w:val="single"/>
                      <w:lang w:eastAsia="zh-CN"/>
                    </w:rPr>
                    <w:t>臭气浓度</w:t>
                  </w:r>
                </w:p>
              </w:tc>
              <w:tc>
                <w:tcPr>
                  <w:tcW w:w="1340" w:type="dxa"/>
                  <w:vAlign w:val="center"/>
                </w:tcPr>
                <w:p w14:paraId="368DAC42">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lang w:eastAsia="zh-CN"/>
                    </w:rPr>
                    <w:t>除臭塔+碱喷淋塔+二级活性炭吸附</w:t>
                  </w:r>
                  <w:r>
                    <w:rPr>
                      <w:rFonts w:hint="eastAsia"/>
                      <w:lang w:val="en-US" w:eastAsia="zh-CN"/>
                    </w:rPr>
                    <w:t>+</w:t>
                  </w:r>
                  <w:r>
                    <w:rPr>
                      <w:rFonts w:hint="eastAsia" w:ascii="Times New Roman" w:hAnsi="Times New Roman" w:eastAsia="宋体" w:cs="Times New Roman"/>
                      <w:spacing w:val="-2"/>
                      <w:sz w:val="21"/>
                      <w:szCs w:val="21"/>
                      <w:lang w:val="en-US" w:eastAsia="zh-CN"/>
                    </w:rPr>
                    <w:t>2</w:t>
                  </w:r>
                  <w:r>
                    <w:rPr>
                      <w:rFonts w:hint="eastAsia" w:cs="Times New Roman"/>
                      <w:spacing w:val="-2"/>
                      <w:sz w:val="21"/>
                      <w:szCs w:val="21"/>
                      <w:lang w:val="en-US" w:eastAsia="zh-CN"/>
                    </w:rPr>
                    <w:t>0</w:t>
                  </w:r>
                  <w:r>
                    <w:rPr>
                      <w:rFonts w:hint="eastAsia" w:ascii="Times New Roman" w:hAnsi="Times New Roman" w:eastAsia="宋体" w:cs="Times New Roman"/>
                      <w:spacing w:val="-2"/>
                      <w:sz w:val="21"/>
                      <w:szCs w:val="21"/>
                      <w:lang w:val="en-US" w:eastAsia="zh-CN"/>
                    </w:rPr>
                    <w:t>m</w:t>
                  </w:r>
                  <w:r>
                    <w:rPr>
                      <w:rFonts w:hint="eastAsia"/>
                      <w:sz w:val="21"/>
                      <w:szCs w:val="21"/>
                      <w:u w:val="single"/>
                    </w:rPr>
                    <w:t>排气筒</w:t>
                  </w:r>
                </w:p>
              </w:tc>
              <w:tc>
                <w:tcPr>
                  <w:tcW w:w="3796" w:type="dxa"/>
                  <w:vMerge w:val="continue"/>
                  <w:vAlign w:val="center"/>
                </w:tcPr>
                <w:p w14:paraId="74162E20">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c>
                <w:tcPr>
                  <w:tcW w:w="948" w:type="dxa"/>
                  <w:vMerge w:val="continue"/>
                  <w:vAlign w:val="center"/>
                </w:tcPr>
                <w:p w14:paraId="11F46CC7">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r>
            <w:tr w14:paraId="34AB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vAlign w:val="center"/>
                </w:tcPr>
                <w:p w14:paraId="7BE5E369">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c>
                <w:tcPr>
                  <w:tcW w:w="835" w:type="dxa"/>
                  <w:vAlign w:val="center"/>
                </w:tcPr>
                <w:p w14:paraId="3D52360B">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eastAsia="宋体"/>
                      <w:u w:val="single"/>
                      <w:lang w:eastAsia="zh-CN"/>
                    </w:rPr>
                  </w:pPr>
                  <w:r>
                    <w:rPr>
                      <w:rFonts w:hint="eastAsia"/>
                      <w:u w:val="single"/>
                      <w:lang w:eastAsia="zh-CN"/>
                    </w:rPr>
                    <w:t>厂界</w:t>
                  </w:r>
                </w:p>
              </w:tc>
              <w:tc>
                <w:tcPr>
                  <w:tcW w:w="1215" w:type="dxa"/>
                  <w:vAlign w:val="center"/>
                </w:tcPr>
                <w:p w14:paraId="15F02A6D">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lang w:eastAsia="zh-CN"/>
                    </w:rPr>
                    <w:t>颗粒物、非甲烷总烃、氨气、硫化氢、臭气浓度</w:t>
                  </w:r>
                </w:p>
              </w:tc>
              <w:tc>
                <w:tcPr>
                  <w:tcW w:w="1340" w:type="dxa"/>
                  <w:vAlign w:val="center"/>
                </w:tcPr>
                <w:p w14:paraId="399856B0">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eastAsia="宋体"/>
                      <w:u w:val="single"/>
                      <w:lang w:eastAsia="zh-CN"/>
                    </w:rPr>
                  </w:pPr>
                  <w:r>
                    <w:rPr>
                      <w:rFonts w:hint="eastAsia"/>
                      <w:u w:val="single"/>
                      <w:lang w:val="en-US" w:eastAsia="zh-CN"/>
                    </w:rPr>
                    <w:t>/</w:t>
                  </w:r>
                </w:p>
              </w:tc>
              <w:tc>
                <w:tcPr>
                  <w:tcW w:w="3796" w:type="dxa"/>
                  <w:vMerge w:val="continue"/>
                  <w:vAlign w:val="center"/>
                </w:tcPr>
                <w:p w14:paraId="24427588">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c>
                <w:tcPr>
                  <w:tcW w:w="948" w:type="dxa"/>
                  <w:vMerge w:val="continue"/>
                  <w:vAlign w:val="center"/>
                </w:tcPr>
                <w:p w14:paraId="24A3A2D9">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r>
            <w:tr w14:paraId="56BB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2" w:type="dxa"/>
                  <w:vMerge w:val="restart"/>
                  <w:vAlign w:val="center"/>
                </w:tcPr>
                <w:p w14:paraId="1ABBE247">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rPr>
                    <w:t>废水</w:t>
                  </w:r>
                </w:p>
              </w:tc>
              <w:tc>
                <w:tcPr>
                  <w:tcW w:w="835" w:type="dxa"/>
                  <w:vAlign w:val="center"/>
                </w:tcPr>
                <w:p w14:paraId="34E470AC">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eastAsia="宋体"/>
                      <w:u w:val="single"/>
                      <w:lang w:eastAsia="zh-CN"/>
                    </w:rPr>
                  </w:pPr>
                  <w:r>
                    <w:rPr>
                      <w:rFonts w:hint="eastAsia"/>
                      <w:u w:val="single"/>
                      <w:lang w:eastAsia="zh-CN"/>
                    </w:rPr>
                    <w:t>生产废水</w:t>
                  </w:r>
                </w:p>
              </w:tc>
              <w:tc>
                <w:tcPr>
                  <w:tcW w:w="1215" w:type="dxa"/>
                  <w:vAlign w:val="center"/>
                </w:tcPr>
                <w:p w14:paraId="0483FE4E">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firstLine="0" w:firstLineChars="0"/>
                    <w:jc w:val="both"/>
                    <w:textAlignment w:val="auto"/>
                    <w:rPr>
                      <w:rFonts w:hint="eastAsia" w:eastAsia="宋体"/>
                      <w:u w:val="single"/>
                      <w:lang w:eastAsia="zh-CN"/>
                    </w:rPr>
                  </w:pPr>
                  <w:r>
                    <w:rPr>
                      <w:rFonts w:ascii="Times New Roman" w:eastAsia="Times New Roman"/>
                      <w:spacing w:val="-2"/>
                      <w:position w:val="2"/>
                      <w:sz w:val="21"/>
                    </w:rPr>
                    <w:t>pH</w:t>
                  </w:r>
                  <w:r>
                    <w:rPr>
                      <w:spacing w:val="-2"/>
                      <w:position w:val="2"/>
                      <w:sz w:val="21"/>
                    </w:rPr>
                    <w:t>、</w:t>
                  </w:r>
                  <w:r>
                    <w:rPr>
                      <w:rFonts w:ascii="Times New Roman" w:eastAsia="Times New Roman"/>
                      <w:spacing w:val="-2"/>
                      <w:position w:val="2"/>
                      <w:sz w:val="21"/>
                    </w:rPr>
                    <w:t>COD</w:t>
                  </w:r>
                  <w:r>
                    <w:rPr>
                      <w:spacing w:val="-2"/>
                      <w:position w:val="2"/>
                      <w:sz w:val="21"/>
                    </w:rPr>
                    <w:t>、</w:t>
                  </w:r>
                  <w:r>
                    <w:rPr>
                      <w:rFonts w:ascii="Times New Roman" w:eastAsia="Times New Roman"/>
                      <w:spacing w:val="-2"/>
                      <w:position w:val="2"/>
                      <w:sz w:val="21"/>
                    </w:rPr>
                    <w:t>BOD</w:t>
                  </w:r>
                  <w:r>
                    <w:rPr>
                      <w:rFonts w:ascii="Times New Roman" w:eastAsia="Times New Roman"/>
                      <w:spacing w:val="-2"/>
                      <w:sz w:val="13"/>
                    </w:rPr>
                    <w:t>5</w:t>
                  </w:r>
                  <w:r>
                    <w:rPr>
                      <w:spacing w:val="-10"/>
                      <w:position w:val="2"/>
                      <w:sz w:val="21"/>
                    </w:rPr>
                    <w:t>、</w:t>
                  </w:r>
                  <w:r>
                    <w:rPr>
                      <w:rFonts w:ascii="Times New Roman" w:eastAsia="Times New Roman"/>
                      <w:spacing w:val="-8"/>
                      <w:sz w:val="21"/>
                    </w:rPr>
                    <w:t>SS</w:t>
                  </w:r>
                  <w:r>
                    <w:rPr>
                      <w:spacing w:val="-8"/>
                      <w:sz w:val="21"/>
                    </w:rPr>
                    <w:t>、氨氮、</w:t>
                  </w:r>
                  <w:r>
                    <w:rPr>
                      <w:rFonts w:hint="eastAsia" w:ascii="Times New Roman" w:eastAsia="宋体"/>
                      <w:spacing w:val="-8"/>
                      <w:sz w:val="21"/>
                      <w:lang w:eastAsia="zh-CN"/>
                    </w:rPr>
                    <w:t>动植物油</w:t>
                  </w:r>
                </w:p>
              </w:tc>
              <w:tc>
                <w:tcPr>
                  <w:tcW w:w="1340" w:type="dxa"/>
                  <w:vAlign w:val="center"/>
                </w:tcPr>
                <w:p w14:paraId="6E191DEC">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eastAsia="宋体"/>
                      <w:u w:val="single"/>
                      <w:lang w:eastAsia="zh-CN"/>
                    </w:rPr>
                  </w:pPr>
                  <w:r>
                    <w:rPr>
                      <w:rFonts w:hint="eastAsia" w:cs="Times New Roman"/>
                      <w:u w:val="single"/>
                      <w:lang w:eastAsia="zh-CN"/>
                    </w:rPr>
                    <w:t>排入黑膜厌氧池处理后用于厂区绿化</w:t>
                  </w:r>
                </w:p>
              </w:tc>
              <w:tc>
                <w:tcPr>
                  <w:tcW w:w="3796" w:type="dxa"/>
                  <w:vMerge w:val="restart"/>
                  <w:vAlign w:val="center"/>
                </w:tcPr>
                <w:p w14:paraId="0140F0FD">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eastAsia="宋体"/>
                      <w:u w:val="single"/>
                      <w:lang w:eastAsia="zh-CN"/>
                    </w:rPr>
                  </w:pPr>
                  <w:r>
                    <w:rPr>
                      <w:rFonts w:hint="eastAsia"/>
                      <w:spacing w:val="-2"/>
                      <w:lang w:val="en-US" w:eastAsia="zh-CN"/>
                    </w:rPr>
                    <w:t>/</w:t>
                  </w:r>
                </w:p>
              </w:tc>
              <w:tc>
                <w:tcPr>
                  <w:tcW w:w="948" w:type="dxa"/>
                  <w:vMerge w:val="continue"/>
                  <w:vAlign w:val="center"/>
                </w:tcPr>
                <w:p w14:paraId="4680D014">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r>
            <w:tr w14:paraId="62E4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vAlign w:val="center"/>
                </w:tcPr>
                <w:p w14:paraId="46000714">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c>
                <w:tcPr>
                  <w:tcW w:w="835" w:type="dxa"/>
                  <w:vAlign w:val="center"/>
                </w:tcPr>
                <w:p w14:paraId="0A1C532D">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u w:val="single"/>
                    </w:rPr>
                    <w:t>生活污水</w:t>
                  </w:r>
                </w:p>
              </w:tc>
              <w:tc>
                <w:tcPr>
                  <w:tcW w:w="1215" w:type="dxa"/>
                  <w:vAlign w:val="center"/>
                </w:tcPr>
                <w:p w14:paraId="7BAF9D17">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u w:val="single"/>
                    </w:rPr>
                    <w:t>COD</w:t>
                  </w:r>
                  <w:r>
                    <w:rPr>
                      <w:u w:val="single"/>
                      <w:vertAlign w:val="subscript"/>
                    </w:rPr>
                    <w:t>Cr</w:t>
                  </w:r>
                </w:p>
                <w:p w14:paraId="1B2A80F5">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u w:val="single"/>
                    </w:rPr>
                    <w:t>BOD</w:t>
                  </w:r>
                  <w:r>
                    <w:rPr>
                      <w:u w:val="single"/>
                      <w:vertAlign w:val="subscript"/>
                    </w:rPr>
                    <w:t>5</w:t>
                  </w:r>
                </w:p>
                <w:p w14:paraId="48A1E562">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u w:val="single"/>
                    </w:rPr>
                    <w:t>SS</w:t>
                  </w:r>
                </w:p>
                <w:p w14:paraId="05E9CB27">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u w:val="single"/>
                    </w:rPr>
                    <w:t>NH</w:t>
                  </w:r>
                  <w:r>
                    <w:rPr>
                      <w:u w:val="single"/>
                      <w:vertAlign w:val="subscript"/>
                    </w:rPr>
                    <w:t>3</w:t>
                  </w:r>
                  <w:r>
                    <w:rPr>
                      <w:u w:val="single"/>
                    </w:rPr>
                    <w:t>-N</w:t>
                  </w:r>
                </w:p>
              </w:tc>
              <w:tc>
                <w:tcPr>
                  <w:tcW w:w="1340" w:type="dxa"/>
                  <w:vAlign w:val="center"/>
                </w:tcPr>
                <w:p w14:paraId="752355E1">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rPr>
                    <w:t>经化粪池处理后</w:t>
                  </w:r>
                  <w:r>
                    <w:rPr>
                      <w:rFonts w:hint="eastAsia" w:cs="Times New Roman"/>
                      <w:u w:val="single"/>
                      <w:lang w:eastAsia="zh-CN"/>
                    </w:rPr>
                    <w:t>排入黑膜厌氧池处理，用于厂区绿化</w:t>
                  </w:r>
                </w:p>
              </w:tc>
              <w:tc>
                <w:tcPr>
                  <w:tcW w:w="3796" w:type="dxa"/>
                  <w:vMerge w:val="continue"/>
                  <w:vAlign w:val="center"/>
                </w:tcPr>
                <w:p w14:paraId="67A29A36">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eastAsia="宋体"/>
                      <w:u w:val="single"/>
                      <w:lang w:eastAsia="zh-CN"/>
                    </w:rPr>
                  </w:pPr>
                </w:p>
              </w:tc>
              <w:tc>
                <w:tcPr>
                  <w:tcW w:w="948" w:type="dxa"/>
                  <w:vMerge w:val="continue"/>
                  <w:vAlign w:val="center"/>
                </w:tcPr>
                <w:p w14:paraId="64030506">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r>
            <w:tr w14:paraId="232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2" w:type="dxa"/>
                  <w:vAlign w:val="center"/>
                </w:tcPr>
                <w:p w14:paraId="6601B1C9">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rPr>
                    <w:t>噪声</w:t>
                  </w:r>
                </w:p>
              </w:tc>
              <w:tc>
                <w:tcPr>
                  <w:tcW w:w="835" w:type="dxa"/>
                  <w:vAlign w:val="center"/>
                </w:tcPr>
                <w:p w14:paraId="6A0E6793">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rPr>
                    <w:t>生产</w:t>
                  </w:r>
                  <w:r>
                    <w:rPr>
                      <w:u w:val="single"/>
                    </w:rPr>
                    <w:t>设备</w:t>
                  </w:r>
                </w:p>
              </w:tc>
              <w:tc>
                <w:tcPr>
                  <w:tcW w:w="1215" w:type="dxa"/>
                  <w:vAlign w:val="center"/>
                </w:tcPr>
                <w:p w14:paraId="45A86066">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u w:val="single"/>
                    </w:rPr>
                    <w:t>连续等效A声</w:t>
                  </w:r>
                  <w:r>
                    <w:rPr>
                      <w:rFonts w:hint="eastAsia"/>
                      <w:u w:val="single"/>
                    </w:rPr>
                    <w:t>级</w:t>
                  </w:r>
                </w:p>
              </w:tc>
              <w:tc>
                <w:tcPr>
                  <w:tcW w:w="1340" w:type="dxa"/>
                  <w:vAlign w:val="center"/>
                </w:tcPr>
                <w:p w14:paraId="6786F568">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rPr>
                    <w:t>选择低噪环保设备，</w:t>
                  </w:r>
                  <w:r>
                    <w:rPr>
                      <w:u w:val="single"/>
                    </w:rPr>
                    <w:t>基础减震</w:t>
                  </w:r>
                  <w:r>
                    <w:rPr>
                      <w:rFonts w:hint="eastAsia"/>
                      <w:u w:val="single"/>
                    </w:rPr>
                    <w:t>，厂房隔声、合理布局</w:t>
                  </w:r>
                </w:p>
              </w:tc>
              <w:tc>
                <w:tcPr>
                  <w:tcW w:w="3796" w:type="dxa"/>
                  <w:vAlign w:val="center"/>
                </w:tcPr>
                <w:p w14:paraId="3F817424">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rPr>
                    <w:t>四周厂界符合《工业企业厂界环境噪声排放标准》（GB12348-2008）</w:t>
                  </w:r>
                  <w:r>
                    <w:rPr>
                      <w:rFonts w:hint="eastAsia"/>
                      <w:u w:val="single"/>
                      <w:lang w:val="en-US" w:eastAsia="zh-CN"/>
                    </w:rPr>
                    <w:t>3</w:t>
                  </w:r>
                  <w:r>
                    <w:rPr>
                      <w:rFonts w:hint="eastAsia"/>
                      <w:u w:val="single"/>
                    </w:rPr>
                    <w:t>类标准</w:t>
                  </w:r>
                </w:p>
              </w:tc>
              <w:tc>
                <w:tcPr>
                  <w:tcW w:w="948" w:type="dxa"/>
                  <w:vMerge w:val="continue"/>
                  <w:vAlign w:val="center"/>
                </w:tcPr>
                <w:p w14:paraId="64516F5A">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r>
            <w:tr w14:paraId="55A0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restart"/>
                  <w:vAlign w:val="center"/>
                </w:tcPr>
                <w:p w14:paraId="15C0603D">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rPr>
                    <w:t>固体废物</w:t>
                  </w:r>
                </w:p>
              </w:tc>
              <w:tc>
                <w:tcPr>
                  <w:tcW w:w="835" w:type="dxa"/>
                  <w:vAlign w:val="center"/>
                </w:tcPr>
                <w:p w14:paraId="1038C3DA">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rPr>
                    <w:t>工作人员</w:t>
                  </w:r>
                </w:p>
              </w:tc>
              <w:tc>
                <w:tcPr>
                  <w:tcW w:w="1215" w:type="dxa"/>
                  <w:vAlign w:val="center"/>
                </w:tcPr>
                <w:p w14:paraId="6CBE44CE">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rPr>
                    <w:t>生活垃圾</w:t>
                  </w:r>
                </w:p>
              </w:tc>
              <w:tc>
                <w:tcPr>
                  <w:tcW w:w="1340" w:type="dxa"/>
                  <w:vAlign w:val="center"/>
                </w:tcPr>
                <w:p w14:paraId="5A627F08">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rPr>
                    <w:t>生活垃圾经厂</w:t>
                  </w:r>
                  <w:r>
                    <w:rPr>
                      <w:u w:val="single"/>
                    </w:rPr>
                    <w:t>内</w:t>
                  </w:r>
                  <w:r>
                    <w:rPr>
                      <w:rFonts w:hint="eastAsia"/>
                      <w:u w:val="single"/>
                    </w:rPr>
                    <w:t>垃圾桶</w:t>
                  </w:r>
                  <w:r>
                    <w:rPr>
                      <w:u w:val="single"/>
                    </w:rPr>
                    <w:t>集中收集后由当地环卫部门</w:t>
                  </w:r>
                  <w:r>
                    <w:rPr>
                      <w:rFonts w:hint="eastAsia"/>
                      <w:u w:val="single"/>
                    </w:rPr>
                    <w:t>统一</w:t>
                  </w:r>
                  <w:r>
                    <w:rPr>
                      <w:u w:val="single"/>
                    </w:rPr>
                    <w:t>清运处理</w:t>
                  </w:r>
                </w:p>
              </w:tc>
              <w:tc>
                <w:tcPr>
                  <w:tcW w:w="3796" w:type="dxa"/>
                  <w:vAlign w:val="center"/>
                </w:tcPr>
                <w:p w14:paraId="0FB03AD7">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rPr>
                    <w:t>符合《广西壮族自治区固体废物污染环境防治条例》（2022年7月1日实施），</w:t>
                  </w:r>
                  <w:r>
                    <w:rPr>
                      <w:u w:val="single"/>
                    </w:rPr>
                    <w:t>收集后由当地环卫部门</w:t>
                  </w:r>
                  <w:r>
                    <w:rPr>
                      <w:rFonts w:hint="eastAsia"/>
                      <w:u w:val="single"/>
                    </w:rPr>
                    <w:t>统一</w:t>
                  </w:r>
                  <w:r>
                    <w:rPr>
                      <w:u w:val="single"/>
                    </w:rPr>
                    <w:t>清运处理</w:t>
                  </w:r>
                </w:p>
              </w:tc>
              <w:tc>
                <w:tcPr>
                  <w:tcW w:w="948" w:type="dxa"/>
                  <w:vMerge w:val="continue"/>
                  <w:vAlign w:val="center"/>
                </w:tcPr>
                <w:p w14:paraId="76CDF0EA">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r>
            <w:tr w14:paraId="0929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vAlign w:val="center"/>
                </w:tcPr>
                <w:p w14:paraId="0076C06B">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c>
                <w:tcPr>
                  <w:tcW w:w="835" w:type="dxa"/>
                  <w:vAlign w:val="center"/>
                </w:tcPr>
                <w:p w14:paraId="66C0851D">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eastAsia="宋体"/>
                      <w:u w:val="single"/>
                      <w:lang w:eastAsia="zh-CN"/>
                    </w:rPr>
                  </w:pPr>
                  <w:r>
                    <w:rPr>
                      <w:rFonts w:hint="eastAsia"/>
                      <w:u w:val="single"/>
                      <w:lang w:eastAsia="zh-CN"/>
                    </w:rPr>
                    <w:t>无害化车间</w:t>
                  </w:r>
                </w:p>
              </w:tc>
              <w:tc>
                <w:tcPr>
                  <w:tcW w:w="1215" w:type="dxa"/>
                  <w:vAlign w:val="center"/>
                </w:tcPr>
                <w:p w14:paraId="02BF84E1">
                  <w:pPr>
                    <w:pStyle w:val="42"/>
                    <w:bidi w:val="0"/>
                    <w:ind w:firstLine="0" w:firstLineChars="0"/>
                    <w:jc w:val="center"/>
                    <w:rPr>
                      <w:u w:val="single"/>
                    </w:rPr>
                  </w:pPr>
                  <w:r>
                    <w:t>废包装</w:t>
                  </w:r>
                  <w:r>
                    <w:rPr>
                      <w:rFonts w:hint="eastAsia"/>
                      <w:lang w:eastAsia="zh-CN"/>
                    </w:rPr>
                    <w:t>桶</w:t>
                  </w:r>
                </w:p>
              </w:tc>
              <w:tc>
                <w:tcPr>
                  <w:tcW w:w="1340" w:type="dxa"/>
                  <w:vAlign w:val="center"/>
                </w:tcPr>
                <w:p w14:paraId="539339EE">
                  <w:pPr>
                    <w:pStyle w:val="42"/>
                    <w:bidi w:val="0"/>
                    <w:ind w:firstLine="0" w:firstLineChars="0"/>
                    <w:jc w:val="center"/>
                    <w:rPr>
                      <w:u w:val="single"/>
                    </w:rPr>
                  </w:pPr>
                  <w:r>
                    <w:t>暂存于一般固废区，外售废品回收公司利用</w:t>
                  </w:r>
                </w:p>
              </w:tc>
              <w:tc>
                <w:tcPr>
                  <w:tcW w:w="3796" w:type="dxa"/>
                  <w:vAlign w:val="center"/>
                </w:tcPr>
                <w:p w14:paraId="6608A547">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eastAsia="宋体"/>
                      <w:u w:val="single"/>
                      <w:lang w:eastAsia="zh-CN"/>
                    </w:rPr>
                  </w:pPr>
                  <w:r>
                    <w:rPr>
                      <w:rFonts w:hint="eastAsia"/>
                      <w:u w:val="single"/>
                      <w:lang w:val="en-US" w:eastAsia="zh-CN"/>
                    </w:rPr>
                    <w:t>/</w:t>
                  </w:r>
                </w:p>
              </w:tc>
              <w:tc>
                <w:tcPr>
                  <w:tcW w:w="948" w:type="dxa"/>
                  <w:vMerge w:val="continue"/>
                  <w:vAlign w:val="center"/>
                </w:tcPr>
                <w:p w14:paraId="74B970CB">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r>
            <w:tr w14:paraId="3F37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vAlign w:val="center"/>
                </w:tcPr>
                <w:p w14:paraId="102CD080">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c>
                <w:tcPr>
                  <w:tcW w:w="835" w:type="dxa"/>
                  <w:vAlign w:val="center"/>
                </w:tcPr>
                <w:p w14:paraId="2247683D">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eastAsia="宋体"/>
                      <w:u w:val="single"/>
                      <w:lang w:eastAsia="zh-CN"/>
                    </w:rPr>
                  </w:pPr>
                  <w:r>
                    <w:rPr>
                      <w:rFonts w:hint="eastAsia"/>
                      <w:u w:val="single"/>
                      <w:lang w:eastAsia="zh-CN"/>
                    </w:rPr>
                    <w:t>黑膜厌氧池</w:t>
                  </w:r>
                </w:p>
              </w:tc>
              <w:tc>
                <w:tcPr>
                  <w:tcW w:w="1215" w:type="dxa"/>
                  <w:vAlign w:val="center"/>
                </w:tcPr>
                <w:p w14:paraId="2876A64E">
                  <w:pPr>
                    <w:pStyle w:val="42"/>
                    <w:bidi w:val="0"/>
                    <w:ind w:firstLine="0" w:firstLineChars="0"/>
                    <w:jc w:val="center"/>
                    <w:rPr>
                      <w:rFonts w:hint="eastAsia" w:eastAsia="宋体"/>
                      <w:u w:val="single"/>
                      <w:lang w:eastAsia="zh-CN"/>
                    </w:rPr>
                  </w:pPr>
                  <w:r>
                    <w:rPr>
                      <w:rFonts w:hint="eastAsia"/>
                      <w:lang w:eastAsia="zh-CN"/>
                    </w:rPr>
                    <w:t>沼渣</w:t>
                  </w:r>
                </w:p>
              </w:tc>
              <w:tc>
                <w:tcPr>
                  <w:tcW w:w="1340" w:type="dxa"/>
                  <w:vAlign w:val="center"/>
                </w:tcPr>
                <w:p w14:paraId="6AD6D660">
                  <w:pPr>
                    <w:pStyle w:val="42"/>
                    <w:bidi w:val="0"/>
                    <w:ind w:firstLine="0" w:firstLineChars="0"/>
                    <w:jc w:val="center"/>
                    <w:rPr>
                      <w:u w:val="single"/>
                    </w:rPr>
                  </w:pPr>
                  <w:r>
                    <w:rPr>
                      <w:rFonts w:hint="eastAsia"/>
                      <w:lang w:eastAsia="zh-CN"/>
                    </w:rPr>
                    <w:t>沼渣和病死猪一起制造有机肥基料出售</w:t>
                  </w:r>
                </w:p>
              </w:tc>
              <w:tc>
                <w:tcPr>
                  <w:tcW w:w="3796" w:type="dxa"/>
                  <w:vAlign w:val="center"/>
                </w:tcPr>
                <w:p w14:paraId="4EEB0B1F">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r>
                    <w:rPr>
                      <w:rFonts w:hint="eastAsia"/>
                      <w:u w:val="single"/>
                      <w:lang w:val="en-US" w:eastAsia="zh-CN"/>
                    </w:rPr>
                    <w:t>/</w:t>
                  </w:r>
                </w:p>
              </w:tc>
              <w:tc>
                <w:tcPr>
                  <w:tcW w:w="948" w:type="dxa"/>
                  <w:vMerge w:val="continue"/>
                  <w:vAlign w:val="center"/>
                </w:tcPr>
                <w:p w14:paraId="2A1693FB">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r>
            <w:tr w14:paraId="59FB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vAlign w:val="center"/>
                </w:tcPr>
                <w:p w14:paraId="3A1F9E60">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c>
                <w:tcPr>
                  <w:tcW w:w="835" w:type="dxa"/>
                  <w:vAlign w:val="center"/>
                </w:tcPr>
                <w:p w14:paraId="598B58FA">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u w:val="single"/>
                      <w:lang w:eastAsia="zh-CN"/>
                    </w:rPr>
                  </w:pPr>
                  <w:r>
                    <w:rPr>
                      <w:rFonts w:hint="eastAsia"/>
                      <w:u w:val="single"/>
                      <w:lang w:eastAsia="zh-CN"/>
                    </w:rPr>
                    <w:t>纯水制备</w:t>
                  </w:r>
                </w:p>
              </w:tc>
              <w:tc>
                <w:tcPr>
                  <w:tcW w:w="1215" w:type="dxa"/>
                  <w:vAlign w:val="center"/>
                </w:tcPr>
                <w:p w14:paraId="703F3959">
                  <w:pPr>
                    <w:pStyle w:val="42"/>
                    <w:bidi w:val="0"/>
                    <w:ind w:firstLine="0" w:firstLineChars="0"/>
                    <w:jc w:val="center"/>
                    <w:rPr>
                      <w:rFonts w:hint="eastAsia"/>
                      <w:u w:val="single"/>
                      <w:lang w:eastAsia="zh-CN"/>
                    </w:rPr>
                  </w:pPr>
                  <w:r>
                    <w:rPr>
                      <w:rFonts w:hint="eastAsia"/>
                      <w:lang w:eastAsia="zh-CN"/>
                    </w:rPr>
                    <w:t>废弃树脂</w:t>
                  </w:r>
                </w:p>
              </w:tc>
              <w:tc>
                <w:tcPr>
                  <w:tcW w:w="1340" w:type="dxa"/>
                  <w:vAlign w:val="center"/>
                </w:tcPr>
                <w:p w14:paraId="59C7A0A3">
                  <w:pPr>
                    <w:pStyle w:val="42"/>
                    <w:bidi w:val="0"/>
                    <w:ind w:firstLine="0" w:firstLineChars="0"/>
                    <w:jc w:val="center"/>
                    <w:rPr>
                      <w:rFonts w:hint="eastAsia"/>
                      <w:u w:val="single"/>
                    </w:rPr>
                  </w:pPr>
                  <w:r>
                    <w:t>暂存于一般固废区，外售废品回收公司利用</w:t>
                  </w:r>
                </w:p>
              </w:tc>
              <w:tc>
                <w:tcPr>
                  <w:tcW w:w="3796" w:type="dxa"/>
                  <w:vAlign w:val="center"/>
                </w:tcPr>
                <w:p w14:paraId="5FDFA48B">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u w:val="single"/>
                    </w:rPr>
                  </w:pPr>
                  <w:r>
                    <w:rPr>
                      <w:rFonts w:hint="eastAsia"/>
                      <w:u w:val="single"/>
                      <w:lang w:val="en-US" w:eastAsia="zh-CN"/>
                    </w:rPr>
                    <w:t>/</w:t>
                  </w:r>
                </w:p>
              </w:tc>
              <w:tc>
                <w:tcPr>
                  <w:tcW w:w="948" w:type="dxa"/>
                  <w:vMerge w:val="continue"/>
                  <w:vAlign w:val="center"/>
                </w:tcPr>
                <w:p w14:paraId="2E71A58C">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r>
            <w:tr w14:paraId="6395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2" w:type="dxa"/>
                  <w:vMerge w:val="continue"/>
                  <w:vAlign w:val="center"/>
                </w:tcPr>
                <w:p w14:paraId="51A4624B">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c>
                <w:tcPr>
                  <w:tcW w:w="835" w:type="dxa"/>
                  <w:vAlign w:val="center"/>
                </w:tcPr>
                <w:p w14:paraId="663C4D3E">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u w:val="single"/>
                      <w:lang w:eastAsia="zh-CN"/>
                    </w:rPr>
                  </w:pPr>
                  <w:r>
                    <w:rPr>
                      <w:rFonts w:hint="eastAsia"/>
                      <w:lang w:eastAsia="zh-CN"/>
                    </w:rPr>
                    <w:t>防疫装备</w:t>
                  </w:r>
                </w:p>
              </w:tc>
              <w:tc>
                <w:tcPr>
                  <w:tcW w:w="1215" w:type="dxa"/>
                  <w:vAlign w:val="center"/>
                </w:tcPr>
                <w:p w14:paraId="25B9B17C">
                  <w:pPr>
                    <w:pStyle w:val="42"/>
                    <w:bidi w:val="0"/>
                    <w:ind w:firstLine="0" w:firstLineChars="0"/>
                    <w:jc w:val="center"/>
                    <w:rPr>
                      <w:rFonts w:hint="eastAsia" w:eastAsia="宋体"/>
                      <w:spacing w:val="-2"/>
                      <w:lang w:eastAsia="zh-CN"/>
                    </w:rPr>
                  </w:pPr>
                  <w:r>
                    <w:rPr>
                      <w:rFonts w:hint="eastAsia"/>
                      <w:lang w:eastAsia="zh-CN"/>
                    </w:rPr>
                    <w:t>废弃防疫装备</w:t>
                  </w:r>
                </w:p>
              </w:tc>
              <w:tc>
                <w:tcPr>
                  <w:tcW w:w="1340" w:type="dxa"/>
                  <w:vAlign w:val="center"/>
                </w:tcPr>
                <w:p w14:paraId="7F080BBC">
                  <w:pPr>
                    <w:pStyle w:val="42"/>
                    <w:bidi w:val="0"/>
                    <w:ind w:firstLine="0" w:firstLineChars="0"/>
                    <w:jc w:val="center"/>
                    <w:rPr>
                      <w:rFonts w:hint="eastAsia" w:eastAsia="宋体"/>
                      <w:u w:val="single"/>
                      <w:lang w:eastAsia="zh-CN"/>
                    </w:rPr>
                  </w:pPr>
                  <w:r>
                    <w:t>暂存于危废间内，委托有资质的单位定期清运处置。</w:t>
                  </w:r>
                </w:p>
              </w:tc>
              <w:tc>
                <w:tcPr>
                  <w:tcW w:w="3796" w:type="dxa"/>
                  <w:vAlign w:val="center"/>
                </w:tcPr>
                <w:p w14:paraId="10B2CBE8">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u w:val="single"/>
                    </w:rPr>
                  </w:pPr>
                  <w:r>
                    <w:rPr>
                      <w:rFonts w:hint="eastAsia"/>
                      <w:u w:val="single"/>
                      <w:lang w:val="en-US" w:eastAsia="zh-CN"/>
                    </w:rPr>
                    <w:t>/</w:t>
                  </w:r>
                </w:p>
              </w:tc>
              <w:tc>
                <w:tcPr>
                  <w:tcW w:w="948" w:type="dxa"/>
                  <w:vMerge w:val="continue"/>
                  <w:vAlign w:val="center"/>
                </w:tcPr>
                <w:p w14:paraId="4A7D0203">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r>
            <w:tr w14:paraId="0EEB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vAlign w:val="center"/>
                </w:tcPr>
                <w:p w14:paraId="58049D26">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c>
                <w:tcPr>
                  <w:tcW w:w="835" w:type="dxa"/>
                  <w:vAlign w:val="center"/>
                </w:tcPr>
                <w:p w14:paraId="44EC5DCF">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u w:val="single"/>
                      <w:lang w:eastAsia="zh-CN"/>
                    </w:rPr>
                  </w:pPr>
                  <w:r>
                    <w:rPr>
                      <w:rFonts w:hint="eastAsia"/>
                      <w:u w:val="single"/>
                      <w:lang w:eastAsia="zh-CN"/>
                    </w:rPr>
                    <w:t>设备维护</w:t>
                  </w:r>
                </w:p>
              </w:tc>
              <w:tc>
                <w:tcPr>
                  <w:tcW w:w="1215" w:type="dxa"/>
                  <w:vAlign w:val="center"/>
                </w:tcPr>
                <w:p w14:paraId="2B3BBD5C">
                  <w:pPr>
                    <w:pStyle w:val="42"/>
                    <w:bidi w:val="0"/>
                    <w:ind w:firstLine="0" w:firstLineChars="0"/>
                    <w:jc w:val="center"/>
                    <w:rPr>
                      <w:rFonts w:hint="eastAsia"/>
                      <w:spacing w:val="-2"/>
                      <w:lang w:eastAsia="zh-CN"/>
                    </w:rPr>
                  </w:pPr>
                  <w:r>
                    <w:rPr>
                      <w:rFonts w:hint="eastAsia"/>
                      <w:lang w:eastAsia="zh-CN"/>
                    </w:rPr>
                    <w:t>废机油</w:t>
                  </w:r>
                </w:p>
              </w:tc>
              <w:tc>
                <w:tcPr>
                  <w:tcW w:w="1340" w:type="dxa"/>
                  <w:vAlign w:val="center"/>
                </w:tcPr>
                <w:p w14:paraId="0F88FE7D">
                  <w:pPr>
                    <w:pStyle w:val="42"/>
                    <w:bidi w:val="0"/>
                    <w:ind w:firstLine="0" w:firstLineChars="0"/>
                    <w:jc w:val="center"/>
                    <w:rPr>
                      <w:rFonts w:hint="eastAsia"/>
                      <w:u w:val="single"/>
                    </w:rPr>
                  </w:pPr>
                  <w:r>
                    <w:t>暂存于危废间内，委托有资质的单位定期清运处置</w:t>
                  </w:r>
                  <w:r>
                    <w:rPr>
                      <w:rFonts w:hint="eastAsia"/>
                      <w:lang w:eastAsia="zh-CN"/>
                    </w:rPr>
                    <w:t>。</w:t>
                  </w:r>
                </w:p>
              </w:tc>
              <w:tc>
                <w:tcPr>
                  <w:tcW w:w="3796" w:type="dxa"/>
                  <w:vAlign w:val="center"/>
                </w:tcPr>
                <w:p w14:paraId="232A3243">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u w:val="single"/>
                    </w:rPr>
                  </w:pPr>
                  <w:r>
                    <w:rPr>
                      <w:rFonts w:hint="eastAsia"/>
                      <w:u w:val="single"/>
                      <w:lang w:val="en-US" w:eastAsia="zh-CN"/>
                    </w:rPr>
                    <w:t>/</w:t>
                  </w:r>
                </w:p>
              </w:tc>
              <w:tc>
                <w:tcPr>
                  <w:tcW w:w="948" w:type="dxa"/>
                  <w:vMerge w:val="continue"/>
                  <w:vAlign w:val="center"/>
                </w:tcPr>
                <w:p w14:paraId="55F059D7">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r>
            <w:tr w14:paraId="4557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2" w:type="dxa"/>
                  <w:vMerge w:val="continue"/>
                  <w:vAlign w:val="center"/>
                </w:tcPr>
                <w:p w14:paraId="7CA483A4">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c>
                <w:tcPr>
                  <w:tcW w:w="835" w:type="dxa"/>
                  <w:vAlign w:val="center"/>
                </w:tcPr>
                <w:p w14:paraId="15E9092C">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u w:val="single"/>
                      <w:lang w:eastAsia="zh-CN"/>
                    </w:rPr>
                  </w:pPr>
                  <w:r>
                    <w:rPr>
                      <w:rFonts w:hint="eastAsia"/>
                      <w:u w:val="single"/>
                      <w:lang w:eastAsia="zh-CN"/>
                    </w:rPr>
                    <w:t>废气治理设施</w:t>
                  </w:r>
                </w:p>
              </w:tc>
              <w:tc>
                <w:tcPr>
                  <w:tcW w:w="1215" w:type="dxa"/>
                  <w:vAlign w:val="center"/>
                </w:tcPr>
                <w:p w14:paraId="7FB97ADD">
                  <w:pPr>
                    <w:pStyle w:val="42"/>
                    <w:bidi w:val="0"/>
                    <w:ind w:firstLine="0" w:firstLineChars="0"/>
                    <w:jc w:val="center"/>
                    <w:rPr>
                      <w:rFonts w:hint="eastAsia"/>
                      <w:spacing w:val="-2"/>
                      <w:lang w:eastAsia="zh-CN"/>
                    </w:rPr>
                  </w:pPr>
                  <w:r>
                    <w:t>废活性炭</w:t>
                  </w:r>
                </w:p>
              </w:tc>
              <w:tc>
                <w:tcPr>
                  <w:tcW w:w="1340" w:type="dxa"/>
                  <w:vAlign w:val="center"/>
                </w:tcPr>
                <w:p w14:paraId="36DCC3D6">
                  <w:pPr>
                    <w:pStyle w:val="42"/>
                    <w:bidi w:val="0"/>
                    <w:ind w:firstLine="0" w:firstLineChars="0"/>
                    <w:jc w:val="center"/>
                    <w:rPr>
                      <w:spacing w:val="-3"/>
                      <w:sz w:val="21"/>
                    </w:rPr>
                  </w:pPr>
                  <w:r>
                    <w:t>经压滤后暂存危废间内，委托有资质的单位定期清运处置。</w:t>
                  </w:r>
                </w:p>
              </w:tc>
              <w:tc>
                <w:tcPr>
                  <w:tcW w:w="3796" w:type="dxa"/>
                  <w:vAlign w:val="center"/>
                </w:tcPr>
                <w:p w14:paraId="1B6CCE07">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u w:val="single"/>
                      <w:lang w:val="en-US" w:eastAsia="zh-CN"/>
                    </w:rPr>
                  </w:pPr>
                </w:p>
              </w:tc>
              <w:tc>
                <w:tcPr>
                  <w:tcW w:w="948" w:type="dxa"/>
                  <w:vAlign w:val="center"/>
                </w:tcPr>
                <w:p w14:paraId="3600299B">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u w:val="single"/>
                    </w:rPr>
                  </w:pPr>
                </w:p>
              </w:tc>
            </w:tr>
          </w:tbl>
          <w:p w14:paraId="77A44917">
            <w:pPr>
              <w:pStyle w:val="4"/>
              <w:numPr>
                <w:ilvl w:val="1"/>
                <w:numId w:val="0"/>
              </w:numPr>
              <w:bidi w:val="0"/>
              <w:ind w:leftChars="0"/>
              <w:rPr>
                <w:rFonts w:hint="eastAsia"/>
                <w:lang w:val="en-US" w:eastAsia="zh-CN"/>
              </w:rPr>
            </w:pPr>
            <w:r>
              <w:rPr>
                <w:rFonts w:hint="eastAsia"/>
                <w:lang w:val="en-US" w:eastAsia="zh-CN"/>
              </w:rPr>
              <w:t>4.14、排污许可</w:t>
            </w:r>
          </w:p>
          <w:p w14:paraId="3EAA023C">
            <w:pPr>
              <w:ind w:firstLine="480"/>
            </w:pPr>
            <w:r>
              <w:rPr>
                <w:rFonts w:hint="eastAsia"/>
              </w:rPr>
              <w:t>项目属于</w:t>
            </w:r>
            <w:r>
              <w:rPr>
                <w:rFonts w:hint="eastAsia" w:ascii="Times New Roman" w:hAnsi="Times New Roman" w:cs="Times New Roman"/>
                <w:kern w:val="2"/>
                <w:sz w:val="24"/>
                <w:szCs w:val="24"/>
                <w:lang w:val="en-US" w:bidi="ar-SA"/>
              </w:rPr>
              <w:t>病死畜禽无害化处理</w:t>
            </w:r>
            <w:r>
              <w:rPr>
                <w:rFonts w:hint="eastAsia"/>
              </w:rPr>
              <w:t>，根据《固定污染源排污许可分类管理名录》（2019版），判定项目涉及行业类别所实行的排污许可管理等级。</w:t>
            </w:r>
          </w:p>
          <w:p w14:paraId="7A0B1FAB">
            <w:pPr>
              <w:pStyle w:val="11"/>
              <w:numPr>
                <w:ilvl w:val="8"/>
                <w:numId w:val="0"/>
              </w:numPr>
              <w:ind w:left="0" w:leftChars="0" w:firstLine="480" w:firstLineChars="200"/>
            </w:pPr>
            <w:r>
              <w:rPr>
                <w:rFonts w:hint="eastAsia"/>
                <w:lang w:val="en-US" w:eastAsia="zh-CN"/>
              </w:rPr>
              <w:t>表4-34</w:t>
            </w:r>
            <w:r>
              <w:t>排污许可管理类型判别表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9"/>
              <w:gridCol w:w="3640"/>
              <w:gridCol w:w="1471"/>
              <w:gridCol w:w="1170"/>
            </w:tblGrid>
            <w:tr w14:paraId="4CC0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vAlign w:val="center"/>
                </w:tcPr>
                <w:p w14:paraId="2459A08F">
                  <w:pPr>
                    <w:pStyle w:val="42"/>
                    <w:rPr>
                      <w:color w:val="auto"/>
                    </w:rPr>
                  </w:pPr>
                  <w:r>
                    <w:rPr>
                      <w:color w:val="auto"/>
                    </w:rPr>
                    <w:t>行业类别及代码</w:t>
                  </w:r>
                </w:p>
              </w:tc>
              <w:tc>
                <w:tcPr>
                  <w:tcW w:w="2109" w:type="pct"/>
                  <w:vAlign w:val="center"/>
                </w:tcPr>
                <w:p w14:paraId="72ED0F64">
                  <w:pPr>
                    <w:pStyle w:val="42"/>
                    <w:rPr>
                      <w:color w:val="auto"/>
                    </w:rPr>
                  </w:pPr>
                  <w:r>
                    <w:rPr>
                      <w:color w:val="auto"/>
                    </w:rPr>
                    <w:t>涉及内容</w:t>
                  </w:r>
                </w:p>
              </w:tc>
              <w:tc>
                <w:tcPr>
                  <w:tcW w:w="852" w:type="pct"/>
                  <w:vAlign w:val="center"/>
                </w:tcPr>
                <w:p w14:paraId="081F2502">
                  <w:pPr>
                    <w:pStyle w:val="42"/>
                    <w:rPr>
                      <w:color w:val="auto"/>
                    </w:rPr>
                  </w:pPr>
                  <w:r>
                    <w:rPr>
                      <w:color w:val="auto"/>
                    </w:rPr>
                    <w:t>排污许可管理等级</w:t>
                  </w:r>
                </w:p>
              </w:tc>
              <w:tc>
                <w:tcPr>
                  <w:tcW w:w="678" w:type="pct"/>
                  <w:vAlign w:val="center"/>
                </w:tcPr>
                <w:p w14:paraId="19D3A917">
                  <w:pPr>
                    <w:pStyle w:val="42"/>
                    <w:rPr>
                      <w:color w:val="auto"/>
                    </w:rPr>
                  </w:pPr>
                  <w:r>
                    <w:rPr>
                      <w:color w:val="auto"/>
                    </w:rPr>
                    <w:t>项目办理类型</w:t>
                  </w:r>
                </w:p>
              </w:tc>
            </w:tr>
            <w:tr w14:paraId="0D08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vAlign w:val="center"/>
                </w:tcPr>
                <w:p w14:paraId="6DFE5F24">
                  <w:pPr>
                    <w:pStyle w:val="42"/>
                    <w:rPr>
                      <w:color w:val="auto"/>
                    </w:rPr>
                  </w:pPr>
                  <w:r>
                    <w:rPr>
                      <w:color w:val="auto"/>
                    </w:rPr>
                    <w:t>屠宰及肉类加工135</w:t>
                  </w:r>
                </w:p>
              </w:tc>
              <w:tc>
                <w:tcPr>
                  <w:tcW w:w="2109" w:type="pct"/>
                  <w:vAlign w:val="center"/>
                </w:tcPr>
                <w:p w14:paraId="5294DD1E">
                  <w:pPr>
                    <w:pStyle w:val="42"/>
                    <w:rPr>
                      <w:color w:val="auto"/>
                    </w:rPr>
                  </w:pPr>
                  <w:r>
                    <w:rPr>
                      <w:rFonts w:hint="eastAsia"/>
                      <w:color w:val="auto"/>
                    </w:rPr>
                    <w:t>其他</w:t>
                  </w:r>
                </w:p>
              </w:tc>
              <w:tc>
                <w:tcPr>
                  <w:tcW w:w="852" w:type="pct"/>
                  <w:vAlign w:val="center"/>
                </w:tcPr>
                <w:p w14:paraId="33F39740">
                  <w:pPr>
                    <w:pStyle w:val="42"/>
                    <w:rPr>
                      <w:color w:val="auto"/>
                    </w:rPr>
                  </w:pPr>
                  <w:r>
                    <w:rPr>
                      <w:rFonts w:hint="eastAsia"/>
                      <w:color w:val="auto"/>
                    </w:rPr>
                    <w:t>登记管理</w:t>
                  </w:r>
                </w:p>
              </w:tc>
              <w:tc>
                <w:tcPr>
                  <w:tcW w:w="678" w:type="pct"/>
                  <w:vMerge w:val="restart"/>
                  <w:vAlign w:val="center"/>
                </w:tcPr>
                <w:p w14:paraId="22FE3371">
                  <w:pPr>
                    <w:pStyle w:val="42"/>
                    <w:rPr>
                      <w:color w:val="auto"/>
                    </w:rPr>
                  </w:pPr>
                  <w:r>
                    <w:rPr>
                      <w:rFonts w:hint="eastAsia"/>
                      <w:color w:val="auto"/>
                    </w:rPr>
                    <w:t>登记管理</w:t>
                  </w:r>
                </w:p>
              </w:tc>
            </w:tr>
            <w:tr w14:paraId="45F3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vAlign w:val="center"/>
                </w:tcPr>
                <w:p w14:paraId="2009D80F">
                  <w:pPr>
                    <w:pStyle w:val="42"/>
                    <w:rPr>
                      <w:color w:val="auto"/>
                    </w:rPr>
                  </w:pPr>
                  <w:r>
                    <w:rPr>
                      <w:rFonts w:hint="eastAsia"/>
                      <w:color w:val="auto"/>
                    </w:rPr>
                    <w:t>环境治理业772</w:t>
                  </w:r>
                </w:p>
              </w:tc>
              <w:tc>
                <w:tcPr>
                  <w:tcW w:w="2109" w:type="pct"/>
                  <w:vAlign w:val="center"/>
                </w:tcPr>
                <w:p w14:paraId="21B6185E">
                  <w:pPr>
                    <w:pStyle w:val="42"/>
                    <w:rPr>
                      <w:color w:val="auto"/>
                    </w:rPr>
                  </w:pPr>
                  <w:r>
                    <w:rPr>
                      <w:rFonts w:hint="eastAsia"/>
                      <w:color w:val="auto"/>
                    </w:rPr>
                    <w:t>/</w:t>
                  </w:r>
                </w:p>
              </w:tc>
              <w:tc>
                <w:tcPr>
                  <w:tcW w:w="852" w:type="pct"/>
                  <w:vAlign w:val="center"/>
                </w:tcPr>
                <w:p w14:paraId="6778A75E">
                  <w:pPr>
                    <w:pStyle w:val="42"/>
                    <w:rPr>
                      <w:color w:val="auto"/>
                    </w:rPr>
                  </w:pPr>
                  <w:r>
                    <w:rPr>
                      <w:rFonts w:hint="eastAsia"/>
                      <w:color w:val="auto"/>
                    </w:rPr>
                    <w:t>/</w:t>
                  </w:r>
                </w:p>
              </w:tc>
              <w:tc>
                <w:tcPr>
                  <w:tcW w:w="678" w:type="pct"/>
                  <w:vMerge w:val="continue"/>
                  <w:vAlign w:val="center"/>
                </w:tcPr>
                <w:p w14:paraId="7ED9944F">
                  <w:pPr>
                    <w:pStyle w:val="42"/>
                    <w:rPr>
                      <w:color w:val="FF0000"/>
                    </w:rPr>
                  </w:pPr>
                </w:p>
              </w:tc>
            </w:tr>
            <w:tr w14:paraId="4B0C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1" w:type="pct"/>
                  <w:vAlign w:val="center"/>
                </w:tcPr>
                <w:p w14:paraId="2545B445">
                  <w:pPr>
                    <w:pStyle w:val="42"/>
                    <w:rPr>
                      <w:color w:val="auto"/>
                    </w:rPr>
                  </w:pPr>
                  <w:r>
                    <w:rPr>
                      <w:color w:val="auto"/>
                    </w:rPr>
                    <w:t>热力生产和供应443</w:t>
                  </w:r>
                </w:p>
              </w:tc>
              <w:tc>
                <w:tcPr>
                  <w:tcW w:w="2109" w:type="pct"/>
                  <w:vAlign w:val="center"/>
                </w:tcPr>
                <w:p w14:paraId="7E2172E2">
                  <w:pPr>
                    <w:pStyle w:val="42"/>
                    <w:rPr>
                      <w:color w:val="auto"/>
                    </w:rPr>
                  </w:pPr>
                  <w:r>
                    <w:rPr>
                      <w:rFonts w:hint="eastAsia"/>
                      <w:color w:val="auto"/>
                    </w:rPr>
                    <w:t>单台且合计出力20吨/小时（14兆瓦）以下的锅炉（不含电热锅炉）</w:t>
                  </w:r>
                </w:p>
              </w:tc>
              <w:tc>
                <w:tcPr>
                  <w:tcW w:w="852" w:type="pct"/>
                  <w:vAlign w:val="center"/>
                </w:tcPr>
                <w:p w14:paraId="644154AA">
                  <w:pPr>
                    <w:pStyle w:val="42"/>
                    <w:rPr>
                      <w:color w:val="auto"/>
                    </w:rPr>
                  </w:pPr>
                  <w:r>
                    <w:rPr>
                      <w:rFonts w:hint="eastAsia"/>
                      <w:color w:val="auto"/>
                    </w:rPr>
                    <w:t>登记管理</w:t>
                  </w:r>
                </w:p>
              </w:tc>
              <w:tc>
                <w:tcPr>
                  <w:tcW w:w="678" w:type="pct"/>
                  <w:vMerge w:val="continue"/>
                  <w:vAlign w:val="center"/>
                </w:tcPr>
                <w:p w14:paraId="3959F4AB">
                  <w:pPr>
                    <w:pStyle w:val="42"/>
                    <w:rPr>
                      <w:color w:val="FF0000"/>
                    </w:rPr>
                  </w:pPr>
                </w:p>
              </w:tc>
            </w:tr>
          </w:tbl>
          <w:p w14:paraId="3A93B3D5">
            <w:pPr>
              <w:rPr>
                <w:rFonts w:hint="default"/>
                <w:lang w:val="en-US" w:eastAsia="zh-CN"/>
              </w:rPr>
            </w:pPr>
            <w:r>
              <w:rPr>
                <w:rFonts w:hint="eastAsia"/>
              </w:rPr>
              <w:t>根据《排污许可管理条例》（国令第736号）、《排污许可管理办法（试行）》（生态环境部令第48号）及《关于做好环境影响评价制度与排污许可制衔接相关工作的通知》（环办环评〔2017〕84号），建设单位应当在投入生产或使用并产生实际排污行为之前，依法按照排污许可证申请与核发技术规范进行排污登记工作。</w:t>
            </w:r>
          </w:p>
          <w:p w14:paraId="1CC2E0F5">
            <w:pPr>
              <w:ind w:firstLine="480"/>
            </w:pPr>
          </w:p>
          <w:p w14:paraId="09F5CD87">
            <w:pPr>
              <w:ind w:firstLine="480"/>
            </w:pPr>
          </w:p>
          <w:p w14:paraId="4F95213E">
            <w:pPr>
              <w:ind w:firstLine="480"/>
            </w:pPr>
          </w:p>
          <w:p w14:paraId="4E0D952A">
            <w:pPr>
              <w:ind w:firstLine="480"/>
            </w:pPr>
          </w:p>
          <w:p w14:paraId="4D6D62FE">
            <w:pPr>
              <w:ind w:firstLine="480"/>
            </w:pPr>
          </w:p>
          <w:p w14:paraId="33F51064">
            <w:pPr>
              <w:ind w:firstLine="480"/>
            </w:pPr>
          </w:p>
          <w:p w14:paraId="605B46BB">
            <w:pPr>
              <w:ind w:firstLine="480"/>
            </w:pPr>
          </w:p>
          <w:p w14:paraId="0FD031F2">
            <w:pPr>
              <w:ind w:firstLine="480"/>
            </w:pPr>
          </w:p>
          <w:p w14:paraId="7AD2400A">
            <w:pPr>
              <w:ind w:firstLine="480"/>
            </w:pPr>
          </w:p>
          <w:p w14:paraId="384CC5B1">
            <w:pPr>
              <w:ind w:firstLine="480"/>
            </w:pPr>
          </w:p>
          <w:p w14:paraId="10CB8CDE">
            <w:pPr>
              <w:ind w:firstLine="480"/>
            </w:pPr>
          </w:p>
          <w:p w14:paraId="65B60790">
            <w:pPr>
              <w:ind w:firstLine="480"/>
            </w:pPr>
          </w:p>
          <w:p w14:paraId="0F821C95">
            <w:pPr>
              <w:ind w:firstLine="480"/>
            </w:pPr>
          </w:p>
        </w:tc>
      </w:tr>
    </w:tbl>
    <w:p w14:paraId="4B67DFB6">
      <w:pPr>
        <w:pStyle w:val="2"/>
        <w:numPr>
          <w:ilvl w:val="0"/>
          <w:numId w:val="0"/>
        </w:numPr>
        <w:ind w:left="0" w:leftChars="0" w:firstLine="0" w:firstLineChars="0"/>
      </w:pPr>
      <w:bookmarkStart w:id="11" w:name="_Toc61627934"/>
      <w:r>
        <w:rPr>
          <w:rFonts w:hint="eastAsia" w:ascii="Times New Roman" w:hAnsi="Times New Roman" w:eastAsia="宋体" w:cs="Times New Roman"/>
          <w:b/>
          <w:kern w:val="2"/>
          <w:sz w:val="28"/>
          <w:szCs w:val="28"/>
          <w:lang w:val="en-US" w:eastAsia="zh-CN" w:bidi="ar-SA"/>
        </w:rPr>
        <w:t>五、</w:t>
      </w:r>
      <w:r>
        <w:t>环境保护措施监督检查清单</w:t>
      </w:r>
      <w:bookmarkEnd w:id="11"/>
    </w:p>
    <w:tbl>
      <w:tblPr>
        <w:tblStyle w:val="2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84"/>
        <w:gridCol w:w="1276"/>
        <w:gridCol w:w="2977"/>
        <w:gridCol w:w="1984"/>
      </w:tblGrid>
      <w:tr w14:paraId="333A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l2br w:val="single" w:color="auto" w:sz="4" w:space="0"/>
            </w:tcBorders>
            <w:vAlign w:val="center"/>
          </w:tcPr>
          <w:p w14:paraId="6AFE2248">
            <w:pPr>
              <w:spacing w:line="240" w:lineRule="auto"/>
              <w:ind w:firstLine="0" w:firstLineChars="0"/>
              <w:jc w:val="right"/>
            </w:pPr>
            <w:r>
              <w:rPr>
                <w:rFonts w:hint="eastAsia"/>
              </w:rPr>
              <w:t>内容</w:t>
            </w:r>
          </w:p>
          <w:p w14:paraId="327603D7">
            <w:pPr>
              <w:spacing w:line="240" w:lineRule="auto"/>
              <w:ind w:firstLine="0" w:firstLineChars="0"/>
              <w:jc w:val="left"/>
            </w:pPr>
            <w:r>
              <w:rPr>
                <w:rFonts w:hint="eastAsia"/>
              </w:rPr>
              <w:t>要素</w:t>
            </w:r>
          </w:p>
        </w:tc>
        <w:tc>
          <w:tcPr>
            <w:tcW w:w="1984" w:type="dxa"/>
            <w:vAlign w:val="center"/>
          </w:tcPr>
          <w:p w14:paraId="747E274B">
            <w:pPr>
              <w:spacing w:line="240" w:lineRule="auto"/>
              <w:ind w:firstLine="0" w:firstLineChars="0"/>
              <w:jc w:val="center"/>
            </w:pPr>
            <w:r>
              <w:rPr>
                <w:rFonts w:hint="eastAsia"/>
              </w:rPr>
              <w:t>排放口(编号、名称)/污染源</w:t>
            </w:r>
          </w:p>
        </w:tc>
        <w:tc>
          <w:tcPr>
            <w:tcW w:w="1276" w:type="dxa"/>
            <w:vAlign w:val="center"/>
          </w:tcPr>
          <w:p w14:paraId="26B6606F">
            <w:pPr>
              <w:spacing w:line="240" w:lineRule="auto"/>
              <w:ind w:firstLine="0" w:firstLineChars="0"/>
              <w:jc w:val="center"/>
            </w:pPr>
            <w:r>
              <w:t>污染物项目</w:t>
            </w:r>
          </w:p>
        </w:tc>
        <w:tc>
          <w:tcPr>
            <w:tcW w:w="2977" w:type="dxa"/>
            <w:vAlign w:val="center"/>
          </w:tcPr>
          <w:p w14:paraId="3D9E434A">
            <w:pPr>
              <w:spacing w:line="240" w:lineRule="auto"/>
              <w:ind w:firstLine="0" w:firstLineChars="0"/>
              <w:jc w:val="center"/>
            </w:pPr>
            <w:r>
              <w:t>环境保护措施</w:t>
            </w:r>
          </w:p>
        </w:tc>
        <w:tc>
          <w:tcPr>
            <w:tcW w:w="1984" w:type="dxa"/>
            <w:vAlign w:val="center"/>
          </w:tcPr>
          <w:p w14:paraId="7B8833DD">
            <w:pPr>
              <w:spacing w:line="240" w:lineRule="auto"/>
              <w:ind w:firstLine="0" w:firstLineChars="0"/>
              <w:jc w:val="center"/>
            </w:pPr>
            <w:r>
              <w:t>执行标准</w:t>
            </w:r>
          </w:p>
        </w:tc>
      </w:tr>
      <w:tr w14:paraId="1CEC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46" w:type="dxa"/>
            <w:vMerge w:val="restart"/>
            <w:vAlign w:val="center"/>
          </w:tcPr>
          <w:p w14:paraId="69EBD52D">
            <w:pPr>
              <w:pStyle w:val="42"/>
            </w:pPr>
            <w:r>
              <w:rPr>
                <w:rFonts w:hint="eastAsia"/>
              </w:rPr>
              <w:t>大气环境</w:t>
            </w:r>
          </w:p>
        </w:tc>
        <w:tc>
          <w:tcPr>
            <w:tcW w:w="1984" w:type="dxa"/>
            <w:vAlign w:val="center"/>
          </w:tcPr>
          <w:p w14:paraId="175E045B">
            <w:pPr>
              <w:pStyle w:val="42"/>
              <w:keepNext w:val="0"/>
              <w:keepLines w:val="0"/>
              <w:pageBreakBefore w:val="0"/>
              <w:widowControl w:val="0"/>
              <w:kinsoku/>
              <w:wordWrap/>
              <w:overflowPunct w:val="0"/>
              <w:topLinePunct w:val="0"/>
              <w:autoSpaceDE/>
              <w:autoSpaceDN/>
              <w:bidi w:val="0"/>
              <w:adjustRightInd/>
              <w:snapToGrid/>
              <w:spacing w:line="240" w:lineRule="auto"/>
              <w:ind w:right="0" w:rightChars="0" w:firstLine="0" w:firstLineChars="0"/>
              <w:textAlignment w:val="auto"/>
            </w:pPr>
            <w:r>
              <w:rPr>
                <w:rFonts w:hint="eastAsia"/>
                <w:u w:val="single"/>
                <w:lang w:val="en-US" w:eastAsia="zh-CN"/>
              </w:rPr>
              <w:t>DA001排气筒</w:t>
            </w:r>
          </w:p>
        </w:tc>
        <w:tc>
          <w:tcPr>
            <w:tcW w:w="1276" w:type="dxa"/>
            <w:vAlign w:val="center"/>
          </w:tcPr>
          <w:p w14:paraId="0CD9C4D8">
            <w:pPr>
              <w:pStyle w:val="42"/>
              <w:keepNext w:val="0"/>
              <w:keepLines w:val="0"/>
              <w:pageBreakBefore w:val="0"/>
              <w:widowControl w:val="0"/>
              <w:kinsoku/>
              <w:wordWrap/>
              <w:overflowPunct w:val="0"/>
              <w:topLinePunct w:val="0"/>
              <w:autoSpaceDE/>
              <w:autoSpaceDN/>
              <w:bidi w:val="0"/>
              <w:adjustRightInd/>
              <w:snapToGrid/>
              <w:spacing w:line="240" w:lineRule="auto"/>
              <w:ind w:right="0" w:rightChars="0" w:firstLine="0" w:firstLineChars="0"/>
              <w:textAlignment w:val="auto"/>
            </w:pPr>
            <w:r>
              <w:rPr>
                <w:rFonts w:hint="eastAsia"/>
                <w:sz w:val="21"/>
                <w:szCs w:val="21"/>
                <w:lang w:val="en-US" w:eastAsia="zh-CN"/>
              </w:rPr>
              <w:t>TSP</w:t>
            </w:r>
            <w:r>
              <w:rPr>
                <w:rFonts w:hint="eastAsia"/>
                <w:u w:val="single"/>
                <w:lang w:eastAsia="zh-CN"/>
              </w:rPr>
              <w:t>、</w:t>
            </w:r>
            <w:r>
              <w:rPr>
                <w:rFonts w:hint="eastAsia"/>
                <w:lang w:val="en-US" w:eastAsia="zh-CN"/>
              </w:rPr>
              <w:t>SO</w:t>
            </w:r>
            <w:r>
              <w:rPr>
                <w:rFonts w:hint="eastAsia"/>
                <w:vertAlign w:val="subscript"/>
                <w:lang w:val="en-US" w:eastAsia="zh-CN"/>
              </w:rPr>
              <w:t>2</w:t>
            </w:r>
            <w:r>
              <w:rPr>
                <w:rFonts w:hint="eastAsia"/>
                <w:vertAlign w:val="baseline"/>
                <w:lang w:val="en-US" w:eastAsia="zh-CN"/>
              </w:rPr>
              <w:t>、</w:t>
            </w:r>
            <w:r>
              <w:rPr>
                <w:rFonts w:hint="eastAsia"/>
                <w:lang w:val="en-US" w:eastAsia="zh-CN"/>
              </w:rPr>
              <w:t>NOx、</w:t>
            </w:r>
            <w:r>
              <w:rPr>
                <w:rFonts w:hint="eastAsia"/>
                <w:sz w:val="21"/>
                <w:szCs w:val="21"/>
                <w:lang w:val="en-US" w:eastAsia="zh-CN"/>
              </w:rPr>
              <w:t>非甲烷总烃、NH</w:t>
            </w:r>
            <w:r>
              <w:rPr>
                <w:rFonts w:hint="eastAsia"/>
                <w:sz w:val="21"/>
                <w:szCs w:val="21"/>
                <w:vertAlign w:val="subscript"/>
                <w:lang w:val="en-US" w:eastAsia="zh-CN"/>
              </w:rPr>
              <w:t>3</w:t>
            </w:r>
            <w:r>
              <w:rPr>
                <w:rFonts w:hint="eastAsia"/>
                <w:sz w:val="21"/>
                <w:szCs w:val="21"/>
                <w:lang w:val="en-US" w:eastAsia="zh-CN"/>
              </w:rPr>
              <w:t>、H</w:t>
            </w:r>
            <w:r>
              <w:rPr>
                <w:rFonts w:hint="eastAsia"/>
                <w:sz w:val="21"/>
                <w:szCs w:val="21"/>
                <w:vertAlign w:val="subscript"/>
                <w:lang w:val="en-US" w:eastAsia="zh-CN"/>
              </w:rPr>
              <w:t>2</w:t>
            </w:r>
            <w:r>
              <w:rPr>
                <w:rFonts w:hint="eastAsia"/>
                <w:sz w:val="21"/>
                <w:szCs w:val="21"/>
                <w:lang w:val="en-US" w:eastAsia="zh-CN"/>
              </w:rPr>
              <w:t>S、</w:t>
            </w:r>
            <w:r>
              <w:rPr>
                <w:rFonts w:hint="eastAsia"/>
                <w:u w:val="single"/>
                <w:lang w:eastAsia="zh-CN"/>
              </w:rPr>
              <w:t>臭气浓度</w:t>
            </w:r>
          </w:p>
        </w:tc>
        <w:tc>
          <w:tcPr>
            <w:tcW w:w="2977" w:type="dxa"/>
            <w:vAlign w:val="center"/>
          </w:tcPr>
          <w:p w14:paraId="19614546">
            <w:pPr>
              <w:pStyle w:val="42"/>
              <w:keepNext w:val="0"/>
              <w:keepLines w:val="0"/>
              <w:pageBreakBefore w:val="0"/>
              <w:widowControl w:val="0"/>
              <w:kinsoku/>
              <w:wordWrap/>
              <w:overflowPunct w:val="0"/>
              <w:topLinePunct w:val="0"/>
              <w:autoSpaceDE/>
              <w:autoSpaceDN/>
              <w:bidi w:val="0"/>
              <w:adjustRightInd/>
              <w:snapToGrid/>
              <w:spacing w:line="240" w:lineRule="auto"/>
              <w:ind w:right="0" w:rightChars="0" w:firstLine="0" w:firstLineChars="0"/>
              <w:textAlignment w:val="auto"/>
            </w:pPr>
            <w:r>
              <w:rPr>
                <w:rFonts w:hint="eastAsia"/>
                <w:lang w:val="en-US" w:eastAsia="zh-CN"/>
              </w:rPr>
              <w:t>除臭箱+袋式除尘+15</w:t>
            </w:r>
            <w:r>
              <w:rPr>
                <w:rFonts w:hint="eastAsia" w:ascii="Times New Roman" w:hAnsi="Times New Roman" w:eastAsia="宋体" w:cs="Times New Roman"/>
                <w:spacing w:val="-2"/>
                <w:sz w:val="21"/>
                <w:szCs w:val="21"/>
                <w:lang w:val="en-US" w:eastAsia="zh-CN"/>
              </w:rPr>
              <w:t>m</w:t>
            </w:r>
            <w:r>
              <w:rPr>
                <w:rFonts w:hint="eastAsia"/>
                <w:sz w:val="21"/>
                <w:szCs w:val="21"/>
                <w:u w:val="single"/>
              </w:rPr>
              <w:t>排气筒</w:t>
            </w:r>
          </w:p>
        </w:tc>
        <w:tc>
          <w:tcPr>
            <w:tcW w:w="1984" w:type="dxa"/>
            <w:vMerge w:val="restart"/>
            <w:vAlign w:val="center"/>
          </w:tcPr>
          <w:p w14:paraId="43AB47C0">
            <w:pPr>
              <w:pStyle w:val="42"/>
            </w:pPr>
            <w:r>
              <w:rPr>
                <w:rFonts w:hint="eastAsia"/>
                <w:sz w:val="21"/>
                <w:szCs w:val="21"/>
                <w:u w:val="none"/>
              </w:rPr>
              <w:t>排气筒有组织排放颗粒物、</w:t>
            </w:r>
            <w:r>
              <w:rPr>
                <w:rFonts w:hint="eastAsia"/>
                <w:sz w:val="21"/>
                <w:szCs w:val="21"/>
                <w:u w:val="none"/>
                <w:lang w:eastAsia="zh-CN"/>
              </w:rPr>
              <w:t>非甲烷总烃、氨气、硫化氢、臭气浓度，</w:t>
            </w:r>
            <w:r>
              <w:rPr>
                <w:rFonts w:hint="eastAsia"/>
                <w:sz w:val="21"/>
                <w:szCs w:val="21"/>
                <w:u w:val="none"/>
              </w:rPr>
              <w:t>厂界无组织排放颗粒物</w:t>
            </w:r>
            <w:r>
              <w:rPr>
                <w:rFonts w:hint="eastAsia"/>
                <w:sz w:val="21"/>
                <w:szCs w:val="21"/>
                <w:u w:val="none"/>
                <w:lang w:eastAsia="zh-CN"/>
              </w:rPr>
              <w:t>、非甲烷总烃、氨气、硫化氢、臭气浓度</w:t>
            </w:r>
            <w:r>
              <w:rPr>
                <w:rFonts w:hint="eastAsia"/>
                <w:sz w:val="21"/>
                <w:szCs w:val="21"/>
                <w:u w:val="none"/>
              </w:rPr>
              <w:t>符合</w:t>
            </w:r>
            <w:r>
              <w:rPr>
                <w:rFonts w:hint="eastAsia"/>
                <w:sz w:val="21"/>
                <w:szCs w:val="21"/>
                <w:u w:val="none"/>
                <w:lang w:eastAsia="zh-CN"/>
              </w:rPr>
              <w:t>《恶臭污染物排放标准》(GB14554-93)、《大气污染物综合排放标准》(GB16297-1996)表2要求限值</w:t>
            </w:r>
            <w:r>
              <w:rPr>
                <w:rFonts w:hint="eastAsia"/>
                <w:sz w:val="21"/>
                <w:szCs w:val="21"/>
                <w:u w:val="none"/>
              </w:rPr>
              <w:t>）</w:t>
            </w:r>
            <w:r>
              <w:rPr>
                <w:rFonts w:hint="eastAsia"/>
                <w:sz w:val="21"/>
                <w:szCs w:val="21"/>
                <w:u w:val="none"/>
                <w:lang w:eastAsia="zh-CN"/>
              </w:rPr>
              <w:t>、</w:t>
            </w:r>
            <w:r>
              <w:rPr>
                <w:rFonts w:hint="eastAsia"/>
                <w:sz w:val="21"/>
                <w:szCs w:val="21"/>
              </w:rPr>
              <w:t>《挥发性有机物无组织排放控制标准》(GB37822-2019)</w:t>
            </w:r>
            <w:r>
              <w:rPr>
                <w:rFonts w:hint="eastAsia"/>
                <w:sz w:val="21"/>
                <w:szCs w:val="21"/>
                <w:lang w:eastAsia="zh-CN"/>
              </w:rPr>
              <w:t>、</w:t>
            </w:r>
            <w:r>
              <w:rPr>
                <w:rFonts w:hint="eastAsia"/>
                <w:sz w:val="21"/>
                <w:szCs w:val="21"/>
              </w:rPr>
              <w:t>《锅炉大气污染物排放标准》(GB13271-2014)</w:t>
            </w:r>
          </w:p>
        </w:tc>
      </w:tr>
      <w:tr w14:paraId="3B19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vAlign w:val="center"/>
          </w:tcPr>
          <w:p w14:paraId="347FD781">
            <w:pPr>
              <w:spacing w:line="240" w:lineRule="auto"/>
              <w:ind w:firstLine="0" w:firstLineChars="0"/>
              <w:jc w:val="center"/>
            </w:pPr>
          </w:p>
        </w:tc>
        <w:tc>
          <w:tcPr>
            <w:tcW w:w="1984" w:type="dxa"/>
            <w:vAlign w:val="center"/>
          </w:tcPr>
          <w:p w14:paraId="277B34F3">
            <w:pPr>
              <w:pStyle w:val="42"/>
              <w:keepNext w:val="0"/>
              <w:keepLines w:val="0"/>
              <w:pageBreakBefore w:val="0"/>
              <w:widowControl w:val="0"/>
              <w:kinsoku/>
              <w:wordWrap/>
              <w:overflowPunct w:val="0"/>
              <w:topLinePunct w:val="0"/>
              <w:autoSpaceDE/>
              <w:autoSpaceDN/>
              <w:bidi w:val="0"/>
              <w:adjustRightInd/>
              <w:snapToGrid/>
              <w:spacing w:line="240" w:lineRule="auto"/>
              <w:ind w:right="0" w:rightChars="0" w:firstLine="0" w:firstLineChars="0"/>
              <w:textAlignment w:val="auto"/>
            </w:pPr>
            <w:r>
              <w:rPr>
                <w:rFonts w:hint="eastAsia"/>
                <w:u w:val="single"/>
                <w:lang w:val="en-US" w:eastAsia="zh-CN"/>
              </w:rPr>
              <w:t>DA002排气筒</w:t>
            </w:r>
          </w:p>
        </w:tc>
        <w:tc>
          <w:tcPr>
            <w:tcW w:w="1276" w:type="dxa"/>
            <w:vAlign w:val="center"/>
          </w:tcPr>
          <w:p w14:paraId="3CAB13E3">
            <w:pPr>
              <w:pStyle w:val="42"/>
              <w:keepNext w:val="0"/>
              <w:keepLines w:val="0"/>
              <w:pageBreakBefore w:val="0"/>
              <w:widowControl w:val="0"/>
              <w:kinsoku/>
              <w:wordWrap/>
              <w:overflowPunct w:val="0"/>
              <w:topLinePunct w:val="0"/>
              <w:autoSpaceDE/>
              <w:autoSpaceDN/>
              <w:bidi w:val="0"/>
              <w:adjustRightInd/>
              <w:snapToGrid/>
              <w:spacing w:line="240" w:lineRule="auto"/>
              <w:ind w:right="0" w:rightChars="0" w:firstLine="0" w:firstLineChars="0"/>
              <w:textAlignment w:val="auto"/>
            </w:pPr>
            <w:r>
              <w:rPr>
                <w:rFonts w:hint="eastAsia"/>
                <w:sz w:val="21"/>
                <w:szCs w:val="21"/>
                <w:lang w:val="en-US" w:eastAsia="zh-CN"/>
              </w:rPr>
              <w:t>非甲烷总烃、NH</w:t>
            </w:r>
            <w:r>
              <w:rPr>
                <w:rFonts w:hint="eastAsia"/>
                <w:sz w:val="21"/>
                <w:szCs w:val="21"/>
                <w:vertAlign w:val="subscript"/>
                <w:lang w:val="en-US" w:eastAsia="zh-CN"/>
              </w:rPr>
              <w:t>3</w:t>
            </w:r>
            <w:r>
              <w:rPr>
                <w:rFonts w:hint="eastAsia"/>
                <w:sz w:val="21"/>
                <w:szCs w:val="21"/>
                <w:lang w:val="en-US" w:eastAsia="zh-CN"/>
              </w:rPr>
              <w:t>、H</w:t>
            </w:r>
            <w:r>
              <w:rPr>
                <w:rFonts w:hint="eastAsia"/>
                <w:sz w:val="21"/>
                <w:szCs w:val="21"/>
                <w:vertAlign w:val="subscript"/>
                <w:lang w:val="en-US" w:eastAsia="zh-CN"/>
              </w:rPr>
              <w:t>2</w:t>
            </w:r>
            <w:r>
              <w:rPr>
                <w:rFonts w:hint="eastAsia"/>
                <w:sz w:val="21"/>
                <w:szCs w:val="21"/>
                <w:lang w:val="en-US" w:eastAsia="zh-CN"/>
              </w:rPr>
              <w:t>S、</w:t>
            </w:r>
            <w:r>
              <w:rPr>
                <w:rFonts w:hint="eastAsia"/>
                <w:u w:val="single"/>
                <w:lang w:eastAsia="zh-CN"/>
              </w:rPr>
              <w:t>臭气浓度</w:t>
            </w:r>
          </w:p>
        </w:tc>
        <w:tc>
          <w:tcPr>
            <w:tcW w:w="2977" w:type="dxa"/>
            <w:vAlign w:val="center"/>
          </w:tcPr>
          <w:p w14:paraId="0A26BB7E">
            <w:pPr>
              <w:pStyle w:val="42"/>
              <w:keepNext w:val="0"/>
              <w:keepLines w:val="0"/>
              <w:pageBreakBefore w:val="0"/>
              <w:widowControl w:val="0"/>
              <w:kinsoku/>
              <w:wordWrap/>
              <w:overflowPunct w:val="0"/>
              <w:topLinePunct w:val="0"/>
              <w:autoSpaceDE/>
              <w:autoSpaceDN/>
              <w:bidi w:val="0"/>
              <w:adjustRightInd/>
              <w:snapToGrid/>
              <w:spacing w:line="240" w:lineRule="auto"/>
              <w:ind w:right="0" w:rightChars="0" w:firstLine="0" w:firstLineChars="0"/>
              <w:textAlignment w:val="auto"/>
            </w:pPr>
            <w:r>
              <w:rPr>
                <w:rFonts w:hint="eastAsia"/>
                <w:lang w:eastAsia="zh-CN"/>
              </w:rPr>
              <w:t>除臭塔+碱喷淋塔+二级活性炭吸附</w:t>
            </w:r>
            <w:r>
              <w:rPr>
                <w:rFonts w:hint="eastAsia"/>
                <w:lang w:val="en-US" w:eastAsia="zh-CN"/>
              </w:rPr>
              <w:t>+</w:t>
            </w:r>
            <w:r>
              <w:rPr>
                <w:rFonts w:hint="eastAsia" w:ascii="Times New Roman" w:hAnsi="Times New Roman" w:eastAsia="宋体" w:cs="Times New Roman"/>
                <w:spacing w:val="-2"/>
                <w:sz w:val="21"/>
                <w:szCs w:val="21"/>
                <w:lang w:val="en-US" w:eastAsia="zh-CN"/>
              </w:rPr>
              <w:t>2</w:t>
            </w:r>
            <w:r>
              <w:rPr>
                <w:rFonts w:hint="eastAsia" w:cs="Times New Roman"/>
                <w:spacing w:val="-2"/>
                <w:sz w:val="21"/>
                <w:szCs w:val="21"/>
                <w:lang w:val="en-US" w:eastAsia="zh-CN"/>
              </w:rPr>
              <w:t>0</w:t>
            </w:r>
            <w:r>
              <w:rPr>
                <w:rFonts w:hint="eastAsia" w:ascii="Times New Roman" w:hAnsi="Times New Roman" w:eastAsia="宋体" w:cs="Times New Roman"/>
                <w:spacing w:val="-2"/>
                <w:sz w:val="21"/>
                <w:szCs w:val="21"/>
                <w:lang w:val="en-US" w:eastAsia="zh-CN"/>
              </w:rPr>
              <w:t>m</w:t>
            </w:r>
            <w:r>
              <w:rPr>
                <w:rFonts w:hint="eastAsia"/>
                <w:sz w:val="21"/>
                <w:szCs w:val="21"/>
                <w:u w:val="single"/>
              </w:rPr>
              <w:t>排气筒</w:t>
            </w:r>
          </w:p>
        </w:tc>
        <w:tc>
          <w:tcPr>
            <w:tcW w:w="1984" w:type="dxa"/>
            <w:vMerge w:val="continue"/>
            <w:vAlign w:val="center"/>
          </w:tcPr>
          <w:p w14:paraId="0AF383F4">
            <w:pPr>
              <w:pStyle w:val="42"/>
            </w:pPr>
          </w:p>
        </w:tc>
      </w:tr>
      <w:tr w14:paraId="59CB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vAlign w:val="center"/>
          </w:tcPr>
          <w:p w14:paraId="7DE3D291">
            <w:pPr>
              <w:spacing w:line="240" w:lineRule="auto"/>
              <w:ind w:firstLine="0" w:firstLineChars="0"/>
              <w:jc w:val="center"/>
            </w:pPr>
          </w:p>
        </w:tc>
        <w:tc>
          <w:tcPr>
            <w:tcW w:w="1984" w:type="dxa"/>
            <w:vAlign w:val="center"/>
          </w:tcPr>
          <w:p w14:paraId="2811FDE9">
            <w:pPr>
              <w:pStyle w:val="42"/>
              <w:keepNext w:val="0"/>
              <w:keepLines w:val="0"/>
              <w:pageBreakBefore w:val="0"/>
              <w:widowControl w:val="0"/>
              <w:kinsoku/>
              <w:wordWrap/>
              <w:overflowPunct w:val="0"/>
              <w:topLinePunct w:val="0"/>
              <w:autoSpaceDE/>
              <w:autoSpaceDN/>
              <w:bidi w:val="0"/>
              <w:adjustRightInd/>
              <w:snapToGrid/>
              <w:spacing w:line="240" w:lineRule="auto"/>
              <w:ind w:right="0" w:rightChars="0" w:firstLine="0" w:firstLineChars="0"/>
              <w:textAlignment w:val="auto"/>
            </w:pPr>
            <w:r>
              <w:rPr>
                <w:rFonts w:hint="eastAsia"/>
                <w:u w:val="single"/>
                <w:lang w:eastAsia="zh-CN"/>
              </w:rPr>
              <w:t>厂界</w:t>
            </w:r>
          </w:p>
        </w:tc>
        <w:tc>
          <w:tcPr>
            <w:tcW w:w="1276" w:type="dxa"/>
            <w:vAlign w:val="center"/>
          </w:tcPr>
          <w:p w14:paraId="5546A996">
            <w:pPr>
              <w:pStyle w:val="42"/>
              <w:keepNext w:val="0"/>
              <w:keepLines w:val="0"/>
              <w:pageBreakBefore w:val="0"/>
              <w:widowControl w:val="0"/>
              <w:kinsoku/>
              <w:wordWrap/>
              <w:overflowPunct w:val="0"/>
              <w:topLinePunct w:val="0"/>
              <w:autoSpaceDE/>
              <w:autoSpaceDN/>
              <w:bidi w:val="0"/>
              <w:adjustRightInd/>
              <w:snapToGrid/>
              <w:spacing w:line="240" w:lineRule="auto"/>
              <w:ind w:right="0" w:rightChars="0" w:firstLine="0" w:firstLineChars="0"/>
              <w:textAlignment w:val="auto"/>
            </w:pPr>
            <w:r>
              <w:rPr>
                <w:rFonts w:hint="eastAsia"/>
                <w:u w:val="single"/>
                <w:lang w:eastAsia="zh-CN"/>
              </w:rPr>
              <w:t>颗粒物、非甲烷总烃、氨气、硫化氢、臭气浓度</w:t>
            </w:r>
          </w:p>
        </w:tc>
        <w:tc>
          <w:tcPr>
            <w:tcW w:w="2977" w:type="dxa"/>
            <w:vAlign w:val="center"/>
          </w:tcPr>
          <w:p w14:paraId="12E4C672">
            <w:pPr>
              <w:pStyle w:val="42"/>
              <w:keepNext w:val="0"/>
              <w:keepLines w:val="0"/>
              <w:pageBreakBefore w:val="0"/>
              <w:widowControl w:val="0"/>
              <w:kinsoku/>
              <w:wordWrap/>
              <w:overflowPunct w:val="0"/>
              <w:topLinePunct w:val="0"/>
              <w:autoSpaceDE/>
              <w:autoSpaceDN/>
              <w:bidi w:val="0"/>
              <w:adjustRightInd/>
              <w:snapToGrid/>
              <w:spacing w:line="240" w:lineRule="auto"/>
              <w:ind w:right="0" w:rightChars="0" w:firstLine="0" w:firstLineChars="0"/>
              <w:textAlignment w:val="auto"/>
              <w:rPr>
                <w:rFonts w:hint="eastAsia" w:eastAsia="宋体"/>
                <w:lang w:val="en-US" w:eastAsia="zh-CN"/>
              </w:rPr>
            </w:pPr>
            <w:r>
              <w:rPr>
                <w:rFonts w:hint="eastAsia"/>
                <w:lang w:val="en-US" w:eastAsia="zh-CN"/>
              </w:rPr>
              <w:t>/</w:t>
            </w:r>
          </w:p>
        </w:tc>
        <w:tc>
          <w:tcPr>
            <w:tcW w:w="1984" w:type="dxa"/>
            <w:vMerge w:val="continue"/>
            <w:vAlign w:val="center"/>
          </w:tcPr>
          <w:p w14:paraId="6D9DCCEB">
            <w:pPr>
              <w:spacing w:line="240" w:lineRule="auto"/>
              <w:ind w:firstLine="0" w:firstLineChars="0"/>
              <w:jc w:val="center"/>
            </w:pPr>
          </w:p>
        </w:tc>
      </w:tr>
      <w:tr w14:paraId="4725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6" w:type="dxa"/>
            <w:vMerge w:val="restart"/>
            <w:vAlign w:val="center"/>
          </w:tcPr>
          <w:p w14:paraId="1C7F2962">
            <w:pPr>
              <w:pStyle w:val="42"/>
            </w:pPr>
            <w:r>
              <w:rPr>
                <w:rFonts w:hint="eastAsia"/>
              </w:rPr>
              <w:t>地表水环境</w:t>
            </w:r>
          </w:p>
        </w:tc>
        <w:tc>
          <w:tcPr>
            <w:tcW w:w="1984" w:type="dxa"/>
            <w:vAlign w:val="center"/>
          </w:tcPr>
          <w:p w14:paraId="2859A2EE">
            <w:pPr>
              <w:pStyle w:val="42"/>
              <w:keepNext w:val="0"/>
              <w:keepLines w:val="0"/>
              <w:pageBreakBefore w:val="0"/>
              <w:widowControl w:val="0"/>
              <w:kinsoku/>
              <w:wordWrap/>
              <w:overflowPunct w:val="0"/>
              <w:topLinePunct w:val="0"/>
              <w:autoSpaceDE/>
              <w:autoSpaceDN/>
              <w:bidi w:val="0"/>
              <w:adjustRightInd/>
              <w:snapToGrid/>
              <w:spacing w:line="240" w:lineRule="auto"/>
              <w:ind w:right="0" w:rightChars="0" w:firstLine="0" w:firstLineChars="0"/>
              <w:textAlignment w:val="auto"/>
            </w:pPr>
            <w:r>
              <w:rPr>
                <w:rFonts w:hint="eastAsia"/>
                <w:u w:val="single"/>
                <w:lang w:eastAsia="zh-CN"/>
              </w:rPr>
              <w:t>生产废水</w:t>
            </w:r>
          </w:p>
        </w:tc>
        <w:tc>
          <w:tcPr>
            <w:tcW w:w="1276" w:type="dxa"/>
            <w:vAlign w:val="center"/>
          </w:tcPr>
          <w:p w14:paraId="35379C28">
            <w:pPr>
              <w:pStyle w:val="56"/>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both"/>
              <w:textAlignment w:val="auto"/>
            </w:pPr>
            <w:r>
              <w:rPr>
                <w:rFonts w:ascii="Times New Roman" w:eastAsia="Times New Roman"/>
                <w:spacing w:val="-2"/>
                <w:position w:val="2"/>
                <w:sz w:val="21"/>
              </w:rPr>
              <w:t>pH</w:t>
            </w:r>
            <w:r>
              <w:rPr>
                <w:spacing w:val="-2"/>
                <w:position w:val="2"/>
                <w:sz w:val="21"/>
              </w:rPr>
              <w:t>、</w:t>
            </w:r>
            <w:r>
              <w:rPr>
                <w:rFonts w:ascii="Times New Roman" w:eastAsia="Times New Roman"/>
                <w:spacing w:val="-2"/>
                <w:position w:val="2"/>
                <w:sz w:val="21"/>
              </w:rPr>
              <w:t>COD</w:t>
            </w:r>
            <w:r>
              <w:rPr>
                <w:spacing w:val="-2"/>
                <w:position w:val="2"/>
                <w:sz w:val="21"/>
              </w:rPr>
              <w:t>、</w:t>
            </w:r>
            <w:r>
              <w:rPr>
                <w:rFonts w:ascii="Times New Roman" w:eastAsia="Times New Roman"/>
                <w:spacing w:val="-2"/>
                <w:position w:val="2"/>
                <w:sz w:val="21"/>
              </w:rPr>
              <w:t>BOD</w:t>
            </w:r>
            <w:r>
              <w:rPr>
                <w:rFonts w:ascii="Times New Roman" w:eastAsia="Times New Roman"/>
                <w:spacing w:val="-2"/>
                <w:sz w:val="13"/>
              </w:rPr>
              <w:t>5</w:t>
            </w:r>
            <w:r>
              <w:rPr>
                <w:spacing w:val="-10"/>
                <w:position w:val="2"/>
                <w:sz w:val="21"/>
              </w:rPr>
              <w:t>、</w:t>
            </w:r>
            <w:r>
              <w:rPr>
                <w:rFonts w:ascii="Times New Roman" w:eastAsia="Times New Roman"/>
                <w:spacing w:val="-8"/>
                <w:sz w:val="21"/>
              </w:rPr>
              <w:t>SS</w:t>
            </w:r>
            <w:r>
              <w:rPr>
                <w:spacing w:val="-8"/>
                <w:sz w:val="21"/>
              </w:rPr>
              <w:t>、氨氮、</w:t>
            </w:r>
            <w:r>
              <w:rPr>
                <w:rFonts w:hint="eastAsia" w:ascii="Times New Roman" w:eastAsia="宋体"/>
                <w:spacing w:val="-8"/>
                <w:sz w:val="21"/>
                <w:lang w:eastAsia="zh-CN"/>
              </w:rPr>
              <w:t>动植物油</w:t>
            </w:r>
          </w:p>
        </w:tc>
        <w:tc>
          <w:tcPr>
            <w:tcW w:w="2977" w:type="dxa"/>
            <w:vAlign w:val="center"/>
          </w:tcPr>
          <w:p w14:paraId="48DA9A91">
            <w:pPr>
              <w:pStyle w:val="42"/>
              <w:keepNext w:val="0"/>
              <w:keepLines w:val="0"/>
              <w:pageBreakBefore w:val="0"/>
              <w:widowControl w:val="0"/>
              <w:kinsoku/>
              <w:wordWrap/>
              <w:overflowPunct w:val="0"/>
              <w:topLinePunct w:val="0"/>
              <w:autoSpaceDE/>
              <w:autoSpaceDN/>
              <w:bidi w:val="0"/>
              <w:adjustRightInd/>
              <w:snapToGrid/>
              <w:spacing w:line="240" w:lineRule="auto"/>
              <w:ind w:right="0" w:rightChars="0" w:firstLine="0" w:firstLineChars="0"/>
              <w:textAlignment w:val="auto"/>
              <w:rPr>
                <w:rFonts w:hint="eastAsia" w:eastAsia="宋体"/>
                <w:lang w:eastAsia="zh-CN"/>
              </w:rPr>
            </w:pPr>
            <w:r>
              <w:rPr>
                <w:rFonts w:hint="eastAsia" w:cs="Times New Roman"/>
                <w:u w:val="single"/>
                <w:lang w:eastAsia="zh-CN"/>
              </w:rPr>
              <w:t>黑膜厌氧池</w:t>
            </w:r>
          </w:p>
        </w:tc>
        <w:tc>
          <w:tcPr>
            <w:tcW w:w="1984" w:type="dxa"/>
            <w:vMerge w:val="restart"/>
            <w:vAlign w:val="center"/>
          </w:tcPr>
          <w:p w14:paraId="521AB13C">
            <w:pPr>
              <w:pStyle w:val="42"/>
              <w:rPr>
                <w:rFonts w:hint="eastAsia" w:eastAsia="宋体"/>
                <w:lang w:eastAsia="zh-CN"/>
              </w:rPr>
            </w:pPr>
            <w:r>
              <w:rPr>
                <w:rFonts w:hint="eastAsia"/>
                <w:spacing w:val="-2"/>
                <w:lang w:val="en-US" w:eastAsia="zh-CN"/>
              </w:rPr>
              <w:t>/</w:t>
            </w:r>
          </w:p>
        </w:tc>
      </w:tr>
      <w:tr w14:paraId="0973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46" w:type="dxa"/>
            <w:vMerge w:val="continue"/>
            <w:vAlign w:val="center"/>
          </w:tcPr>
          <w:p w14:paraId="16E6AF48">
            <w:pPr>
              <w:pStyle w:val="42"/>
            </w:pPr>
          </w:p>
        </w:tc>
        <w:tc>
          <w:tcPr>
            <w:tcW w:w="1984" w:type="dxa"/>
            <w:vAlign w:val="center"/>
          </w:tcPr>
          <w:p w14:paraId="2ADF1E32">
            <w:pPr>
              <w:pStyle w:val="42"/>
            </w:pPr>
            <w:r>
              <w:t>生活污水</w:t>
            </w:r>
          </w:p>
        </w:tc>
        <w:tc>
          <w:tcPr>
            <w:tcW w:w="1276" w:type="dxa"/>
            <w:vAlign w:val="center"/>
          </w:tcPr>
          <w:p w14:paraId="39D49DD4">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eastAsia="宋体"/>
                <w:u w:val="single"/>
                <w:vertAlign w:val="baseline"/>
                <w:lang w:eastAsia="zh-CN"/>
              </w:rPr>
            </w:pPr>
            <w:r>
              <w:rPr>
                <w:u w:val="single"/>
              </w:rPr>
              <w:t>COD</w:t>
            </w:r>
            <w:r>
              <w:rPr>
                <w:u w:val="single"/>
                <w:vertAlign w:val="subscript"/>
              </w:rPr>
              <w:t>Cr</w:t>
            </w:r>
            <w:r>
              <w:rPr>
                <w:rFonts w:hint="eastAsia"/>
                <w:u w:val="single"/>
                <w:vertAlign w:val="baseline"/>
                <w:lang w:eastAsia="zh-CN"/>
              </w:rPr>
              <w:t>、</w:t>
            </w:r>
          </w:p>
          <w:p w14:paraId="70F9C344">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eastAsia="宋体"/>
                <w:u w:val="single"/>
                <w:vertAlign w:val="baseline"/>
                <w:lang w:eastAsia="zh-CN"/>
              </w:rPr>
            </w:pPr>
            <w:r>
              <w:rPr>
                <w:u w:val="single"/>
              </w:rPr>
              <w:t>BOD</w:t>
            </w:r>
            <w:r>
              <w:rPr>
                <w:u w:val="single"/>
                <w:vertAlign w:val="subscript"/>
              </w:rPr>
              <w:t>5</w:t>
            </w:r>
            <w:r>
              <w:rPr>
                <w:rFonts w:hint="eastAsia"/>
                <w:u w:val="single"/>
                <w:vertAlign w:val="baseline"/>
                <w:lang w:eastAsia="zh-CN"/>
              </w:rPr>
              <w:t>、</w:t>
            </w:r>
          </w:p>
          <w:p w14:paraId="162D9E1C">
            <w:pPr>
              <w:pStyle w:val="42"/>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eastAsia" w:eastAsia="宋体"/>
                <w:u w:val="single"/>
                <w:lang w:eastAsia="zh-CN"/>
              </w:rPr>
            </w:pPr>
            <w:r>
              <w:rPr>
                <w:u w:val="single"/>
              </w:rPr>
              <w:t>SS</w:t>
            </w:r>
            <w:r>
              <w:rPr>
                <w:rFonts w:hint="eastAsia"/>
                <w:u w:val="single"/>
                <w:lang w:eastAsia="zh-CN"/>
              </w:rPr>
              <w:t>、</w:t>
            </w:r>
          </w:p>
          <w:p w14:paraId="5786B2BF">
            <w:pPr>
              <w:pStyle w:val="42"/>
              <w:keepNext w:val="0"/>
              <w:keepLines w:val="0"/>
              <w:pageBreakBefore w:val="0"/>
              <w:widowControl w:val="0"/>
              <w:kinsoku/>
              <w:wordWrap/>
              <w:overflowPunct w:val="0"/>
              <w:topLinePunct w:val="0"/>
              <w:autoSpaceDE/>
              <w:autoSpaceDN/>
              <w:bidi w:val="0"/>
              <w:adjustRightInd/>
              <w:snapToGrid/>
              <w:spacing w:line="240" w:lineRule="auto"/>
              <w:ind w:right="0" w:rightChars="0" w:firstLine="0" w:firstLineChars="0"/>
              <w:textAlignment w:val="auto"/>
            </w:pPr>
            <w:r>
              <w:rPr>
                <w:u w:val="single"/>
              </w:rPr>
              <w:t>NH</w:t>
            </w:r>
            <w:r>
              <w:rPr>
                <w:u w:val="single"/>
                <w:vertAlign w:val="subscript"/>
              </w:rPr>
              <w:t>3</w:t>
            </w:r>
            <w:r>
              <w:rPr>
                <w:u w:val="single"/>
              </w:rPr>
              <w:t>-N</w:t>
            </w:r>
          </w:p>
        </w:tc>
        <w:tc>
          <w:tcPr>
            <w:tcW w:w="2977" w:type="dxa"/>
            <w:vAlign w:val="center"/>
          </w:tcPr>
          <w:p w14:paraId="7E7EA10B">
            <w:pPr>
              <w:pStyle w:val="42"/>
              <w:keepNext w:val="0"/>
              <w:keepLines w:val="0"/>
              <w:pageBreakBefore w:val="0"/>
              <w:widowControl w:val="0"/>
              <w:kinsoku/>
              <w:wordWrap/>
              <w:overflowPunct w:val="0"/>
              <w:topLinePunct w:val="0"/>
              <w:autoSpaceDE/>
              <w:autoSpaceDN/>
              <w:bidi w:val="0"/>
              <w:adjustRightInd/>
              <w:snapToGrid/>
              <w:spacing w:line="240" w:lineRule="auto"/>
              <w:ind w:right="0" w:rightChars="0" w:firstLine="0" w:firstLineChars="0"/>
              <w:textAlignment w:val="auto"/>
            </w:pPr>
            <w:r>
              <w:rPr>
                <w:rFonts w:hint="eastAsia" w:cs="Times New Roman"/>
                <w:u w:val="single"/>
                <w:lang w:eastAsia="zh-CN"/>
              </w:rPr>
              <w:t>化粪池处理后排入黑膜厌氧池</w:t>
            </w:r>
          </w:p>
        </w:tc>
        <w:tc>
          <w:tcPr>
            <w:tcW w:w="1984" w:type="dxa"/>
            <w:vMerge w:val="continue"/>
            <w:vAlign w:val="center"/>
          </w:tcPr>
          <w:p w14:paraId="5AF52405">
            <w:pPr>
              <w:pStyle w:val="42"/>
            </w:pPr>
          </w:p>
        </w:tc>
      </w:tr>
      <w:tr w14:paraId="5A33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846" w:type="dxa"/>
            <w:vAlign w:val="center"/>
          </w:tcPr>
          <w:p w14:paraId="03C12921">
            <w:pPr>
              <w:pStyle w:val="42"/>
            </w:pPr>
            <w:r>
              <w:rPr>
                <w:rFonts w:hint="eastAsia"/>
              </w:rPr>
              <w:t>声环境</w:t>
            </w:r>
          </w:p>
        </w:tc>
        <w:tc>
          <w:tcPr>
            <w:tcW w:w="1984" w:type="dxa"/>
            <w:vAlign w:val="center"/>
          </w:tcPr>
          <w:p w14:paraId="24537869">
            <w:pPr>
              <w:pStyle w:val="42"/>
            </w:pPr>
            <w:r>
              <w:rPr>
                <w:rFonts w:hint="eastAsia"/>
              </w:rPr>
              <w:t>生产</w:t>
            </w:r>
            <w:r>
              <w:t>设备</w:t>
            </w:r>
          </w:p>
        </w:tc>
        <w:tc>
          <w:tcPr>
            <w:tcW w:w="1276" w:type="dxa"/>
            <w:vAlign w:val="center"/>
          </w:tcPr>
          <w:p w14:paraId="313F0812">
            <w:pPr>
              <w:pStyle w:val="42"/>
            </w:pPr>
            <w:r>
              <w:t>连续等效A声</w:t>
            </w:r>
            <w:r>
              <w:rPr>
                <w:rFonts w:hint="eastAsia"/>
              </w:rPr>
              <w:t>级</w:t>
            </w:r>
          </w:p>
        </w:tc>
        <w:tc>
          <w:tcPr>
            <w:tcW w:w="2977" w:type="dxa"/>
            <w:vAlign w:val="center"/>
          </w:tcPr>
          <w:p w14:paraId="5A256FA8">
            <w:pPr>
              <w:pStyle w:val="42"/>
            </w:pPr>
            <w:r>
              <w:rPr>
                <w:rFonts w:hint="eastAsia"/>
              </w:rPr>
              <w:t>选择低噪环保设备，</w:t>
            </w:r>
            <w:r>
              <w:t>基础减震</w:t>
            </w:r>
            <w:r>
              <w:rPr>
                <w:rFonts w:hint="eastAsia"/>
              </w:rPr>
              <w:t>，厂房隔声、合理布局</w:t>
            </w:r>
          </w:p>
        </w:tc>
        <w:tc>
          <w:tcPr>
            <w:tcW w:w="1984" w:type="dxa"/>
            <w:vAlign w:val="center"/>
          </w:tcPr>
          <w:p w14:paraId="6939670E">
            <w:pPr>
              <w:pStyle w:val="42"/>
            </w:pPr>
            <w:r>
              <w:rPr>
                <w:rFonts w:hint="eastAsia"/>
              </w:rPr>
              <w:t>《工业企业厂界环境噪声排放标准》（GB12348-2008）</w:t>
            </w:r>
            <w:r>
              <w:rPr>
                <w:rFonts w:hint="eastAsia"/>
                <w:lang w:val="en-US" w:eastAsia="zh-CN"/>
              </w:rPr>
              <w:t>3</w:t>
            </w:r>
            <w:r>
              <w:rPr>
                <w:rFonts w:hint="eastAsia"/>
              </w:rPr>
              <w:t>类标准</w:t>
            </w:r>
          </w:p>
        </w:tc>
      </w:tr>
      <w:tr w14:paraId="5DED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3FF8CB9">
            <w:pPr>
              <w:pStyle w:val="42"/>
            </w:pPr>
            <w:r>
              <w:t>电磁辐射</w:t>
            </w:r>
          </w:p>
        </w:tc>
        <w:tc>
          <w:tcPr>
            <w:tcW w:w="1984" w:type="dxa"/>
            <w:vAlign w:val="center"/>
          </w:tcPr>
          <w:p w14:paraId="7DC658A4">
            <w:pPr>
              <w:pStyle w:val="42"/>
            </w:pPr>
            <w:r>
              <w:rPr>
                <w:rFonts w:hint="eastAsia"/>
              </w:rPr>
              <w:t>/</w:t>
            </w:r>
          </w:p>
        </w:tc>
        <w:tc>
          <w:tcPr>
            <w:tcW w:w="1276" w:type="dxa"/>
            <w:vAlign w:val="center"/>
          </w:tcPr>
          <w:p w14:paraId="3D4377B3">
            <w:pPr>
              <w:pStyle w:val="42"/>
            </w:pPr>
            <w:r>
              <w:rPr>
                <w:rFonts w:hint="eastAsia"/>
              </w:rPr>
              <w:t>/</w:t>
            </w:r>
          </w:p>
        </w:tc>
        <w:tc>
          <w:tcPr>
            <w:tcW w:w="2977" w:type="dxa"/>
            <w:vAlign w:val="center"/>
          </w:tcPr>
          <w:p w14:paraId="6053EC10">
            <w:pPr>
              <w:pStyle w:val="42"/>
            </w:pPr>
            <w:r>
              <w:rPr>
                <w:rFonts w:hint="eastAsia"/>
              </w:rPr>
              <w:t>/</w:t>
            </w:r>
          </w:p>
        </w:tc>
        <w:tc>
          <w:tcPr>
            <w:tcW w:w="1984" w:type="dxa"/>
            <w:vAlign w:val="center"/>
          </w:tcPr>
          <w:p w14:paraId="0E93FA15">
            <w:pPr>
              <w:pStyle w:val="42"/>
            </w:pPr>
            <w:r>
              <w:rPr>
                <w:rFonts w:hint="eastAsia"/>
              </w:rPr>
              <w:t>/</w:t>
            </w:r>
          </w:p>
        </w:tc>
      </w:tr>
      <w:tr w14:paraId="402F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14:paraId="01A1BE4C">
            <w:pPr>
              <w:pStyle w:val="42"/>
            </w:pPr>
            <w:r>
              <w:t>固体废物</w:t>
            </w:r>
          </w:p>
        </w:tc>
        <w:tc>
          <w:tcPr>
            <w:tcW w:w="6237" w:type="dxa"/>
            <w:gridSpan w:val="3"/>
            <w:vAlign w:val="center"/>
          </w:tcPr>
          <w:p w14:paraId="3D047BD6">
            <w:pPr>
              <w:pStyle w:val="42"/>
              <w:jc w:val="both"/>
            </w:pPr>
            <w:r>
              <w:rPr>
                <w:rFonts w:hint="eastAsia"/>
              </w:rPr>
              <w:t>生活垃圾：生活垃圾经厂</w:t>
            </w:r>
            <w:r>
              <w:t>内</w:t>
            </w:r>
            <w:r>
              <w:rPr>
                <w:rFonts w:hint="eastAsia"/>
              </w:rPr>
              <w:t>垃圾桶</w:t>
            </w:r>
            <w:r>
              <w:t>集中收集后由当地环卫部门</w:t>
            </w:r>
            <w:r>
              <w:rPr>
                <w:rFonts w:hint="eastAsia"/>
              </w:rPr>
              <w:t>统一</w:t>
            </w:r>
            <w:r>
              <w:t>清运处理。</w:t>
            </w:r>
          </w:p>
        </w:tc>
        <w:tc>
          <w:tcPr>
            <w:tcW w:w="1984" w:type="dxa"/>
            <w:vAlign w:val="center"/>
          </w:tcPr>
          <w:p w14:paraId="0F86C493">
            <w:pPr>
              <w:pStyle w:val="42"/>
              <w:rPr>
                <w:u w:val="single"/>
              </w:rPr>
            </w:pPr>
            <w:r>
              <w:rPr>
                <w:rFonts w:hint="eastAsia"/>
                <w:u w:val="single"/>
              </w:rPr>
              <w:t>《广西壮族自治区固体废物污染环境防治条例》（2022年7月1日实施）</w:t>
            </w:r>
          </w:p>
        </w:tc>
      </w:tr>
      <w:tr w14:paraId="4664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46" w:type="dxa"/>
            <w:vMerge w:val="continue"/>
            <w:vAlign w:val="center"/>
          </w:tcPr>
          <w:p w14:paraId="0A572AEB">
            <w:pPr>
              <w:pStyle w:val="42"/>
            </w:pPr>
          </w:p>
        </w:tc>
        <w:tc>
          <w:tcPr>
            <w:tcW w:w="8221" w:type="dxa"/>
            <w:gridSpan w:val="4"/>
            <w:vAlign w:val="center"/>
          </w:tcPr>
          <w:p w14:paraId="715FD1B4">
            <w:pPr>
              <w:pStyle w:val="42"/>
              <w:bidi w:val="0"/>
              <w:ind w:firstLine="420" w:firstLineChars="200"/>
              <w:jc w:val="both"/>
            </w:pPr>
            <w:r>
              <w:t>废包装</w:t>
            </w:r>
            <w:r>
              <w:rPr>
                <w:rFonts w:hint="eastAsia"/>
                <w:lang w:eastAsia="zh-CN"/>
              </w:rPr>
              <w:t>桶</w:t>
            </w:r>
            <w:r>
              <w:t>、</w:t>
            </w:r>
            <w:r>
              <w:rPr>
                <w:rFonts w:hint="eastAsia"/>
                <w:lang w:eastAsia="zh-CN"/>
              </w:rPr>
              <w:t>废弃树脂暂存一般固废</w:t>
            </w:r>
            <w:r>
              <w:t>区</w:t>
            </w:r>
            <w:r>
              <w:rPr>
                <w:rFonts w:hint="eastAsia"/>
                <w:lang w:eastAsia="zh-CN"/>
              </w:rPr>
              <w:t>，</w:t>
            </w:r>
            <w:r>
              <w:t>外售废品回收公司利用。设置应满足《一般工业固体废物贮存</w:t>
            </w:r>
            <w:r>
              <w:rPr>
                <w:rFonts w:hint="eastAsia"/>
                <w:lang w:eastAsia="zh-CN"/>
              </w:rPr>
              <w:t>和填埋</w:t>
            </w:r>
            <w:r>
              <w:t>场污染控制标准》(GB18599-20</w:t>
            </w:r>
            <w:r>
              <w:rPr>
                <w:rFonts w:hint="eastAsia"/>
                <w:lang w:val="en-US" w:eastAsia="zh-CN"/>
              </w:rPr>
              <w:t>20</w:t>
            </w:r>
            <w:r>
              <w:t>)的要求。</w:t>
            </w:r>
          </w:p>
          <w:p w14:paraId="4C99E0D9">
            <w:pPr>
              <w:pStyle w:val="42"/>
              <w:bidi w:val="0"/>
              <w:ind w:firstLine="420" w:firstLineChars="200"/>
              <w:jc w:val="both"/>
            </w:pPr>
            <w:r>
              <w:t>危险废物：主要为废活性炭</w:t>
            </w:r>
            <w:r>
              <w:rPr>
                <w:rFonts w:hint="eastAsia"/>
                <w:lang w:eastAsia="zh-CN"/>
              </w:rPr>
              <w:t>、废机油、废弃防疫装备</w:t>
            </w:r>
            <w:r>
              <w:t>，收集暂存于危废暂存间内</w:t>
            </w:r>
            <w:r>
              <w:rPr>
                <w:rFonts w:hint="eastAsia"/>
                <w:lang w:eastAsia="zh-CN"/>
              </w:rPr>
              <w:t>，</w:t>
            </w:r>
            <w:r>
              <w:t>委托有资质的单位定期清运处置。日常管理按照《危险废物贮存污染控制标准》（GB18597-20</w:t>
            </w:r>
            <w:r>
              <w:rPr>
                <w:rFonts w:hint="eastAsia"/>
                <w:lang w:val="en-US" w:eastAsia="zh-CN"/>
              </w:rPr>
              <w:t>23</w:t>
            </w:r>
            <w:r>
              <w:t>）及修改单相关规定执行，地面采取硬化及环氧漆防腐防渗处理，满足“防风、防雨、防晒、防渗漏”的要求。危险固废处置执行“五联单”管理制度，危险废物在贮存、转运前进行检查，并登记注册，作好废物名称、来源、数量、入库日期、存放位置、出库日期、接收单位等记录，严格执行《危险废物贮存污染控制标准》（GB18597-20</w:t>
            </w:r>
            <w:r>
              <w:rPr>
                <w:rFonts w:hint="eastAsia"/>
                <w:lang w:val="en-US" w:eastAsia="zh-CN"/>
              </w:rPr>
              <w:t>23</w:t>
            </w:r>
            <w:r>
              <w:t>）和《固体废物污染防治法》要求。</w:t>
            </w:r>
          </w:p>
          <w:p w14:paraId="12934A03">
            <w:pPr>
              <w:pStyle w:val="42"/>
              <w:bidi w:val="0"/>
              <w:ind w:firstLine="420" w:firstLineChars="200"/>
              <w:jc w:val="both"/>
              <w:rPr>
                <w:rFonts w:hint="eastAsia" w:eastAsia="宋体"/>
                <w:lang w:eastAsia="zh-CN"/>
              </w:rPr>
            </w:pPr>
            <w:r>
              <w:rPr>
                <w:rFonts w:hint="eastAsia"/>
                <w:lang w:eastAsia="zh-CN"/>
              </w:rPr>
              <w:t>沼渣和病死猪一起制造有机肥基料出售。</w:t>
            </w:r>
          </w:p>
        </w:tc>
      </w:tr>
      <w:tr w14:paraId="5769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B8CCCA9">
            <w:pPr>
              <w:pStyle w:val="42"/>
            </w:pPr>
            <w:r>
              <w:t>土壤及地下水污染防治措施</w:t>
            </w:r>
          </w:p>
        </w:tc>
        <w:tc>
          <w:tcPr>
            <w:tcW w:w="8221" w:type="dxa"/>
            <w:gridSpan w:val="4"/>
            <w:vAlign w:val="center"/>
          </w:tcPr>
          <w:p w14:paraId="339432AE">
            <w:pPr>
              <w:pStyle w:val="42"/>
              <w:jc w:val="both"/>
            </w:pPr>
            <w:r>
              <w:rPr>
                <w:rFonts w:hint="eastAsia"/>
              </w:rPr>
              <w:t>厂区进行分区防渗，冷库、破碎间、扑杀间、化验室、储罐区、调节池</w:t>
            </w:r>
            <w:r>
              <w:rPr>
                <w:rFonts w:hint="eastAsia"/>
                <w:lang w:eastAsia="zh-CN"/>
              </w:rPr>
              <w:t>、黑膜</w:t>
            </w:r>
            <w:r>
              <w:rPr>
                <w:rFonts w:hint="eastAsia"/>
              </w:rPr>
              <w:t>厌氧池、危废库做重点防渗;储罐区设置围堰;无害化处理厂房内除冷碎间、扑杀间、化验室、储罐区、危废库的其他区域做一般防渗。</w:t>
            </w:r>
            <w:r>
              <w:t>重点防渗区</w:t>
            </w:r>
            <w:r>
              <w:rPr>
                <w:rFonts w:hint="eastAsia"/>
              </w:rPr>
              <w:t>防渗技术要求为等效黏土防渗层M</w:t>
            </w:r>
            <w:r>
              <w:t>b≥6m，K≤1×10</w:t>
            </w:r>
            <w:r>
              <w:rPr>
                <w:vertAlign w:val="superscript"/>
              </w:rPr>
              <w:t>-7</w:t>
            </w:r>
            <w:r>
              <w:t>cm/s</w:t>
            </w:r>
          </w:p>
        </w:tc>
      </w:tr>
      <w:tr w14:paraId="003E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64CD7E4">
            <w:pPr>
              <w:pStyle w:val="42"/>
            </w:pPr>
            <w:r>
              <w:t>生态保护措施</w:t>
            </w:r>
          </w:p>
        </w:tc>
        <w:tc>
          <w:tcPr>
            <w:tcW w:w="8221" w:type="dxa"/>
            <w:gridSpan w:val="4"/>
            <w:vAlign w:val="center"/>
          </w:tcPr>
          <w:p w14:paraId="7D033CBC">
            <w:pPr>
              <w:pStyle w:val="42"/>
              <w:jc w:val="both"/>
            </w:pPr>
            <w:r>
              <w:rPr>
                <w:rFonts w:hint="eastAsia"/>
              </w:rPr>
              <w:t>/</w:t>
            </w:r>
          </w:p>
        </w:tc>
      </w:tr>
      <w:tr w14:paraId="31FC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5FA06A8">
            <w:pPr>
              <w:pStyle w:val="42"/>
            </w:pPr>
            <w:r>
              <w:t>环境风险防范措施</w:t>
            </w:r>
          </w:p>
        </w:tc>
        <w:tc>
          <w:tcPr>
            <w:tcW w:w="8221" w:type="dxa"/>
            <w:gridSpan w:val="4"/>
            <w:vAlign w:val="center"/>
          </w:tcPr>
          <w:p w14:paraId="43DE4A60">
            <w:pPr>
              <w:pStyle w:val="42"/>
              <w:jc w:val="both"/>
            </w:pPr>
            <w:r>
              <w:rPr>
                <w:rFonts w:hint="eastAsia"/>
              </w:rPr>
              <w:t>①按相关要求做好防漏电、防火设计。</w:t>
            </w:r>
          </w:p>
          <w:p w14:paraId="41D829F4">
            <w:pPr>
              <w:pStyle w:val="42"/>
              <w:jc w:val="both"/>
            </w:pPr>
            <w:r>
              <w:rPr>
                <w:rFonts w:hint="eastAsia"/>
              </w:rPr>
              <w:t>②厂区配备足够二氧化碳灭火器等消防设备，建筑物内设置手提灭火器作为扑救初起火灾的重要消防器材，手提式灭火器设置在灭火器箱内，并定期检查，设置禁烟火标示牌，消防通道需畅通。</w:t>
            </w:r>
          </w:p>
          <w:p w14:paraId="1CCE50C2">
            <w:pPr>
              <w:pStyle w:val="42"/>
              <w:jc w:val="both"/>
            </w:pPr>
            <w:r>
              <w:rPr>
                <w:rFonts w:hint="eastAsia"/>
              </w:rPr>
              <w:t>③加强对员工的安全意识教育，生产车间内严禁吸烟、携带火种，严格按有关规章制度进行存放、操作，定期接受专用安全培训，加强自我防护。</w:t>
            </w:r>
          </w:p>
        </w:tc>
      </w:tr>
      <w:tr w14:paraId="4C4B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AF0CB97">
            <w:pPr>
              <w:pStyle w:val="42"/>
            </w:pPr>
            <w:r>
              <w:t>其他环境管理要求</w:t>
            </w:r>
          </w:p>
        </w:tc>
        <w:tc>
          <w:tcPr>
            <w:tcW w:w="8221" w:type="dxa"/>
            <w:gridSpan w:val="4"/>
            <w:vAlign w:val="center"/>
          </w:tcPr>
          <w:p w14:paraId="12BF3474">
            <w:pPr>
              <w:pStyle w:val="42"/>
              <w:jc w:val="both"/>
            </w:pPr>
            <w:r>
              <w:rPr>
                <w:rFonts w:hint="eastAsia"/>
              </w:rPr>
              <w:t>/</w:t>
            </w:r>
          </w:p>
        </w:tc>
      </w:tr>
    </w:tbl>
    <w:p w14:paraId="116C9E71">
      <w:pPr>
        <w:ind w:firstLine="480"/>
      </w:pPr>
    </w:p>
    <w:p w14:paraId="17D47DE3">
      <w:pPr>
        <w:pStyle w:val="2"/>
        <w:numPr>
          <w:ilvl w:val="0"/>
          <w:numId w:val="0"/>
        </w:numPr>
        <w:ind w:left="0" w:leftChars="0" w:firstLine="0" w:firstLineChars="0"/>
      </w:pPr>
      <w:bookmarkStart w:id="12" w:name="_Toc61627935"/>
      <w:r>
        <w:rPr>
          <w:rFonts w:hint="eastAsia" w:ascii="Times New Roman" w:hAnsi="Times New Roman" w:eastAsia="宋体" w:cs="Times New Roman"/>
          <w:b/>
          <w:kern w:val="2"/>
          <w:sz w:val="28"/>
          <w:szCs w:val="28"/>
          <w:lang w:val="en-US" w:eastAsia="zh-CN" w:bidi="ar-SA"/>
        </w:rPr>
        <w:t>六、</w:t>
      </w:r>
      <w:r>
        <w:rPr>
          <w:rFonts w:hint="eastAsia"/>
        </w:rPr>
        <w:t>结论</w:t>
      </w:r>
      <w:bookmarkEnd w:id="12"/>
    </w:p>
    <w:tbl>
      <w:tblPr>
        <w:tblStyle w:val="2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14:paraId="43C8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4555E10C">
            <w:pPr>
              <w:ind w:firstLine="480"/>
            </w:pPr>
            <w:r>
              <w:rPr>
                <w:rFonts w:hint="eastAsia"/>
              </w:rPr>
              <w:t>本项目为全州县病死畜禽无害化处理项目，</w:t>
            </w:r>
            <w:r>
              <w:t>选址合理，符合国家产业政策，</w:t>
            </w:r>
            <w:r>
              <w:rPr>
                <w:rFonts w:hint="eastAsia"/>
                <w:u w:val="single"/>
              </w:rPr>
              <w:t>本项目在采取完善的环保措施后，所有污染物经治理后可长期稳定达标排放，各项污染物排放均满足相应的排放标准及相关环境功能区域的要求，</w:t>
            </w:r>
            <w:r>
              <w:t>对周围环境影响较小，区域环境质量能维持现状，建设方</w:t>
            </w:r>
            <w:r>
              <w:rPr>
                <w:rFonts w:hint="eastAsia"/>
              </w:rPr>
              <w:t>应</w:t>
            </w:r>
            <w:r>
              <w:t>重视环保工作，认真落实评价提出的各项污染防治对策，加强对污染物的治理工作，做到环保工作专人分管，责任到人，加强对各类污染源的管理，落实环保治理所需要的资金，则该项目的实施，可以做到在较高的生产效益的同时，又能达到环境保护的目标。因此该项目从环保角度来说是可行的。</w:t>
            </w:r>
            <w:r>
              <w:rPr>
                <w:rFonts w:hint="eastAsia"/>
                <w:u w:val="single"/>
              </w:rPr>
              <w:t>本项目</w:t>
            </w:r>
            <w:r>
              <w:rPr>
                <w:rFonts w:hint="eastAsia"/>
                <w:u w:val="single"/>
                <w:lang w:eastAsia="zh-CN"/>
              </w:rPr>
              <w:t>占地管控单元类型调整为</w:t>
            </w:r>
            <w:r>
              <w:rPr>
                <w:rFonts w:hint="eastAsia"/>
                <w:u w:val="single"/>
              </w:rPr>
              <w:t>全州县工业集中区重点管控单元</w:t>
            </w:r>
            <w:r>
              <w:rPr>
                <w:rFonts w:hint="eastAsia"/>
                <w:u w:val="single"/>
                <w:lang w:eastAsia="zh-CN"/>
              </w:rPr>
              <w:t>后可进行建设。</w:t>
            </w:r>
          </w:p>
          <w:p w14:paraId="212C6938">
            <w:pPr>
              <w:ind w:firstLine="480"/>
            </w:pPr>
          </w:p>
          <w:p w14:paraId="62E9425D">
            <w:pPr>
              <w:ind w:firstLine="480"/>
            </w:pPr>
          </w:p>
          <w:p w14:paraId="6E56AD0F">
            <w:pPr>
              <w:ind w:firstLine="480"/>
            </w:pPr>
          </w:p>
          <w:p w14:paraId="513C2C0E">
            <w:pPr>
              <w:ind w:firstLine="480"/>
            </w:pPr>
          </w:p>
          <w:p w14:paraId="4D7C1076">
            <w:pPr>
              <w:ind w:firstLine="480"/>
            </w:pPr>
          </w:p>
          <w:p w14:paraId="74D2D4F3">
            <w:pPr>
              <w:ind w:firstLine="480"/>
            </w:pPr>
          </w:p>
          <w:p w14:paraId="1C9017D7">
            <w:pPr>
              <w:ind w:firstLine="480"/>
            </w:pPr>
          </w:p>
          <w:p w14:paraId="4BDE3FE4">
            <w:pPr>
              <w:ind w:firstLine="480"/>
            </w:pPr>
          </w:p>
          <w:p w14:paraId="609193E9">
            <w:pPr>
              <w:ind w:firstLine="480"/>
            </w:pPr>
          </w:p>
          <w:p w14:paraId="2701E9D0">
            <w:pPr>
              <w:ind w:firstLine="480"/>
            </w:pPr>
          </w:p>
          <w:p w14:paraId="4A12E19F">
            <w:pPr>
              <w:ind w:firstLine="480"/>
            </w:pPr>
          </w:p>
          <w:p w14:paraId="540E5F9F">
            <w:pPr>
              <w:ind w:firstLine="480"/>
            </w:pPr>
          </w:p>
          <w:p w14:paraId="3B76FB54">
            <w:pPr>
              <w:ind w:firstLine="480"/>
            </w:pPr>
          </w:p>
          <w:p w14:paraId="598BE841">
            <w:pPr>
              <w:ind w:firstLine="480"/>
            </w:pPr>
          </w:p>
          <w:p w14:paraId="4CA6E322">
            <w:pPr>
              <w:ind w:firstLine="480"/>
            </w:pPr>
          </w:p>
          <w:p w14:paraId="02650911">
            <w:pPr>
              <w:ind w:firstLine="480"/>
            </w:pPr>
          </w:p>
          <w:p w14:paraId="446B1E1D">
            <w:pPr>
              <w:ind w:firstLine="480"/>
            </w:pPr>
          </w:p>
          <w:p w14:paraId="28AE71FB">
            <w:pPr>
              <w:ind w:firstLine="480"/>
            </w:pPr>
          </w:p>
          <w:p w14:paraId="65CF7C90">
            <w:pPr>
              <w:ind w:firstLine="480"/>
            </w:pPr>
          </w:p>
          <w:p w14:paraId="4DEE2330">
            <w:pPr>
              <w:ind w:firstLine="480"/>
            </w:pPr>
          </w:p>
        </w:tc>
      </w:tr>
    </w:tbl>
    <w:p w14:paraId="22AF4FD4">
      <w:pPr>
        <w:ind w:firstLine="480"/>
        <w:sectPr>
          <w:footerReference r:id="rId11" w:type="default"/>
          <w:pgSz w:w="11906" w:h="16838"/>
          <w:pgMar w:top="1418" w:right="1418" w:bottom="1418" w:left="1418" w:header="851" w:footer="992" w:gutter="0"/>
          <w:pgBorders>
            <w:top w:val="none" w:sz="0" w:space="0"/>
            <w:left w:val="none" w:sz="0" w:space="0"/>
            <w:bottom w:val="none" w:sz="0" w:space="0"/>
            <w:right w:val="none" w:sz="0" w:space="0"/>
          </w:pgBorders>
          <w:pgNumType w:start="1"/>
          <w:cols w:space="425" w:num="1"/>
          <w:docGrid w:type="linesAndChars" w:linePitch="326" w:charSpace="0"/>
        </w:sectPr>
      </w:pPr>
    </w:p>
    <w:p w14:paraId="3B248E64">
      <w:pPr>
        <w:ind w:firstLine="0" w:firstLineChars="0"/>
        <w:rPr>
          <w:b/>
          <w:sz w:val="28"/>
          <w:szCs w:val="28"/>
        </w:rPr>
      </w:pPr>
      <w:r>
        <w:rPr>
          <w:rFonts w:hint="eastAsia"/>
          <w:b/>
          <w:sz w:val="28"/>
          <w:szCs w:val="28"/>
        </w:rPr>
        <w:t>附表</w:t>
      </w:r>
    </w:p>
    <w:p w14:paraId="04776787">
      <w:pPr>
        <w:ind w:firstLine="0" w:firstLineChars="0"/>
        <w:jc w:val="center"/>
        <w:rPr>
          <w:b/>
        </w:rPr>
      </w:pPr>
      <w:r>
        <w:rPr>
          <w:rFonts w:hint="eastAsia"/>
          <w:b/>
        </w:rPr>
        <w:t>建设项目污染物排放量汇总表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656"/>
        <w:gridCol w:w="1603"/>
        <w:gridCol w:w="1452"/>
        <w:gridCol w:w="1474"/>
        <w:gridCol w:w="1548"/>
        <w:gridCol w:w="1491"/>
        <w:gridCol w:w="1962"/>
        <w:gridCol w:w="1612"/>
      </w:tblGrid>
      <w:tr w14:paraId="57F0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single" w:color="auto" w:sz="4" w:space="0"/>
            </w:tcBorders>
            <w:vAlign w:val="center"/>
          </w:tcPr>
          <w:p w14:paraId="73CB474F">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w:t>
            </w:r>
          </w:p>
          <w:p w14:paraId="587B946A">
            <w:pPr>
              <w:spacing w:line="276" w:lineRule="auto"/>
              <w:ind w:firstLine="0" w:firstLineChars="0"/>
              <w:jc w:val="center"/>
              <w:rPr>
                <w:rFonts w:hint="eastAsia" w:ascii="Times New Roman" w:hAnsi="Times New Roman" w:eastAsia="宋体" w:cs="Times New Roman"/>
                <w:lang w:val="en-US" w:eastAsia="zh-CN"/>
              </w:rPr>
            </w:pPr>
          </w:p>
          <w:p w14:paraId="17F983F2">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分类</w:t>
            </w:r>
          </w:p>
        </w:tc>
        <w:tc>
          <w:tcPr>
            <w:tcW w:w="1656" w:type="dxa"/>
            <w:vAlign w:val="center"/>
          </w:tcPr>
          <w:p w14:paraId="5A47A1CC">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污染物名称</w:t>
            </w:r>
          </w:p>
        </w:tc>
        <w:tc>
          <w:tcPr>
            <w:tcW w:w="1603" w:type="dxa"/>
            <w:vAlign w:val="center"/>
          </w:tcPr>
          <w:p w14:paraId="0916E282">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现有工程排放量（固体废物产生量）①</w:t>
            </w:r>
          </w:p>
        </w:tc>
        <w:tc>
          <w:tcPr>
            <w:tcW w:w="1452" w:type="dxa"/>
            <w:vAlign w:val="center"/>
          </w:tcPr>
          <w:p w14:paraId="4DFC4F12">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现有工程许可排放量②</w:t>
            </w:r>
          </w:p>
        </w:tc>
        <w:tc>
          <w:tcPr>
            <w:tcW w:w="1474" w:type="dxa"/>
            <w:vAlign w:val="center"/>
          </w:tcPr>
          <w:p w14:paraId="63724811">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在建工程排放量（固体废物产生量）③</w:t>
            </w:r>
          </w:p>
        </w:tc>
        <w:tc>
          <w:tcPr>
            <w:tcW w:w="1548" w:type="dxa"/>
            <w:vAlign w:val="center"/>
          </w:tcPr>
          <w:p w14:paraId="3243AEE9">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本项目排放量（固体废物产生量）④</w:t>
            </w:r>
          </w:p>
        </w:tc>
        <w:tc>
          <w:tcPr>
            <w:tcW w:w="1491" w:type="dxa"/>
            <w:vAlign w:val="center"/>
          </w:tcPr>
          <w:p w14:paraId="6999E859">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以新带老削减量（新建项目不填）⑤</w:t>
            </w:r>
          </w:p>
        </w:tc>
        <w:tc>
          <w:tcPr>
            <w:tcW w:w="1962" w:type="dxa"/>
            <w:vAlign w:val="center"/>
          </w:tcPr>
          <w:p w14:paraId="50739804">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本项目建成后全厂排放量（固体废物产生量）⑥</w:t>
            </w:r>
          </w:p>
        </w:tc>
        <w:tc>
          <w:tcPr>
            <w:tcW w:w="1612" w:type="dxa"/>
            <w:vAlign w:val="center"/>
          </w:tcPr>
          <w:p w14:paraId="7D9BAAB0">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变化量⑦</w:t>
            </w:r>
          </w:p>
        </w:tc>
      </w:tr>
      <w:tr w14:paraId="7E98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94" w:type="dxa"/>
            <w:vMerge w:val="restart"/>
            <w:vAlign w:val="center"/>
          </w:tcPr>
          <w:p w14:paraId="34461AC9">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废气</w:t>
            </w:r>
          </w:p>
        </w:tc>
        <w:tc>
          <w:tcPr>
            <w:tcW w:w="1656" w:type="dxa"/>
            <w:vAlign w:val="center"/>
          </w:tcPr>
          <w:p w14:paraId="007E6A30">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TSP</w:t>
            </w:r>
          </w:p>
        </w:tc>
        <w:tc>
          <w:tcPr>
            <w:tcW w:w="1603" w:type="dxa"/>
            <w:vAlign w:val="center"/>
          </w:tcPr>
          <w:p w14:paraId="0CBC6CC3">
            <w:pPr>
              <w:spacing w:line="276" w:lineRule="auto"/>
              <w:ind w:firstLine="0" w:firstLineChars="0"/>
              <w:jc w:val="center"/>
              <w:rPr>
                <w:rFonts w:hint="eastAsia" w:ascii="Times New Roman" w:hAnsi="Times New Roman" w:eastAsia="宋体" w:cs="Times New Roman"/>
                <w:lang w:val="en-US" w:eastAsia="zh-CN"/>
              </w:rPr>
            </w:pPr>
          </w:p>
        </w:tc>
        <w:tc>
          <w:tcPr>
            <w:tcW w:w="1452" w:type="dxa"/>
            <w:vAlign w:val="center"/>
          </w:tcPr>
          <w:p w14:paraId="33A52698">
            <w:pPr>
              <w:spacing w:line="276" w:lineRule="auto"/>
              <w:ind w:firstLine="0" w:firstLineChars="0"/>
              <w:jc w:val="center"/>
              <w:rPr>
                <w:rFonts w:hint="eastAsia" w:ascii="Times New Roman" w:hAnsi="Times New Roman" w:eastAsia="宋体" w:cs="Times New Roman"/>
                <w:lang w:val="en-US" w:eastAsia="zh-CN"/>
              </w:rPr>
            </w:pPr>
          </w:p>
        </w:tc>
        <w:tc>
          <w:tcPr>
            <w:tcW w:w="1474" w:type="dxa"/>
            <w:vAlign w:val="center"/>
          </w:tcPr>
          <w:p w14:paraId="61C66B92">
            <w:pPr>
              <w:spacing w:line="276" w:lineRule="auto"/>
              <w:ind w:firstLine="0" w:firstLineChars="0"/>
              <w:jc w:val="center"/>
              <w:rPr>
                <w:rFonts w:hint="eastAsia" w:ascii="Times New Roman" w:hAnsi="Times New Roman" w:eastAsia="宋体" w:cs="Times New Roman"/>
                <w:lang w:val="en-US" w:eastAsia="zh-CN"/>
              </w:rPr>
            </w:pPr>
          </w:p>
        </w:tc>
        <w:tc>
          <w:tcPr>
            <w:tcW w:w="1548" w:type="dxa"/>
            <w:vAlign w:val="center"/>
          </w:tcPr>
          <w:p w14:paraId="1419BA2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0.018t/a</w:t>
            </w:r>
          </w:p>
        </w:tc>
        <w:tc>
          <w:tcPr>
            <w:tcW w:w="1491" w:type="dxa"/>
            <w:vAlign w:val="center"/>
          </w:tcPr>
          <w:p w14:paraId="3A0696B3">
            <w:pPr>
              <w:spacing w:line="276" w:lineRule="auto"/>
              <w:ind w:firstLine="0" w:firstLineChars="0"/>
              <w:jc w:val="center"/>
              <w:rPr>
                <w:rFonts w:hint="eastAsia" w:ascii="Times New Roman" w:hAnsi="Times New Roman" w:eastAsia="宋体" w:cs="Times New Roman"/>
                <w:lang w:val="en-US" w:eastAsia="zh-CN"/>
              </w:rPr>
            </w:pPr>
          </w:p>
        </w:tc>
        <w:tc>
          <w:tcPr>
            <w:tcW w:w="1962" w:type="dxa"/>
            <w:vAlign w:val="center"/>
          </w:tcPr>
          <w:p w14:paraId="29D01D8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kern w:val="2"/>
                <w:sz w:val="24"/>
                <w:szCs w:val="24"/>
                <w:lang w:val="en-US" w:eastAsia="zh-CN" w:bidi="ar-SA"/>
              </w:rPr>
              <w:t>0.018t/a</w:t>
            </w:r>
          </w:p>
        </w:tc>
        <w:tc>
          <w:tcPr>
            <w:tcW w:w="1612" w:type="dxa"/>
            <w:vAlign w:val="center"/>
          </w:tcPr>
          <w:p w14:paraId="3009AF57">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lang w:val="en-US" w:eastAsia="zh-CN"/>
              </w:rPr>
            </w:pP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0.018t/a</w:t>
            </w:r>
          </w:p>
        </w:tc>
      </w:tr>
      <w:tr w14:paraId="30A5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94" w:type="dxa"/>
            <w:vMerge w:val="continue"/>
            <w:vAlign w:val="center"/>
          </w:tcPr>
          <w:p w14:paraId="61D0072E">
            <w:pPr>
              <w:spacing w:line="276" w:lineRule="auto"/>
              <w:ind w:firstLine="0" w:firstLineChars="0"/>
              <w:jc w:val="center"/>
              <w:rPr>
                <w:rFonts w:hint="eastAsia" w:ascii="Times New Roman" w:hAnsi="Times New Roman" w:eastAsia="宋体" w:cs="Times New Roman"/>
                <w:lang w:val="en-US" w:eastAsia="zh-CN"/>
              </w:rPr>
            </w:pPr>
          </w:p>
        </w:tc>
        <w:tc>
          <w:tcPr>
            <w:tcW w:w="1656" w:type="dxa"/>
            <w:vAlign w:val="center"/>
          </w:tcPr>
          <w:p w14:paraId="319303AF">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SO</w:t>
            </w:r>
            <w:r>
              <w:rPr>
                <w:rFonts w:hint="eastAsia" w:ascii="Times New Roman" w:hAnsi="Times New Roman" w:eastAsia="宋体" w:cs="Times New Roman"/>
                <w:vertAlign w:val="subscript"/>
                <w:lang w:val="en-US" w:eastAsia="zh-CN"/>
              </w:rPr>
              <w:t>2</w:t>
            </w:r>
          </w:p>
        </w:tc>
        <w:tc>
          <w:tcPr>
            <w:tcW w:w="1603" w:type="dxa"/>
            <w:vAlign w:val="center"/>
          </w:tcPr>
          <w:p w14:paraId="42ABF925">
            <w:pPr>
              <w:spacing w:line="276" w:lineRule="auto"/>
              <w:ind w:firstLine="0" w:firstLineChars="0"/>
              <w:jc w:val="center"/>
              <w:rPr>
                <w:rFonts w:hint="eastAsia" w:ascii="Times New Roman" w:hAnsi="Times New Roman" w:eastAsia="宋体" w:cs="Times New Roman"/>
                <w:lang w:val="en-US" w:eastAsia="zh-CN"/>
              </w:rPr>
            </w:pPr>
          </w:p>
        </w:tc>
        <w:tc>
          <w:tcPr>
            <w:tcW w:w="1452" w:type="dxa"/>
            <w:vAlign w:val="center"/>
          </w:tcPr>
          <w:p w14:paraId="53D0CAF8">
            <w:pPr>
              <w:spacing w:line="276" w:lineRule="auto"/>
              <w:ind w:firstLine="0" w:firstLineChars="0"/>
              <w:jc w:val="center"/>
              <w:rPr>
                <w:rFonts w:hint="eastAsia" w:ascii="Times New Roman" w:hAnsi="Times New Roman" w:eastAsia="宋体" w:cs="Times New Roman"/>
                <w:lang w:val="en-US" w:eastAsia="zh-CN"/>
              </w:rPr>
            </w:pPr>
          </w:p>
        </w:tc>
        <w:tc>
          <w:tcPr>
            <w:tcW w:w="1474" w:type="dxa"/>
            <w:vAlign w:val="center"/>
          </w:tcPr>
          <w:p w14:paraId="3B4F97A6">
            <w:pPr>
              <w:spacing w:line="276" w:lineRule="auto"/>
              <w:ind w:firstLine="0" w:firstLineChars="0"/>
              <w:jc w:val="center"/>
              <w:rPr>
                <w:rFonts w:hint="eastAsia" w:ascii="Times New Roman" w:hAnsi="Times New Roman" w:eastAsia="宋体" w:cs="Times New Roman"/>
                <w:lang w:val="en-US" w:eastAsia="zh-CN"/>
              </w:rPr>
            </w:pPr>
          </w:p>
        </w:tc>
        <w:tc>
          <w:tcPr>
            <w:tcW w:w="1548" w:type="dxa"/>
            <w:vAlign w:val="center"/>
          </w:tcPr>
          <w:p w14:paraId="7F820BC3">
            <w:pPr>
              <w:pStyle w:val="42"/>
              <w:bidi w:val="0"/>
              <w:ind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1.2269t/a</w:t>
            </w:r>
          </w:p>
        </w:tc>
        <w:tc>
          <w:tcPr>
            <w:tcW w:w="1491" w:type="dxa"/>
            <w:vAlign w:val="center"/>
          </w:tcPr>
          <w:p w14:paraId="2F384CA2">
            <w:pPr>
              <w:spacing w:line="276" w:lineRule="auto"/>
              <w:ind w:firstLine="0" w:firstLineChars="0"/>
              <w:jc w:val="center"/>
              <w:rPr>
                <w:rFonts w:hint="eastAsia" w:ascii="Times New Roman" w:hAnsi="Times New Roman" w:eastAsia="宋体" w:cs="Times New Roman"/>
                <w:lang w:val="en-US" w:eastAsia="zh-CN"/>
              </w:rPr>
            </w:pPr>
          </w:p>
        </w:tc>
        <w:tc>
          <w:tcPr>
            <w:tcW w:w="1962" w:type="dxa"/>
            <w:vAlign w:val="center"/>
          </w:tcPr>
          <w:p w14:paraId="0EDC04B5">
            <w:pPr>
              <w:pStyle w:val="42"/>
              <w:bidi w:val="0"/>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kern w:val="2"/>
                <w:sz w:val="24"/>
                <w:szCs w:val="24"/>
                <w:lang w:val="en-US" w:eastAsia="zh-CN" w:bidi="ar-SA"/>
              </w:rPr>
              <w:t>1.2269t/a</w:t>
            </w:r>
          </w:p>
        </w:tc>
        <w:tc>
          <w:tcPr>
            <w:tcW w:w="1612" w:type="dxa"/>
            <w:vAlign w:val="center"/>
          </w:tcPr>
          <w:p w14:paraId="4DB7C2ED">
            <w:pPr>
              <w:pStyle w:val="42"/>
              <w:bidi w:val="0"/>
              <w:ind w:firstLine="0" w:firstLineChars="0"/>
              <w:jc w:val="center"/>
              <w:rPr>
                <w:rFonts w:hint="eastAsia" w:ascii="Times New Roman" w:hAnsi="Times New Roman" w:eastAsia="宋体" w:cs="Times New Roman"/>
                <w:lang w:val="en-US" w:eastAsia="zh-CN"/>
              </w:rPr>
            </w:pP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1.2269t/a</w:t>
            </w:r>
          </w:p>
        </w:tc>
      </w:tr>
      <w:tr w14:paraId="433A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94" w:type="dxa"/>
            <w:vMerge w:val="continue"/>
            <w:vAlign w:val="center"/>
          </w:tcPr>
          <w:p w14:paraId="1C21B772">
            <w:pPr>
              <w:spacing w:line="276" w:lineRule="auto"/>
              <w:ind w:firstLine="0" w:firstLineChars="0"/>
              <w:jc w:val="center"/>
              <w:rPr>
                <w:rFonts w:hint="eastAsia" w:ascii="Times New Roman" w:hAnsi="Times New Roman" w:eastAsia="宋体" w:cs="Times New Roman"/>
                <w:lang w:val="en-US" w:eastAsia="zh-CN"/>
              </w:rPr>
            </w:pPr>
          </w:p>
        </w:tc>
        <w:tc>
          <w:tcPr>
            <w:tcW w:w="1656" w:type="dxa"/>
            <w:vAlign w:val="center"/>
          </w:tcPr>
          <w:p w14:paraId="23C31AB1">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NOx</w:t>
            </w:r>
          </w:p>
        </w:tc>
        <w:tc>
          <w:tcPr>
            <w:tcW w:w="1603" w:type="dxa"/>
            <w:vAlign w:val="center"/>
          </w:tcPr>
          <w:p w14:paraId="07988341">
            <w:pPr>
              <w:spacing w:line="276" w:lineRule="auto"/>
              <w:ind w:firstLine="0" w:firstLineChars="0"/>
              <w:jc w:val="center"/>
              <w:rPr>
                <w:rFonts w:hint="eastAsia" w:ascii="Times New Roman" w:hAnsi="Times New Roman" w:eastAsia="宋体" w:cs="Times New Roman"/>
                <w:lang w:val="en-US" w:eastAsia="zh-CN"/>
              </w:rPr>
            </w:pPr>
          </w:p>
        </w:tc>
        <w:tc>
          <w:tcPr>
            <w:tcW w:w="1452" w:type="dxa"/>
            <w:vAlign w:val="center"/>
          </w:tcPr>
          <w:p w14:paraId="7969F9F9">
            <w:pPr>
              <w:spacing w:line="276" w:lineRule="auto"/>
              <w:ind w:firstLine="0" w:firstLineChars="0"/>
              <w:jc w:val="center"/>
              <w:rPr>
                <w:rFonts w:hint="eastAsia" w:ascii="Times New Roman" w:hAnsi="Times New Roman" w:eastAsia="宋体" w:cs="Times New Roman"/>
                <w:lang w:val="en-US" w:eastAsia="zh-CN"/>
              </w:rPr>
            </w:pPr>
          </w:p>
        </w:tc>
        <w:tc>
          <w:tcPr>
            <w:tcW w:w="1474" w:type="dxa"/>
            <w:vAlign w:val="center"/>
          </w:tcPr>
          <w:p w14:paraId="71578FF0">
            <w:pPr>
              <w:spacing w:line="276" w:lineRule="auto"/>
              <w:ind w:firstLine="0" w:firstLineChars="0"/>
              <w:jc w:val="center"/>
              <w:rPr>
                <w:rFonts w:hint="eastAsia" w:ascii="Times New Roman" w:hAnsi="Times New Roman" w:eastAsia="宋体" w:cs="Times New Roman"/>
                <w:lang w:val="en-US" w:eastAsia="zh-CN"/>
              </w:rPr>
            </w:pPr>
          </w:p>
        </w:tc>
        <w:tc>
          <w:tcPr>
            <w:tcW w:w="1548" w:type="dxa"/>
            <w:vAlign w:val="center"/>
          </w:tcPr>
          <w:p w14:paraId="29825235">
            <w:pPr>
              <w:pStyle w:val="42"/>
              <w:bidi w:val="0"/>
              <w:ind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2.344t/a</w:t>
            </w:r>
          </w:p>
        </w:tc>
        <w:tc>
          <w:tcPr>
            <w:tcW w:w="1491" w:type="dxa"/>
            <w:vAlign w:val="center"/>
          </w:tcPr>
          <w:p w14:paraId="1F20F0AF">
            <w:pPr>
              <w:spacing w:line="276" w:lineRule="auto"/>
              <w:ind w:firstLine="0" w:firstLineChars="0"/>
              <w:jc w:val="center"/>
              <w:rPr>
                <w:rFonts w:hint="eastAsia" w:ascii="Times New Roman" w:hAnsi="Times New Roman" w:eastAsia="宋体" w:cs="Times New Roman"/>
                <w:lang w:val="en-US" w:eastAsia="zh-CN"/>
              </w:rPr>
            </w:pPr>
          </w:p>
        </w:tc>
        <w:tc>
          <w:tcPr>
            <w:tcW w:w="1962" w:type="dxa"/>
            <w:vAlign w:val="center"/>
          </w:tcPr>
          <w:p w14:paraId="400391D5">
            <w:pPr>
              <w:pStyle w:val="42"/>
              <w:bidi w:val="0"/>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kern w:val="2"/>
                <w:sz w:val="24"/>
                <w:szCs w:val="24"/>
                <w:lang w:val="en-US" w:eastAsia="zh-CN" w:bidi="ar-SA"/>
              </w:rPr>
              <w:t>2.344t/a</w:t>
            </w:r>
          </w:p>
        </w:tc>
        <w:tc>
          <w:tcPr>
            <w:tcW w:w="1612" w:type="dxa"/>
            <w:vAlign w:val="center"/>
          </w:tcPr>
          <w:p w14:paraId="3EDE16DC">
            <w:pPr>
              <w:pStyle w:val="42"/>
              <w:bidi w:val="0"/>
              <w:ind w:firstLine="0" w:firstLineChars="0"/>
              <w:jc w:val="center"/>
              <w:rPr>
                <w:rFonts w:hint="eastAsia" w:ascii="Times New Roman" w:hAnsi="Times New Roman" w:eastAsia="宋体" w:cs="Times New Roman"/>
                <w:lang w:val="en-US" w:eastAsia="zh-CN"/>
              </w:rPr>
            </w:pP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2.344t/a</w:t>
            </w:r>
          </w:p>
        </w:tc>
      </w:tr>
      <w:tr w14:paraId="2998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94" w:type="dxa"/>
            <w:vMerge w:val="continue"/>
            <w:vAlign w:val="center"/>
          </w:tcPr>
          <w:p w14:paraId="0A89DE6A">
            <w:pPr>
              <w:spacing w:line="276" w:lineRule="auto"/>
              <w:ind w:firstLine="0" w:firstLineChars="0"/>
              <w:jc w:val="center"/>
              <w:rPr>
                <w:rFonts w:hint="eastAsia" w:ascii="Times New Roman" w:hAnsi="Times New Roman" w:eastAsia="宋体" w:cs="Times New Roman"/>
                <w:lang w:val="en-US" w:eastAsia="zh-CN"/>
              </w:rPr>
            </w:pPr>
          </w:p>
        </w:tc>
        <w:tc>
          <w:tcPr>
            <w:tcW w:w="1656" w:type="dxa"/>
            <w:vAlign w:val="center"/>
          </w:tcPr>
          <w:p w14:paraId="66C5C79E">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非甲烷总烃</w:t>
            </w:r>
          </w:p>
        </w:tc>
        <w:tc>
          <w:tcPr>
            <w:tcW w:w="1603" w:type="dxa"/>
            <w:vAlign w:val="center"/>
          </w:tcPr>
          <w:p w14:paraId="7D89B9DD">
            <w:pPr>
              <w:spacing w:line="276" w:lineRule="auto"/>
              <w:ind w:firstLine="0" w:firstLineChars="0"/>
              <w:jc w:val="center"/>
              <w:rPr>
                <w:rFonts w:hint="eastAsia" w:ascii="Times New Roman" w:hAnsi="Times New Roman" w:eastAsia="宋体" w:cs="Times New Roman"/>
                <w:lang w:val="en-US" w:eastAsia="zh-CN"/>
              </w:rPr>
            </w:pPr>
          </w:p>
        </w:tc>
        <w:tc>
          <w:tcPr>
            <w:tcW w:w="1452" w:type="dxa"/>
            <w:vAlign w:val="center"/>
          </w:tcPr>
          <w:p w14:paraId="4A2120BE">
            <w:pPr>
              <w:spacing w:line="276" w:lineRule="auto"/>
              <w:ind w:firstLine="0" w:firstLineChars="0"/>
              <w:jc w:val="center"/>
              <w:rPr>
                <w:rFonts w:hint="eastAsia" w:ascii="Times New Roman" w:hAnsi="Times New Roman" w:eastAsia="宋体" w:cs="Times New Roman"/>
                <w:lang w:val="en-US" w:eastAsia="zh-CN"/>
              </w:rPr>
            </w:pPr>
          </w:p>
        </w:tc>
        <w:tc>
          <w:tcPr>
            <w:tcW w:w="1474" w:type="dxa"/>
            <w:vAlign w:val="center"/>
          </w:tcPr>
          <w:p w14:paraId="0EEB5850">
            <w:pPr>
              <w:spacing w:line="276" w:lineRule="auto"/>
              <w:ind w:firstLine="0" w:firstLineChars="0"/>
              <w:jc w:val="center"/>
              <w:rPr>
                <w:rFonts w:hint="eastAsia" w:ascii="Times New Roman" w:hAnsi="Times New Roman" w:eastAsia="宋体" w:cs="Times New Roman"/>
                <w:lang w:val="en-US" w:eastAsia="zh-CN"/>
              </w:rPr>
            </w:pPr>
          </w:p>
        </w:tc>
        <w:tc>
          <w:tcPr>
            <w:tcW w:w="1548" w:type="dxa"/>
            <w:vAlign w:val="center"/>
          </w:tcPr>
          <w:p w14:paraId="7EABEB4C">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0.225t/a</w:t>
            </w:r>
          </w:p>
        </w:tc>
        <w:tc>
          <w:tcPr>
            <w:tcW w:w="1491" w:type="dxa"/>
            <w:vAlign w:val="center"/>
          </w:tcPr>
          <w:p w14:paraId="1BDCD56F">
            <w:pPr>
              <w:spacing w:line="276" w:lineRule="auto"/>
              <w:ind w:firstLine="0" w:firstLineChars="0"/>
              <w:jc w:val="center"/>
              <w:rPr>
                <w:rFonts w:hint="eastAsia" w:ascii="Times New Roman" w:hAnsi="Times New Roman" w:eastAsia="宋体" w:cs="Times New Roman"/>
                <w:lang w:val="en-US" w:eastAsia="zh-CN"/>
              </w:rPr>
            </w:pPr>
          </w:p>
        </w:tc>
        <w:tc>
          <w:tcPr>
            <w:tcW w:w="1962" w:type="dxa"/>
            <w:vAlign w:val="center"/>
          </w:tcPr>
          <w:p w14:paraId="6F140D3D">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kern w:val="2"/>
                <w:sz w:val="24"/>
                <w:szCs w:val="24"/>
                <w:lang w:val="en-US" w:eastAsia="zh-CN" w:bidi="ar-SA"/>
              </w:rPr>
              <w:t>0.225t/a</w:t>
            </w:r>
          </w:p>
        </w:tc>
        <w:tc>
          <w:tcPr>
            <w:tcW w:w="1612" w:type="dxa"/>
            <w:vAlign w:val="center"/>
          </w:tcPr>
          <w:p w14:paraId="58C16AC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lang w:val="en-US" w:eastAsia="zh-CN"/>
              </w:rPr>
            </w:pP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0.225t/a</w:t>
            </w:r>
          </w:p>
        </w:tc>
      </w:tr>
      <w:tr w14:paraId="2FBB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94" w:type="dxa"/>
            <w:vMerge w:val="continue"/>
            <w:vAlign w:val="center"/>
          </w:tcPr>
          <w:p w14:paraId="0009B350">
            <w:pPr>
              <w:spacing w:line="276" w:lineRule="auto"/>
              <w:ind w:firstLine="0" w:firstLineChars="0"/>
              <w:jc w:val="center"/>
              <w:rPr>
                <w:rFonts w:hint="eastAsia" w:ascii="Times New Roman" w:hAnsi="Times New Roman" w:eastAsia="宋体" w:cs="Times New Roman"/>
                <w:lang w:val="en-US" w:eastAsia="zh-CN"/>
              </w:rPr>
            </w:pPr>
          </w:p>
        </w:tc>
        <w:tc>
          <w:tcPr>
            <w:tcW w:w="1656" w:type="dxa"/>
            <w:vAlign w:val="center"/>
          </w:tcPr>
          <w:p w14:paraId="363EF7E8">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NH</w:t>
            </w:r>
            <w:r>
              <w:rPr>
                <w:rFonts w:hint="eastAsia" w:ascii="Times New Roman" w:hAnsi="Times New Roman" w:eastAsia="宋体" w:cs="Times New Roman"/>
                <w:vertAlign w:val="subscript"/>
                <w:lang w:val="en-US" w:eastAsia="zh-CN"/>
              </w:rPr>
              <w:t>3</w:t>
            </w:r>
          </w:p>
        </w:tc>
        <w:tc>
          <w:tcPr>
            <w:tcW w:w="1603" w:type="dxa"/>
            <w:vAlign w:val="center"/>
          </w:tcPr>
          <w:p w14:paraId="6E6132B8">
            <w:pPr>
              <w:spacing w:line="276" w:lineRule="auto"/>
              <w:ind w:firstLine="0" w:firstLineChars="0"/>
              <w:jc w:val="center"/>
              <w:rPr>
                <w:rFonts w:hint="eastAsia" w:ascii="Times New Roman" w:hAnsi="Times New Roman" w:eastAsia="宋体" w:cs="Times New Roman"/>
                <w:lang w:val="en-US" w:eastAsia="zh-CN"/>
              </w:rPr>
            </w:pPr>
          </w:p>
        </w:tc>
        <w:tc>
          <w:tcPr>
            <w:tcW w:w="1452" w:type="dxa"/>
            <w:vAlign w:val="center"/>
          </w:tcPr>
          <w:p w14:paraId="0104C3E1">
            <w:pPr>
              <w:spacing w:line="276" w:lineRule="auto"/>
              <w:ind w:firstLine="0" w:firstLineChars="0"/>
              <w:jc w:val="center"/>
              <w:rPr>
                <w:rFonts w:hint="eastAsia" w:ascii="Times New Roman" w:hAnsi="Times New Roman" w:eastAsia="宋体" w:cs="Times New Roman"/>
                <w:lang w:val="en-US" w:eastAsia="zh-CN"/>
              </w:rPr>
            </w:pPr>
          </w:p>
        </w:tc>
        <w:tc>
          <w:tcPr>
            <w:tcW w:w="1474" w:type="dxa"/>
            <w:vAlign w:val="center"/>
          </w:tcPr>
          <w:p w14:paraId="709C382B">
            <w:pPr>
              <w:spacing w:line="276" w:lineRule="auto"/>
              <w:ind w:firstLine="0" w:firstLineChars="0"/>
              <w:jc w:val="center"/>
              <w:rPr>
                <w:rFonts w:hint="eastAsia" w:ascii="Times New Roman" w:hAnsi="Times New Roman" w:eastAsia="宋体" w:cs="Times New Roman"/>
                <w:lang w:val="en-US" w:eastAsia="zh-CN"/>
              </w:rPr>
            </w:pPr>
          </w:p>
        </w:tc>
        <w:tc>
          <w:tcPr>
            <w:tcW w:w="1548" w:type="dxa"/>
            <w:vAlign w:val="center"/>
          </w:tcPr>
          <w:p w14:paraId="4EA41E8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0.187t/a</w:t>
            </w:r>
          </w:p>
        </w:tc>
        <w:tc>
          <w:tcPr>
            <w:tcW w:w="1491" w:type="dxa"/>
            <w:vAlign w:val="center"/>
          </w:tcPr>
          <w:p w14:paraId="01D9CDF3">
            <w:pPr>
              <w:spacing w:line="276" w:lineRule="auto"/>
              <w:ind w:firstLine="0" w:firstLineChars="0"/>
              <w:jc w:val="center"/>
              <w:rPr>
                <w:rFonts w:hint="eastAsia" w:ascii="Times New Roman" w:hAnsi="Times New Roman" w:eastAsia="宋体" w:cs="Times New Roman"/>
                <w:lang w:val="en-US" w:eastAsia="zh-CN"/>
              </w:rPr>
            </w:pPr>
          </w:p>
        </w:tc>
        <w:tc>
          <w:tcPr>
            <w:tcW w:w="1962" w:type="dxa"/>
            <w:vAlign w:val="center"/>
          </w:tcPr>
          <w:p w14:paraId="6E4BFD7D">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kern w:val="2"/>
                <w:sz w:val="24"/>
                <w:szCs w:val="24"/>
                <w:lang w:val="en-US" w:eastAsia="zh-CN" w:bidi="ar-SA"/>
              </w:rPr>
              <w:t>0.187t/a</w:t>
            </w:r>
          </w:p>
        </w:tc>
        <w:tc>
          <w:tcPr>
            <w:tcW w:w="1612" w:type="dxa"/>
            <w:vAlign w:val="center"/>
          </w:tcPr>
          <w:p w14:paraId="62E5ACD3">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lang w:val="en-US" w:eastAsia="zh-CN"/>
              </w:rPr>
            </w:pP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0.187t/a</w:t>
            </w:r>
          </w:p>
        </w:tc>
      </w:tr>
      <w:tr w14:paraId="5B89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94" w:type="dxa"/>
            <w:vMerge w:val="continue"/>
            <w:vAlign w:val="center"/>
          </w:tcPr>
          <w:p w14:paraId="69D5544F">
            <w:pPr>
              <w:spacing w:line="276" w:lineRule="auto"/>
              <w:ind w:firstLine="0" w:firstLineChars="0"/>
              <w:jc w:val="center"/>
              <w:rPr>
                <w:rFonts w:hint="eastAsia" w:ascii="Times New Roman" w:hAnsi="Times New Roman" w:eastAsia="宋体" w:cs="Times New Roman"/>
                <w:lang w:val="en-US" w:eastAsia="zh-CN"/>
              </w:rPr>
            </w:pPr>
          </w:p>
        </w:tc>
        <w:tc>
          <w:tcPr>
            <w:tcW w:w="1656" w:type="dxa"/>
            <w:vAlign w:val="center"/>
          </w:tcPr>
          <w:p w14:paraId="46909499">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H</w:t>
            </w:r>
            <w:r>
              <w:rPr>
                <w:rFonts w:hint="eastAsia" w:ascii="Times New Roman" w:hAnsi="Times New Roman" w:eastAsia="宋体" w:cs="Times New Roman"/>
                <w:vertAlign w:val="subscript"/>
                <w:lang w:val="en-US" w:eastAsia="zh-CN"/>
              </w:rPr>
              <w:t>2</w:t>
            </w:r>
            <w:r>
              <w:rPr>
                <w:rFonts w:hint="eastAsia" w:ascii="Times New Roman" w:hAnsi="Times New Roman" w:eastAsia="宋体" w:cs="Times New Roman"/>
                <w:lang w:val="en-US" w:eastAsia="zh-CN"/>
              </w:rPr>
              <w:t>S</w:t>
            </w:r>
          </w:p>
        </w:tc>
        <w:tc>
          <w:tcPr>
            <w:tcW w:w="1603" w:type="dxa"/>
            <w:vAlign w:val="center"/>
          </w:tcPr>
          <w:p w14:paraId="6E976460">
            <w:pPr>
              <w:spacing w:line="276" w:lineRule="auto"/>
              <w:ind w:firstLine="0" w:firstLineChars="0"/>
              <w:jc w:val="center"/>
              <w:rPr>
                <w:rFonts w:hint="eastAsia" w:ascii="Times New Roman" w:hAnsi="Times New Roman" w:eastAsia="宋体" w:cs="Times New Roman"/>
                <w:lang w:val="en-US" w:eastAsia="zh-CN"/>
              </w:rPr>
            </w:pPr>
          </w:p>
        </w:tc>
        <w:tc>
          <w:tcPr>
            <w:tcW w:w="1452" w:type="dxa"/>
            <w:vAlign w:val="center"/>
          </w:tcPr>
          <w:p w14:paraId="5C38FBC8">
            <w:pPr>
              <w:spacing w:line="276" w:lineRule="auto"/>
              <w:ind w:firstLine="0" w:firstLineChars="0"/>
              <w:jc w:val="center"/>
              <w:rPr>
                <w:rFonts w:hint="eastAsia" w:ascii="Times New Roman" w:hAnsi="Times New Roman" w:eastAsia="宋体" w:cs="Times New Roman"/>
                <w:lang w:val="en-US" w:eastAsia="zh-CN"/>
              </w:rPr>
            </w:pPr>
          </w:p>
        </w:tc>
        <w:tc>
          <w:tcPr>
            <w:tcW w:w="1474" w:type="dxa"/>
            <w:vAlign w:val="center"/>
          </w:tcPr>
          <w:p w14:paraId="32C83E11">
            <w:pPr>
              <w:spacing w:line="276" w:lineRule="auto"/>
              <w:ind w:firstLine="0" w:firstLineChars="0"/>
              <w:jc w:val="center"/>
              <w:rPr>
                <w:rFonts w:hint="eastAsia" w:ascii="Times New Roman" w:hAnsi="Times New Roman" w:eastAsia="宋体" w:cs="Times New Roman"/>
                <w:lang w:val="en-US" w:eastAsia="zh-CN"/>
              </w:rPr>
            </w:pPr>
          </w:p>
        </w:tc>
        <w:tc>
          <w:tcPr>
            <w:tcW w:w="1548" w:type="dxa"/>
            <w:vAlign w:val="center"/>
          </w:tcPr>
          <w:p w14:paraId="701995B6">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0.00227t/a</w:t>
            </w:r>
          </w:p>
        </w:tc>
        <w:tc>
          <w:tcPr>
            <w:tcW w:w="1491" w:type="dxa"/>
            <w:vAlign w:val="center"/>
          </w:tcPr>
          <w:p w14:paraId="0312C82E">
            <w:pPr>
              <w:spacing w:line="276" w:lineRule="auto"/>
              <w:ind w:firstLine="0" w:firstLineChars="0"/>
              <w:jc w:val="center"/>
              <w:rPr>
                <w:rFonts w:hint="eastAsia" w:ascii="Times New Roman" w:hAnsi="Times New Roman" w:eastAsia="宋体" w:cs="Times New Roman"/>
                <w:lang w:val="en-US" w:eastAsia="zh-CN"/>
              </w:rPr>
            </w:pPr>
          </w:p>
        </w:tc>
        <w:tc>
          <w:tcPr>
            <w:tcW w:w="1962" w:type="dxa"/>
            <w:vAlign w:val="center"/>
          </w:tcPr>
          <w:p w14:paraId="1D7B4185">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kern w:val="2"/>
                <w:sz w:val="24"/>
                <w:szCs w:val="24"/>
                <w:lang w:val="en-US" w:eastAsia="zh-CN" w:bidi="ar-SA"/>
              </w:rPr>
              <w:t>0.00227t/a</w:t>
            </w:r>
          </w:p>
        </w:tc>
        <w:tc>
          <w:tcPr>
            <w:tcW w:w="1612" w:type="dxa"/>
            <w:vAlign w:val="center"/>
          </w:tcPr>
          <w:p w14:paraId="595B0498">
            <w:pPr>
              <w:pStyle w:val="42"/>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lang w:val="en-US" w:eastAsia="zh-CN"/>
              </w:rPr>
            </w:pP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0.00227t/a</w:t>
            </w:r>
          </w:p>
        </w:tc>
      </w:tr>
      <w:tr w14:paraId="60F8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94" w:type="dxa"/>
            <w:vMerge w:val="continue"/>
            <w:vAlign w:val="center"/>
          </w:tcPr>
          <w:p w14:paraId="20DF8063">
            <w:pPr>
              <w:spacing w:line="276" w:lineRule="auto"/>
              <w:ind w:firstLine="0" w:firstLineChars="0"/>
              <w:jc w:val="center"/>
              <w:rPr>
                <w:rFonts w:hint="eastAsia" w:ascii="Times New Roman" w:hAnsi="Times New Roman" w:eastAsia="宋体" w:cs="Times New Roman"/>
                <w:lang w:val="en-US" w:eastAsia="zh-CN"/>
              </w:rPr>
            </w:pPr>
          </w:p>
        </w:tc>
        <w:tc>
          <w:tcPr>
            <w:tcW w:w="1656" w:type="dxa"/>
            <w:vAlign w:val="center"/>
          </w:tcPr>
          <w:p w14:paraId="44705E7D">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油烟</w:t>
            </w:r>
          </w:p>
        </w:tc>
        <w:tc>
          <w:tcPr>
            <w:tcW w:w="1603" w:type="dxa"/>
            <w:vAlign w:val="center"/>
          </w:tcPr>
          <w:p w14:paraId="3658E31B">
            <w:pPr>
              <w:spacing w:line="276" w:lineRule="auto"/>
              <w:ind w:firstLine="0" w:firstLineChars="0"/>
              <w:jc w:val="center"/>
              <w:rPr>
                <w:rFonts w:hint="eastAsia" w:ascii="Times New Roman" w:hAnsi="Times New Roman" w:eastAsia="宋体" w:cs="Times New Roman"/>
                <w:lang w:val="en-US" w:eastAsia="zh-CN"/>
              </w:rPr>
            </w:pPr>
          </w:p>
        </w:tc>
        <w:tc>
          <w:tcPr>
            <w:tcW w:w="1452" w:type="dxa"/>
            <w:vAlign w:val="center"/>
          </w:tcPr>
          <w:p w14:paraId="69BFEB6C">
            <w:pPr>
              <w:spacing w:line="276" w:lineRule="auto"/>
              <w:ind w:firstLine="0" w:firstLineChars="0"/>
              <w:jc w:val="center"/>
              <w:rPr>
                <w:rFonts w:hint="eastAsia" w:ascii="Times New Roman" w:hAnsi="Times New Roman" w:eastAsia="宋体" w:cs="Times New Roman"/>
                <w:lang w:val="en-US" w:eastAsia="zh-CN"/>
              </w:rPr>
            </w:pPr>
          </w:p>
        </w:tc>
        <w:tc>
          <w:tcPr>
            <w:tcW w:w="1474" w:type="dxa"/>
            <w:vAlign w:val="center"/>
          </w:tcPr>
          <w:p w14:paraId="402A8996">
            <w:pPr>
              <w:spacing w:line="276" w:lineRule="auto"/>
              <w:ind w:firstLine="0" w:firstLineChars="0"/>
              <w:jc w:val="center"/>
              <w:rPr>
                <w:rFonts w:hint="eastAsia" w:ascii="Times New Roman" w:hAnsi="Times New Roman" w:eastAsia="宋体" w:cs="Times New Roman"/>
                <w:lang w:val="en-US" w:eastAsia="zh-CN"/>
              </w:rPr>
            </w:pPr>
          </w:p>
        </w:tc>
        <w:tc>
          <w:tcPr>
            <w:tcW w:w="1548" w:type="dxa"/>
            <w:vAlign w:val="center"/>
          </w:tcPr>
          <w:p w14:paraId="06C609E8">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0.000255t/a</w:t>
            </w:r>
          </w:p>
        </w:tc>
        <w:tc>
          <w:tcPr>
            <w:tcW w:w="1491" w:type="dxa"/>
            <w:vAlign w:val="center"/>
          </w:tcPr>
          <w:p w14:paraId="0CB3B205">
            <w:pPr>
              <w:spacing w:line="276" w:lineRule="auto"/>
              <w:ind w:firstLine="0" w:firstLineChars="0"/>
              <w:jc w:val="center"/>
              <w:rPr>
                <w:rFonts w:hint="eastAsia" w:ascii="Times New Roman" w:hAnsi="Times New Roman" w:eastAsia="宋体" w:cs="Times New Roman"/>
                <w:lang w:val="en-US" w:eastAsia="zh-CN"/>
              </w:rPr>
            </w:pPr>
          </w:p>
        </w:tc>
        <w:tc>
          <w:tcPr>
            <w:tcW w:w="1962" w:type="dxa"/>
            <w:vAlign w:val="center"/>
          </w:tcPr>
          <w:p w14:paraId="58BF036F">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0.000255t/a</w:t>
            </w:r>
          </w:p>
        </w:tc>
        <w:tc>
          <w:tcPr>
            <w:tcW w:w="1612" w:type="dxa"/>
            <w:vAlign w:val="center"/>
          </w:tcPr>
          <w:p w14:paraId="22E46F82">
            <w:pPr>
              <w:spacing w:line="276" w:lineRule="auto"/>
              <w:ind w:firstLine="0" w:firstLineChars="0"/>
              <w:jc w:val="center"/>
              <w:rPr>
                <w:rFonts w:hint="eastAsia" w:ascii="Times New Roman" w:hAnsi="Times New Roman" w:eastAsia="宋体" w:cs="Times New Roman"/>
                <w:lang w:val="en-US" w:eastAsia="zh-CN"/>
              </w:rPr>
            </w:pPr>
            <w:r>
              <w:rPr>
                <w:rFonts w:hint="eastAsia" w:cs="Times New Roman"/>
                <w:lang w:val="en-US" w:eastAsia="zh-CN"/>
              </w:rPr>
              <w:t>+</w:t>
            </w:r>
            <w:r>
              <w:rPr>
                <w:rFonts w:hint="eastAsia" w:ascii="Times New Roman" w:hAnsi="Times New Roman" w:eastAsia="宋体" w:cs="Times New Roman"/>
                <w:lang w:val="en-US" w:eastAsia="zh-CN"/>
              </w:rPr>
              <w:t>0.000255t/a</w:t>
            </w:r>
          </w:p>
        </w:tc>
      </w:tr>
      <w:tr w14:paraId="225E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restart"/>
            <w:vAlign w:val="center"/>
          </w:tcPr>
          <w:p w14:paraId="745AAA8B">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一般工业固体废物</w:t>
            </w:r>
          </w:p>
        </w:tc>
        <w:tc>
          <w:tcPr>
            <w:tcW w:w="1656" w:type="dxa"/>
            <w:vAlign w:val="center"/>
          </w:tcPr>
          <w:p w14:paraId="554D852A">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生活垃圾</w:t>
            </w:r>
          </w:p>
        </w:tc>
        <w:tc>
          <w:tcPr>
            <w:tcW w:w="1603" w:type="dxa"/>
            <w:vAlign w:val="center"/>
          </w:tcPr>
          <w:p w14:paraId="19FA810A">
            <w:pPr>
              <w:spacing w:line="276" w:lineRule="auto"/>
              <w:ind w:firstLine="0" w:firstLineChars="0"/>
              <w:jc w:val="center"/>
              <w:rPr>
                <w:rFonts w:hint="eastAsia" w:ascii="Times New Roman" w:hAnsi="Times New Roman" w:eastAsia="宋体" w:cs="Times New Roman"/>
                <w:lang w:val="en-US" w:eastAsia="zh-CN"/>
              </w:rPr>
            </w:pPr>
          </w:p>
        </w:tc>
        <w:tc>
          <w:tcPr>
            <w:tcW w:w="1452" w:type="dxa"/>
            <w:vAlign w:val="center"/>
          </w:tcPr>
          <w:p w14:paraId="3A351BDF">
            <w:pPr>
              <w:spacing w:line="276" w:lineRule="auto"/>
              <w:ind w:firstLine="0" w:firstLineChars="0"/>
              <w:jc w:val="center"/>
              <w:rPr>
                <w:rFonts w:hint="eastAsia" w:ascii="Times New Roman" w:hAnsi="Times New Roman" w:eastAsia="宋体" w:cs="Times New Roman"/>
                <w:lang w:val="en-US" w:eastAsia="zh-CN"/>
              </w:rPr>
            </w:pPr>
          </w:p>
        </w:tc>
        <w:tc>
          <w:tcPr>
            <w:tcW w:w="1474" w:type="dxa"/>
            <w:vAlign w:val="center"/>
          </w:tcPr>
          <w:p w14:paraId="227B1F8B">
            <w:pPr>
              <w:spacing w:line="276" w:lineRule="auto"/>
              <w:ind w:firstLine="0" w:firstLineChars="0"/>
              <w:jc w:val="center"/>
              <w:rPr>
                <w:rFonts w:hint="eastAsia" w:ascii="Times New Roman" w:hAnsi="Times New Roman" w:eastAsia="宋体" w:cs="Times New Roman"/>
                <w:lang w:val="en-US" w:eastAsia="zh-CN"/>
              </w:rPr>
            </w:pPr>
          </w:p>
        </w:tc>
        <w:tc>
          <w:tcPr>
            <w:tcW w:w="1548" w:type="dxa"/>
            <w:vAlign w:val="center"/>
          </w:tcPr>
          <w:p w14:paraId="6875CFB1">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3t/a</w:t>
            </w:r>
          </w:p>
        </w:tc>
        <w:tc>
          <w:tcPr>
            <w:tcW w:w="1491" w:type="dxa"/>
            <w:vAlign w:val="center"/>
          </w:tcPr>
          <w:p w14:paraId="0AAD9BFC">
            <w:pPr>
              <w:spacing w:line="276" w:lineRule="auto"/>
              <w:ind w:firstLine="0" w:firstLineChars="0"/>
              <w:jc w:val="center"/>
              <w:rPr>
                <w:rFonts w:hint="eastAsia" w:ascii="Times New Roman" w:hAnsi="Times New Roman" w:eastAsia="宋体" w:cs="Times New Roman"/>
                <w:lang w:val="en-US" w:eastAsia="zh-CN"/>
              </w:rPr>
            </w:pPr>
          </w:p>
        </w:tc>
        <w:tc>
          <w:tcPr>
            <w:tcW w:w="1962" w:type="dxa"/>
            <w:vAlign w:val="center"/>
          </w:tcPr>
          <w:p w14:paraId="4145CE7D">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3t/a</w:t>
            </w:r>
          </w:p>
        </w:tc>
        <w:tc>
          <w:tcPr>
            <w:tcW w:w="1612" w:type="dxa"/>
            <w:vAlign w:val="center"/>
          </w:tcPr>
          <w:p w14:paraId="2E0F773D">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+3t/a</w:t>
            </w:r>
          </w:p>
        </w:tc>
      </w:tr>
      <w:tr w14:paraId="72F1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vAlign w:val="center"/>
          </w:tcPr>
          <w:p w14:paraId="12E030A2">
            <w:pPr>
              <w:spacing w:line="276" w:lineRule="auto"/>
              <w:ind w:firstLine="0" w:firstLineChars="0"/>
              <w:jc w:val="center"/>
              <w:rPr>
                <w:rFonts w:hint="eastAsia" w:ascii="Times New Roman" w:hAnsi="Times New Roman" w:eastAsia="宋体" w:cs="Times New Roman"/>
                <w:lang w:val="en-US" w:eastAsia="zh-CN"/>
              </w:rPr>
            </w:pPr>
          </w:p>
        </w:tc>
        <w:tc>
          <w:tcPr>
            <w:tcW w:w="1656" w:type="dxa"/>
            <w:vAlign w:val="center"/>
          </w:tcPr>
          <w:p w14:paraId="3DB6744B">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废包装桶</w:t>
            </w:r>
          </w:p>
        </w:tc>
        <w:tc>
          <w:tcPr>
            <w:tcW w:w="1603" w:type="dxa"/>
            <w:vAlign w:val="center"/>
          </w:tcPr>
          <w:p w14:paraId="1B9838FD">
            <w:pPr>
              <w:spacing w:line="276" w:lineRule="auto"/>
              <w:ind w:firstLine="0" w:firstLineChars="0"/>
              <w:jc w:val="center"/>
              <w:rPr>
                <w:rFonts w:hint="eastAsia" w:ascii="Times New Roman" w:hAnsi="Times New Roman" w:eastAsia="宋体" w:cs="Times New Roman"/>
                <w:lang w:val="en-US" w:eastAsia="zh-CN"/>
              </w:rPr>
            </w:pPr>
          </w:p>
        </w:tc>
        <w:tc>
          <w:tcPr>
            <w:tcW w:w="1452" w:type="dxa"/>
            <w:vAlign w:val="center"/>
          </w:tcPr>
          <w:p w14:paraId="39CF1049">
            <w:pPr>
              <w:spacing w:line="276" w:lineRule="auto"/>
              <w:ind w:firstLine="0" w:firstLineChars="0"/>
              <w:jc w:val="center"/>
              <w:rPr>
                <w:rFonts w:hint="eastAsia" w:ascii="Times New Roman" w:hAnsi="Times New Roman" w:eastAsia="宋体" w:cs="Times New Roman"/>
                <w:lang w:val="en-US" w:eastAsia="zh-CN"/>
              </w:rPr>
            </w:pPr>
          </w:p>
        </w:tc>
        <w:tc>
          <w:tcPr>
            <w:tcW w:w="1474" w:type="dxa"/>
            <w:vAlign w:val="center"/>
          </w:tcPr>
          <w:p w14:paraId="57B09A35">
            <w:pPr>
              <w:spacing w:line="276" w:lineRule="auto"/>
              <w:ind w:firstLine="0" w:firstLineChars="0"/>
              <w:jc w:val="center"/>
              <w:rPr>
                <w:rFonts w:hint="eastAsia" w:ascii="Times New Roman" w:hAnsi="Times New Roman" w:eastAsia="宋体" w:cs="Times New Roman"/>
                <w:lang w:val="en-US" w:eastAsia="zh-CN"/>
              </w:rPr>
            </w:pPr>
          </w:p>
        </w:tc>
        <w:tc>
          <w:tcPr>
            <w:tcW w:w="1548" w:type="dxa"/>
            <w:vAlign w:val="center"/>
          </w:tcPr>
          <w:p w14:paraId="2D18CD5B">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0.01t/a</w:t>
            </w:r>
          </w:p>
        </w:tc>
        <w:tc>
          <w:tcPr>
            <w:tcW w:w="1491" w:type="dxa"/>
            <w:vAlign w:val="center"/>
          </w:tcPr>
          <w:p w14:paraId="2B8AD754">
            <w:pPr>
              <w:spacing w:line="276" w:lineRule="auto"/>
              <w:ind w:firstLine="0" w:firstLineChars="0"/>
              <w:jc w:val="center"/>
              <w:rPr>
                <w:rFonts w:hint="eastAsia" w:ascii="Times New Roman" w:hAnsi="Times New Roman" w:eastAsia="宋体" w:cs="Times New Roman"/>
                <w:lang w:val="en-US" w:eastAsia="zh-CN"/>
              </w:rPr>
            </w:pPr>
          </w:p>
        </w:tc>
        <w:tc>
          <w:tcPr>
            <w:tcW w:w="1962" w:type="dxa"/>
            <w:vAlign w:val="center"/>
          </w:tcPr>
          <w:p w14:paraId="08737EFF">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0.01t/a</w:t>
            </w:r>
          </w:p>
        </w:tc>
        <w:tc>
          <w:tcPr>
            <w:tcW w:w="1612" w:type="dxa"/>
            <w:vAlign w:val="center"/>
          </w:tcPr>
          <w:p w14:paraId="51DBA912">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+0.01t/a</w:t>
            </w:r>
          </w:p>
        </w:tc>
      </w:tr>
      <w:tr w14:paraId="6877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vAlign w:val="center"/>
          </w:tcPr>
          <w:p w14:paraId="451F5AEC">
            <w:pPr>
              <w:spacing w:line="276" w:lineRule="auto"/>
              <w:ind w:firstLine="0" w:firstLineChars="0"/>
              <w:jc w:val="center"/>
              <w:rPr>
                <w:rFonts w:hint="eastAsia" w:ascii="Times New Roman" w:hAnsi="Times New Roman" w:eastAsia="宋体" w:cs="Times New Roman"/>
                <w:lang w:val="en-US" w:eastAsia="zh-CN"/>
              </w:rPr>
            </w:pPr>
          </w:p>
        </w:tc>
        <w:tc>
          <w:tcPr>
            <w:tcW w:w="1656" w:type="dxa"/>
            <w:vAlign w:val="center"/>
          </w:tcPr>
          <w:p w14:paraId="5EEFE12E">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沼渣</w:t>
            </w:r>
          </w:p>
        </w:tc>
        <w:tc>
          <w:tcPr>
            <w:tcW w:w="1603" w:type="dxa"/>
            <w:vAlign w:val="center"/>
          </w:tcPr>
          <w:p w14:paraId="339E8C8F">
            <w:pPr>
              <w:spacing w:line="276" w:lineRule="auto"/>
              <w:ind w:firstLine="0" w:firstLineChars="0"/>
              <w:jc w:val="center"/>
              <w:rPr>
                <w:rFonts w:hint="eastAsia" w:ascii="Times New Roman" w:hAnsi="Times New Roman" w:eastAsia="宋体" w:cs="Times New Roman"/>
                <w:lang w:val="en-US" w:eastAsia="zh-CN"/>
              </w:rPr>
            </w:pPr>
          </w:p>
        </w:tc>
        <w:tc>
          <w:tcPr>
            <w:tcW w:w="1452" w:type="dxa"/>
            <w:vAlign w:val="center"/>
          </w:tcPr>
          <w:p w14:paraId="64832489">
            <w:pPr>
              <w:spacing w:line="276" w:lineRule="auto"/>
              <w:ind w:firstLine="0" w:firstLineChars="0"/>
              <w:jc w:val="center"/>
              <w:rPr>
                <w:rFonts w:hint="eastAsia" w:ascii="Times New Roman" w:hAnsi="Times New Roman" w:eastAsia="宋体" w:cs="Times New Roman"/>
                <w:lang w:val="en-US" w:eastAsia="zh-CN"/>
              </w:rPr>
            </w:pPr>
          </w:p>
        </w:tc>
        <w:tc>
          <w:tcPr>
            <w:tcW w:w="1474" w:type="dxa"/>
            <w:vAlign w:val="center"/>
          </w:tcPr>
          <w:p w14:paraId="161D8CC4">
            <w:pPr>
              <w:spacing w:line="276" w:lineRule="auto"/>
              <w:ind w:firstLine="0" w:firstLineChars="0"/>
              <w:jc w:val="center"/>
              <w:rPr>
                <w:rFonts w:hint="eastAsia" w:ascii="Times New Roman" w:hAnsi="Times New Roman" w:eastAsia="宋体" w:cs="Times New Roman"/>
                <w:lang w:val="en-US" w:eastAsia="zh-CN"/>
              </w:rPr>
            </w:pPr>
          </w:p>
        </w:tc>
        <w:tc>
          <w:tcPr>
            <w:tcW w:w="1548" w:type="dxa"/>
            <w:vAlign w:val="center"/>
          </w:tcPr>
          <w:p w14:paraId="06ADEB63">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r>
              <w:rPr>
                <w:rFonts w:hint="eastAsia" w:cs="Times New Roman"/>
                <w:lang w:val="en-US" w:eastAsia="zh-CN"/>
              </w:rPr>
              <w:t>3</w:t>
            </w:r>
            <w:r>
              <w:rPr>
                <w:rFonts w:hint="eastAsia" w:ascii="Times New Roman" w:hAnsi="Times New Roman" w:eastAsia="宋体" w:cs="Times New Roman"/>
                <w:lang w:val="en-US" w:eastAsia="zh-CN"/>
              </w:rPr>
              <w:t>t/a</w:t>
            </w:r>
          </w:p>
        </w:tc>
        <w:tc>
          <w:tcPr>
            <w:tcW w:w="1491" w:type="dxa"/>
            <w:vAlign w:val="center"/>
          </w:tcPr>
          <w:p w14:paraId="592BE092">
            <w:pPr>
              <w:spacing w:line="276" w:lineRule="auto"/>
              <w:ind w:firstLine="0" w:firstLineChars="0"/>
              <w:jc w:val="center"/>
              <w:rPr>
                <w:rFonts w:hint="eastAsia" w:ascii="Times New Roman" w:hAnsi="Times New Roman" w:eastAsia="宋体" w:cs="Times New Roman"/>
                <w:lang w:val="en-US" w:eastAsia="zh-CN"/>
              </w:rPr>
            </w:pPr>
          </w:p>
        </w:tc>
        <w:tc>
          <w:tcPr>
            <w:tcW w:w="1962" w:type="dxa"/>
            <w:vAlign w:val="center"/>
          </w:tcPr>
          <w:p w14:paraId="0353364E">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r>
              <w:rPr>
                <w:rFonts w:hint="eastAsia" w:cs="Times New Roman"/>
                <w:lang w:val="en-US" w:eastAsia="zh-CN"/>
              </w:rPr>
              <w:t>3</w:t>
            </w:r>
            <w:r>
              <w:rPr>
                <w:rFonts w:hint="eastAsia" w:ascii="Times New Roman" w:hAnsi="Times New Roman" w:eastAsia="宋体" w:cs="Times New Roman"/>
                <w:lang w:val="en-US" w:eastAsia="zh-CN"/>
              </w:rPr>
              <w:t>t/a</w:t>
            </w:r>
          </w:p>
        </w:tc>
        <w:tc>
          <w:tcPr>
            <w:tcW w:w="1612" w:type="dxa"/>
            <w:vAlign w:val="center"/>
          </w:tcPr>
          <w:p w14:paraId="2A570C14">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r>
              <w:rPr>
                <w:rFonts w:hint="eastAsia" w:cs="Times New Roman"/>
                <w:lang w:val="en-US" w:eastAsia="zh-CN"/>
              </w:rPr>
              <w:t>3</w:t>
            </w:r>
            <w:r>
              <w:rPr>
                <w:rFonts w:hint="eastAsia" w:ascii="Times New Roman" w:hAnsi="Times New Roman" w:eastAsia="宋体" w:cs="Times New Roman"/>
                <w:lang w:val="en-US" w:eastAsia="zh-CN"/>
              </w:rPr>
              <w:t>t/a</w:t>
            </w:r>
          </w:p>
        </w:tc>
      </w:tr>
      <w:tr w14:paraId="30E5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vAlign w:val="center"/>
          </w:tcPr>
          <w:p w14:paraId="09572B11">
            <w:pPr>
              <w:spacing w:line="276" w:lineRule="auto"/>
              <w:ind w:firstLine="0" w:firstLineChars="0"/>
              <w:jc w:val="center"/>
              <w:rPr>
                <w:rFonts w:hint="eastAsia" w:ascii="Times New Roman" w:hAnsi="Times New Roman" w:eastAsia="宋体" w:cs="Times New Roman"/>
                <w:lang w:val="en-US" w:eastAsia="zh-CN"/>
              </w:rPr>
            </w:pPr>
          </w:p>
        </w:tc>
        <w:tc>
          <w:tcPr>
            <w:tcW w:w="1656" w:type="dxa"/>
            <w:vAlign w:val="center"/>
          </w:tcPr>
          <w:p w14:paraId="3B4DA4E2">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废弃树脂</w:t>
            </w:r>
          </w:p>
        </w:tc>
        <w:tc>
          <w:tcPr>
            <w:tcW w:w="1603" w:type="dxa"/>
            <w:vAlign w:val="center"/>
          </w:tcPr>
          <w:p w14:paraId="4291F93B">
            <w:pPr>
              <w:spacing w:line="276" w:lineRule="auto"/>
              <w:ind w:firstLine="0" w:firstLineChars="0"/>
              <w:jc w:val="center"/>
              <w:rPr>
                <w:rFonts w:hint="eastAsia" w:ascii="Times New Roman" w:hAnsi="Times New Roman" w:eastAsia="宋体" w:cs="Times New Roman"/>
                <w:lang w:val="en-US" w:eastAsia="zh-CN"/>
              </w:rPr>
            </w:pPr>
          </w:p>
        </w:tc>
        <w:tc>
          <w:tcPr>
            <w:tcW w:w="1452" w:type="dxa"/>
            <w:vAlign w:val="center"/>
          </w:tcPr>
          <w:p w14:paraId="663AB33F">
            <w:pPr>
              <w:spacing w:line="276" w:lineRule="auto"/>
              <w:ind w:firstLine="0" w:firstLineChars="0"/>
              <w:jc w:val="center"/>
              <w:rPr>
                <w:rFonts w:hint="eastAsia" w:ascii="Times New Roman" w:hAnsi="Times New Roman" w:eastAsia="宋体" w:cs="Times New Roman"/>
                <w:lang w:val="en-US" w:eastAsia="zh-CN"/>
              </w:rPr>
            </w:pPr>
          </w:p>
        </w:tc>
        <w:tc>
          <w:tcPr>
            <w:tcW w:w="1474" w:type="dxa"/>
            <w:vAlign w:val="center"/>
          </w:tcPr>
          <w:p w14:paraId="291466EB">
            <w:pPr>
              <w:spacing w:line="276" w:lineRule="auto"/>
              <w:ind w:firstLine="0" w:firstLineChars="0"/>
              <w:jc w:val="center"/>
              <w:rPr>
                <w:rFonts w:hint="eastAsia" w:ascii="Times New Roman" w:hAnsi="Times New Roman" w:eastAsia="宋体" w:cs="Times New Roman"/>
                <w:lang w:val="en-US" w:eastAsia="zh-CN"/>
              </w:rPr>
            </w:pPr>
          </w:p>
        </w:tc>
        <w:tc>
          <w:tcPr>
            <w:tcW w:w="1548" w:type="dxa"/>
            <w:vAlign w:val="center"/>
          </w:tcPr>
          <w:p w14:paraId="42115698">
            <w:pPr>
              <w:spacing w:line="276"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0.05t/a</w:t>
            </w:r>
          </w:p>
        </w:tc>
        <w:tc>
          <w:tcPr>
            <w:tcW w:w="1491" w:type="dxa"/>
            <w:vAlign w:val="center"/>
          </w:tcPr>
          <w:p w14:paraId="46EC169F">
            <w:pPr>
              <w:spacing w:line="276" w:lineRule="auto"/>
              <w:ind w:firstLine="0" w:firstLineChars="0"/>
              <w:jc w:val="center"/>
              <w:rPr>
                <w:rFonts w:hint="eastAsia" w:ascii="Times New Roman" w:hAnsi="Times New Roman" w:eastAsia="宋体" w:cs="Times New Roman"/>
                <w:lang w:val="en-US" w:eastAsia="zh-CN"/>
              </w:rPr>
            </w:pPr>
          </w:p>
        </w:tc>
        <w:tc>
          <w:tcPr>
            <w:tcW w:w="1962" w:type="dxa"/>
            <w:vAlign w:val="center"/>
          </w:tcPr>
          <w:p w14:paraId="242C363E">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0.05t/a</w:t>
            </w:r>
          </w:p>
        </w:tc>
        <w:tc>
          <w:tcPr>
            <w:tcW w:w="1612" w:type="dxa"/>
            <w:vAlign w:val="center"/>
          </w:tcPr>
          <w:p w14:paraId="78A04B2C">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+0.05t/a</w:t>
            </w:r>
          </w:p>
        </w:tc>
      </w:tr>
      <w:tr w14:paraId="3750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vAlign w:val="center"/>
          </w:tcPr>
          <w:p w14:paraId="34C84452">
            <w:pPr>
              <w:spacing w:line="276" w:lineRule="auto"/>
              <w:ind w:firstLine="0" w:firstLineChars="0"/>
              <w:jc w:val="center"/>
              <w:rPr>
                <w:rFonts w:hint="eastAsia" w:ascii="Times New Roman" w:hAnsi="Times New Roman" w:eastAsia="宋体" w:cs="Times New Roman"/>
                <w:lang w:val="en-US" w:eastAsia="zh-CN"/>
              </w:rPr>
            </w:pPr>
          </w:p>
        </w:tc>
        <w:tc>
          <w:tcPr>
            <w:tcW w:w="1656" w:type="dxa"/>
            <w:vAlign w:val="center"/>
          </w:tcPr>
          <w:p w14:paraId="290428BE">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除尘渣</w:t>
            </w:r>
          </w:p>
        </w:tc>
        <w:tc>
          <w:tcPr>
            <w:tcW w:w="1603" w:type="dxa"/>
            <w:vAlign w:val="center"/>
          </w:tcPr>
          <w:p w14:paraId="1F9BB780">
            <w:pPr>
              <w:spacing w:line="276" w:lineRule="auto"/>
              <w:ind w:firstLine="0" w:firstLineChars="0"/>
              <w:jc w:val="center"/>
              <w:rPr>
                <w:rFonts w:hint="eastAsia" w:ascii="Times New Roman" w:hAnsi="Times New Roman" w:eastAsia="宋体" w:cs="Times New Roman"/>
                <w:lang w:val="en-US" w:eastAsia="zh-CN"/>
              </w:rPr>
            </w:pPr>
          </w:p>
        </w:tc>
        <w:tc>
          <w:tcPr>
            <w:tcW w:w="1452" w:type="dxa"/>
            <w:vAlign w:val="center"/>
          </w:tcPr>
          <w:p w14:paraId="33DB5F00">
            <w:pPr>
              <w:spacing w:line="276" w:lineRule="auto"/>
              <w:ind w:firstLine="0" w:firstLineChars="0"/>
              <w:jc w:val="center"/>
              <w:rPr>
                <w:rFonts w:hint="eastAsia" w:ascii="Times New Roman" w:hAnsi="Times New Roman" w:eastAsia="宋体" w:cs="Times New Roman"/>
                <w:lang w:val="en-US" w:eastAsia="zh-CN"/>
              </w:rPr>
            </w:pPr>
          </w:p>
        </w:tc>
        <w:tc>
          <w:tcPr>
            <w:tcW w:w="1474" w:type="dxa"/>
            <w:vAlign w:val="center"/>
          </w:tcPr>
          <w:p w14:paraId="01D85101">
            <w:pPr>
              <w:spacing w:line="276" w:lineRule="auto"/>
              <w:ind w:firstLine="0" w:firstLineChars="0"/>
              <w:jc w:val="center"/>
              <w:rPr>
                <w:rFonts w:hint="eastAsia" w:ascii="Times New Roman" w:hAnsi="Times New Roman" w:eastAsia="宋体" w:cs="Times New Roman"/>
                <w:lang w:val="en-US" w:eastAsia="zh-CN"/>
              </w:rPr>
            </w:pPr>
          </w:p>
        </w:tc>
        <w:tc>
          <w:tcPr>
            <w:tcW w:w="1548" w:type="dxa"/>
            <w:vAlign w:val="center"/>
          </w:tcPr>
          <w:p w14:paraId="62A84A36">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0.00</w:t>
            </w:r>
            <w:r>
              <w:rPr>
                <w:rFonts w:hint="eastAsia" w:cs="Times New Roman"/>
                <w:lang w:val="en-US" w:eastAsia="zh-CN"/>
              </w:rPr>
              <w:t>57</w:t>
            </w:r>
            <w:r>
              <w:rPr>
                <w:rFonts w:hint="eastAsia" w:ascii="Times New Roman" w:hAnsi="Times New Roman" w:eastAsia="宋体" w:cs="Times New Roman"/>
                <w:lang w:val="en-US" w:eastAsia="zh-CN"/>
              </w:rPr>
              <w:t>t/a</w:t>
            </w:r>
          </w:p>
        </w:tc>
        <w:tc>
          <w:tcPr>
            <w:tcW w:w="1491" w:type="dxa"/>
            <w:vAlign w:val="center"/>
          </w:tcPr>
          <w:p w14:paraId="6D33D1F5">
            <w:pPr>
              <w:spacing w:line="276" w:lineRule="auto"/>
              <w:ind w:firstLine="0" w:firstLineChars="0"/>
              <w:jc w:val="center"/>
              <w:rPr>
                <w:rFonts w:hint="eastAsia" w:ascii="Times New Roman" w:hAnsi="Times New Roman" w:eastAsia="宋体" w:cs="Times New Roman"/>
                <w:lang w:val="en-US" w:eastAsia="zh-CN"/>
              </w:rPr>
            </w:pPr>
          </w:p>
        </w:tc>
        <w:tc>
          <w:tcPr>
            <w:tcW w:w="1962" w:type="dxa"/>
            <w:vAlign w:val="center"/>
          </w:tcPr>
          <w:p w14:paraId="780A9AC3">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0.00</w:t>
            </w:r>
            <w:r>
              <w:rPr>
                <w:rFonts w:hint="eastAsia" w:cs="Times New Roman"/>
                <w:lang w:val="en-US" w:eastAsia="zh-CN"/>
              </w:rPr>
              <w:t>57</w:t>
            </w:r>
            <w:r>
              <w:rPr>
                <w:rFonts w:hint="eastAsia" w:ascii="Times New Roman" w:hAnsi="Times New Roman" w:eastAsia="宋体" w:cs="Times New Roman"/>
                <w:lang w:val="en-US" w:eastAsia="zh-CN"/>
              </w:rPr>
              <w:t>t/a</w:t>
            </w:r>
          </w:p>
        </w:tc>
        <w:tc>
          <w:tcPr>
            <w:tcW w:w="1612" w:type="dxa"/>
            <w:vAlign w:val="center"/>
          </w:tcPr>
          <w:p w14:paraId="49E0274C">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+0.00</w:t>
            </w:r>
            <w:r>
              <w:rPr>
                <w:rFonts w:hint="eastAsia" w:cs="Times New Roman"/>
                <w:lang w:val="en-US" w:eastAsia="zh-CN"/>
              </w:rPr>
              <w:t>57</w:t>
            </w:r>
            <w:r>
              <w:rPr>
                <w:rFonts w:hint="eastAsia" w:ascii="Times New Roman" w:hAnsi="Times New Roman" w:eastAsia="宋体" w:cs="Times New Roman"/>
                <w:lang w:val="en-US" w:eastAsia="zh-CN"/>
              </w:rPr>
              <w:t>t/a</w:t>
            </w:r>
          </w:p>
        </w:tc>
      </w:tr>
      <w:tr w14:paraId="20F5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restart"/>
            <w:vAlign w:val="center"/>
          </w:tcPr>
          <w:p w14:paraId="2114A8DA">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危险废物</w:t>
            </w:r>
          </w:p>
        </w:tc>
        <w:tc>
          <w:tcPr>
            <w:tcW w:w="1656" w:type="dxa"/>
            <w:vAlign w:val="center"/>
          </w:tcPr>
          <w:p w14:paraId="309E6A92">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废弃防疫装备</w:t>
            </w:r>
          </w:p>
        </w:tc>
        <w:tc>
          <w:tcPr>
            <w:tcW w:w="1603" w:type="dxa"/>
            <w:vAlign w:val="center"/>
          </w:tcPr>
          <w:p w14:paraId="486B1F6E">
            <w:pPr>
              <w:spacing w:line="276" w:lineRule="auto"/>
              <w:ind w:firstLine="0" w:firstLineChars="0"/>
              <w:jc w:val="center"/>
              <w:rPr>
                <w:rFonts w:hint="eastAsia" w:ascii="Times New Roman" w:hAnsi="Times New Roman" w:eastAsia="宋体" w:cs="Times New Roman"/>
                <w:lang w:val="en-US" w:eastAsia="zh-CN"/>
              </w:rPr>
            </w:pPr>
          </w:p>
        </w:tc>
        <w:tc>
          <w:tcPr>
            <w:tcW w:w="1452" w:type="dxa"/>
            <w:vAlign w:val="center"/>
          </w:tcPr>
          <w:p w14:paraId="50A1A83C">
            <w:pPr>
              <w:spacing w:line="276" w:lineRule="auto"/>
              <w:ind w:firstLine="0" w:firstLineChars="0"/>
              <w:jc w:val="center"/>
              <w:rPr>
                <w:rFonts w:hint="eastAsia" w:ascii="Times New Roman" w:hAnsi="Times New Roman" w:eastAsia="宋体" w:cs="Times New Roman"/>
                <w:lang w:val="en-US" w:eastAsia="zh-CN"/>
              </w:rPr>
            </w:pPr>
          </w:p>
        </w:tc>
        <w:tc>
          <w:tcPr>
            <w:tcW w:w="1474" w:type="dxa"/>
            <w:vAlign w:val="center"/>
          </w:tcPr>
          <w:p w14:paraId="64BFE780">
            <w:pPr>
              <w:spacing w:line="276" w:lineRule="auto"/>
              <w:ind w:firstLine="0" w:firstLineChars="0"/>
              <w:jc w:val="center"/>
              <w:rPr>
                <w:rFonts w:hint="eastAsia" w:ascii="Times New Roman" w:hAnsi="Times New Roman" w:eastAsia="宋体" w:cs="Times New Roman"/>
                <w:lang w:val="en-US" w:eastAsia="zh-CN"/>
              </w:rPr>
            </w:pPr>
          </w:p>
        </w:tc>
        <w:tc>
          <w:tcPr>
            <w:tcW w:w="1548" w:type="dxa"/>
            <w:vAlign w:val="center"/>
          </w:tcPr>
          <w:p w14:paraId="3121144F">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1.5t/a</w:t>
            </w:r>
          </w:p>
        </w:tc>
        <w:tc>
          <w:tcPr>
            <w:tcW w:w="1491" w:type="dxa"/>
            <w:vAlign w:val="center"/>
          </w:tcPr>
          <w:p w14:paraId="5D14E95F">
            <w:pPr>
              <w:spacing w:line="276" w:lineRule="auto"/>
              <w:ind w:firstLine="0" w:firstLineChars="0"/>
              <w:jc w:val="center"/>
              <w:rPr>
                <w:rFonts w:hint="eastAsia" w:ascii="Times New Roman" w:hAnsi="Times New Roman" w:eastAsia="宋体" w:cs="Times New Roman"/>
                <w:lang w:val="en-US" w:eastAsia="zh-CN"/>
              </w:rPr>
            </w:pPr>
          </w:p>
        </w:tc>
        <w:tc>
          <w:tcPr>
            <w:tcW w:w="1962" w:type="dxa"/>
            <w:vAlign w:val="center"/>
          </w:tcPr>
          <w:p w14:paraId="0649D714">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1.5t/a</w:t>
            </w:r>
          </w:p>
        </w:tc>
        <w:tc>
          <w:tcPr>
            <w:tcW w:w="1612" w:type="dxa"/>
            <w:vAlign w:val="center"/>
          </w:tcPr>
          <w:p w14:paraId="59CCCD84">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+1.5t/a</w:t>
            </w:r>
          </w:p>
        </w:tc>
      </w:tr>
      <w:tr w14:paraId="2C72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vAlign w:val="center"/>
          </w:tcPr>
          <w:p w14:paraId="60C87E0F">
            <w:pPr>
              <w:spacing w:line="276" w:lineRule="auto"/>
              <w:ind w:firstLine="0" w:firstLineChars="0"/>
              <w:jc w:val="center"/>
              <w:rPr>
                <w:rFonts w:hint="eastAsia" w:ascii="Times New Roman" w:hAnsi="Times New Roman" w:eastAsia="宋体" w:cs="Times New Roman"/>
                <w:lang w:val="en-US" w:eastAsia="zh-CN"/>
              </w:rPr>
            </w:pPr>
          </w:p>
        </w:tc>
        <w:tc>
          <w:tcPr>
            <w:tcW w:w="1656" w:type="dxa"/>
            <w:vAlign w:val="center"/>
          </w:tcPr>
          <w:p w14:paraId="6F03C3B6">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废机油</w:t>
            </w:r>
          </w:p>
        </w:tc>
        <w:tc>
          <w:tcPr>
            <w:tcW w:w="1603" w:type="dxa"/>
            <w:vAlign w:val="center"/>
          </w:tcPr>
          <w:p w14:paraId="249EB701">
            <w:pPr>
              <w:spacing w:line="276" w:lineRule="auto"/>
              <w:ind w:firstLine="0" w:firstLineChars="0"/>
              <w:jc w:val="center"/>
              <w:rPr>
                <w:rFonts w:hint="eastAsia" w:ascii="Times New Roman" w:hAnsi="Times New Roman" w:eastAsia="宋体" w:cs="Times New Roman"/>
                <w:lang w:val="en-US" w:eastAsia="zh-CN"/>
              </w:rPr>
            </w:pPr>
          </w:p>
        </w:tc>
        <w:tc>
          <w:tcPr>
            <w:tcW w:w="1452" w:type="dxa"/>
            <w:vAlign w:val="center"/>
          </w:tcPr>
          <w:p w14:paraId="1D8DABA1">
            <w:pPr>
              <w:spacing w:line="276" w:lineRule="auto"/>
              <w:ind w:firstLine="0" w:firstLineChars="0"/>
              <w:jc w:val="center"/>
              <w:rPr>
                <w:rFonts w:hint="eastAsia" w:ascii="Times New Roman" w:hAnsi="Times New Roman" w:eastAsia="宋体" w:cs="Times New Roman"/>
                <w:lang w:val="en-US" w:eastAsia="zh-CN"/>
              </w:rPr>
            </w:pPr>
          </w:p>
        </w:tc>
        <w:tc>
          <w:tcPr>
            <w:tcW w:w="1474" w:type="dxa"/>
            <w:vAlign w:val="center"/>
          </w:tcPr>
          <w:p w14:paraId="4D0A8EF9">
            <w:pPr>
              <w:spacing w:line="276" w:lineRule="auto"/>
              <w:ind w:firstLine="0" w:firstLineChars="0"/>
              <w:jc w:val="center"/>
              <w:rPr>
                <w:rFonts w:hint="eastAsia" w:ascii="Times New Roman" w:hAnsi="Times New Roman" w:eastAsia="宋体" w:cs="Times New Roman"/>
                <w:lang w:val="en-US" w:eastAsia="zh-CN"/>
              </w:rPr>
            </w:pPr>
          </w:p>
        </w:tc>
        <w:tc>
          <w:tcPr>
            <w:tcW w:w="1548" w:type="dxa"/>
            <w:vAlign w:val="center"/>
          </w:tcPr>
          <w:p w14:paraId="41F461B4">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0.1t/a</w:t>
            </w:r>
          </w:p>
        </w:tc>
        <w:tc>
          <w:tcPr>
            <w:tcW w:w="1491" w:type="dxa"/>
            <w:vAlign w:val="center"/>
          </w:tcPr>
          <w:p w14:paraId="1004F95E">
            <w:pPr>
              <w:spacing w:line="276" w:lineRule="auto"/>
              <w:ind w:firstLine="0" w:firstLineChars="0"/>
              <w:jc w:val="center"/>
              <w:rPr>
                <w:rFonts w:hint="eastAsia" w:ascii="Times New Roman" w:hAnsi="Times New Roman" w:eastAsia="宋体" w:cs="Times New Roman"/>
                <w:lang w:val="en-US" w:eastAsia="zh-CN"/>
              </w:rPr>
            </w:pPr>
          </w:p>
        </w:tc>
        <w:tc>
          <w:tcPr>
            <w:tcW w:w="1962" w:type="dxa"/>
            <w:vAlign w:val="center"/>
          </w:tcPr>
          <w:p w14:paraId="277BCE40">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0.1t/a</w:t>
            </w:r>
          </w:p>
        </w:tc>
        <w:tc>
          <w:tcPr>
            <w:tcW w:w="1612" w:type="dxa"/>
            <w:vAlign w:val="center"/>
          </w:tcPr>
          <w:p w14:paraId="44ED19CA">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+0.1t/a</w:t>
            </w:r>
          </w:p>
        </w:tc>
      </w:tr>
      <w:tr w14:paraId="427F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vAlign w:val="center"/>
          </w:tcPr>
          <w:p w14:paraId="4DB9A99A">
            <w:pPr>
              <w:spacing w:line="276" w:lineRule="auto"/>
              <w:ind w:firstLine="0" w:firstLineChars="0"/>
              <w:jc w:val="center"/>
              <w:rPr>
                <w:rFonts w:hint="eastAsia" w:ascii="Times New Roman" w:hAnsi="Times New Roman" w:eastAsia="宋体" w:cs="Times New Roman"/>
                <w:lang w:val="en-US" w:eastAsia="zh-CN"/>
              </w:rPr>
            </w:pPr>
          </w:p>
        </w:tc>
        <w:tc>
          <w:tcPr>
            <w:tcW w:w="1656" w:type="dxa"/>
            <w:vAlign w:val="center"/>
          </w:tcPr>
          <w:p w14:paraId="4A20EBCF">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废活性炭</w:t>
            </w:r>
          </w:p>
        </w:tc>
        <w:tc>
          <w:tcPr>
            <w:tcW w:w="1603" w:type="dxa"/>
            <w:vAlign w:val="center"/>
          </w:tcPr>
          <w:p w14:paraId="0D9783C5">
            <w:pPr>
              <w:spacing w:line="276" w:lineRule="auto"/>
              <w:ind w:firstLine="0" w:firstLineChars="0"/>
              <w:jc w:val="center"/>
              <w:rPr>
                <w:rFonts w:hint="eastAsia" w:ascii="Times New Roman" w:hAnsi="Times New Roman" w:eastAsia="宋体" w:cs="Times New Roman"/>
                <w:lang w:val="en-US" w:eastAsia="zh-CN"/>
              </w:rPr>
            </w:pPr>
          </w:p>
        </w:tc>
        <w:tc>
          <w:tcPr>
            <w:tcW w:w="1452" w:type="dxa"/>
            <w:vAlign w:val="center"/>
          </w:tcPr>
          <w:p w14:paraId="3F2C4D2C">
            <w:pPr>
              <w:spacing w:line="276" w:lineRule="auto"/>
              <w:ind w:firstLine="0" w:firstLineChars="0"/>
              <w:jc w:val="center"/>
              <w:rPr>
                <w:rFonts w:hint="eastAsia" w:ascii="Times New Roman" w:hAnsi="Times New Roman" w:eastAsia="宋体" w:cs="Times New Roman"/>
                <w:lang w:val="en-US" w:eastAsia="zh-CN"/>
              </w:rPr>
            </w:pPr>
          </w:p>
        </w:tc>
        <w:tc>
          <w:tcPr>
            <w:tcW w:w="1474" w:type="dxa"/>
            <w:vAlign w:val="center"/>
          </w:tcPr>
          <w:p w14:paraId="1C459031">
            <w:pPr>
              <w:spacing w:line="276" w:lineRule="auto"/>
              <w:ind w:firstLine="0" w:firstLineChars="0"/>
              <w:jc w:val="center"/>
              <w:rPr>
                <w:rFonts w:hint="eastAsia" w:ascii="Times New Roman" w:hAnsi="Times New Roman" w:eastAsia="宋体" w:cs="Times New Roman"/>
                <w:lang w:val="en-US" w:eastAsia="zh-CN"/>
              </w:rPr>
            </w:pPr>
          </w:p>
        </w:tc>
        <w:tc>
          <w:tcPr>
            <w:tcW w:w="1548" w:type="dxa"/>
            <w:vAlign w:val="center"/>
          </w:tcPr>
          <w:p w14:paraId="635EDA20">
            <w:pPr>
              <w:spacing w:line="276" w:lineRule="auto"/>
              <w:ind w:firstLine="0" w:firstLineChars="0"/>
              <w:jc w:val="center"/>
              <w:rPr>
                <w:rFonts w:hint="eastAsia" w:ascii="Times New Roman" w:hAnsi="Times New Roman" w:eastAsia="宋体" w:cs="Times New Roman"/>
                <w:lang w:val="en-US" w:eastAsia="zh-CN"/>
              </w:rPr>
            </w:pPr>
            <w:r>
              <w:rPr>
                <w:rFonts w:hint="eastAsia"/>
                <w:spacing w:val="-2"/>
                <w:lang w:val="en-US" w:eastAsia="zh-CN"/>
              </w:rPr>
              <w:t>4.7187</w:t>
            </w:r>
            <w:r>
              <w:rPr>
                <w:rFonts w:hint="eastAsia" w:ascii="Times New Roman" w:hAnsi="Times New Roman" w:eastAsia="宋体" w:cs="Times New Roman"/>
                <w:lang w:val="en-US" w:eastAsia="zh-CN"/>
              </w:rPr>
              <w:t>t/a</w:t>
            </w:r>
          </w:p>
        </w:tc>
        <w:tc>
          <w:tcPr>
            <w:tcW w:w="1491" w:type="dxa"/>
            <w:vAlign w:val="center"/>
          </w:tcPr>
          <w:p w14:paraId="00F9B9F2">
            <w:pPr>
              <w:spacing w:line="276" w:lineRule="auto"/>
              <w:ind w:firstLine="0" w:firstLineChars="0"/>
              <w:jc w:val="center"/>
              <w:rPr>
                <w:rFonts w:hint="eastAsia" w:ascii="Times New Roman" w:hAnsi="Times New Roman" w:eastAsia="宋体" w:cs="Times New Roman"/>
                <w:lang w:val="en-US" w:eastAsia="zh-CN"/>
              </w:rPr>
            </w:pPr>
          </w:p>
        </w:tc>
        <w:tc>
          <w:tcPr>
            <w:tcW w:w="1962" w:type="dxa"/>
            <w:vAlign w:val="center"/>
          </w:tcPr>
          <w:p w14:paraId="11597BCE">
            <w:pPr>
              <w:spacing w:line="276" w:lineRule="auto"/>
              <w:ind w:firstLine="0" w:firstLineChars="0"/>
              <w:jc w:val="center"/>
              <w:rPr>
                <w:rFonts w:hint="eastAsia" w:ascii="Times New Roman" w:hAnsi="Times New Roman" w:eastAsia="宋体" w:cs="Times New Roman"/>
                <w:lang w:val="en-US" w:eastAsia="zh-CN"/>
              </w:rPr>
            </w:pPr>
            <w:r>
              <w:rPr>
                <w:rFonts w:hint="eastAsia"/>
                <w:spacing w:val="-2"/>
                <w:lang w:val="en-US" w:eastAsia="zh-CN"/>
              </w:rPr>
              <w:t>4.7187</w:t>
            </w:r>
            <w:r>
              <w:rPr>
                <w:rFonts w:hint="eastAsia" w:ascii="Times New Roman" w:hAnsi="Times New Roman" w:eastAsia="宋体" w:cs="Times New Roman"/>
                <w:lang w:val="en-US" w:eastAsia="zh-CN"/>
              </w:rPr>
              <w:t>t/a</w:t>
            </w:r>
          </w:p>
        </w:tc>
        <w:tc>
          <w:tcPr>
            <w:tcW w:w="1612" w:type="dxa"/>
            <w:vAlign w:val="center"/>
          </w:tcPr>
          <w:p w14:paraId="7242B227">
            <w:pPr>
              <w:spacing w:line="276"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eastAsia"/>
                <w:spacing w:val="-2"/>
                <w:lang w:val="en-US" w:eastAsia="zh-CN"/>
              </w:rPr>
              <w:t>4.7187</w:t>
            </w:r>
            <w:r>
              <w:rPr>
                <w:rFonts w:hint="eastAsia" w:ascii="Times New Roman" w:hAnsi="Times New Roman" w:eastAsia="宋体" w:cs="Times New Roman"/>
                <w:lang w:val="en-US" w:eastAsia="zh-CN"/>
              </w:rPr>
              <w:t>t/a</w:t>
            </w:r>
          </w:p>
        </w:tc>
      </w:tr>
    </w:tbl>
    <w:p w14:paraId="2E8EBB62">
      <w:pPr>
        <w:ind w:firstLine="0" w:firstLineChars="0"/>
      </w:pPr>
      <w:r>
        <w:t>注：</w:t>
      </w:r>
      <w:r>
        <w:rPr>
          <w:rFonts w:hint="eastAsia" w:ascii="宋体" w:hAnsi="宋体" w:cs="宋体"/>
        </w:rPr>
        <w:t>⑥</w:t>
      </w:r>
      <w:r>
        <w:t>=</w:t>
      </w:r>
      <w:r>
        <w:rPr>
          <w:rFonts w:hint="eastAsia" w:ascii="宋体" w:hAnsi="宋体" w:cs="宋体"/>
        </w:rPr>
        <w:t>①</w:t>
      </w:r>
      <w:r>
        <w:t>+</w:t>
      </w:r>
      <w:r>
        <w:rPr>
          <w:rFonts w:hint="eastAsia" w:ascii="宋体" w:hAnsi="宋体" w:cs="宋体"/>
        </w:rPr>
        <w:t>③</w:t>
      </w:r>
      <w:r>
        <w:t>+</w:t>
      </w:r>
      <w:r>
        <w:rPr>
          <w:rFonts w:hint="eastAsia" w:ascii="宋体" w:hAnsi="宋体" w:cs="宋体"/>
        </w:rPr>
        <w:t>④</w:t>
      </w:r>
      <w:r>
        <w:t>-</w:t>
      </w:r>
      <w:r>
        <w:rPr>
          <w:rFonts w:hint="eastAsia" w:ascii="宋体" w:hAnsi="宋体" w:cs="宋体"/>
        </w:rPr>
        <w:t>⑤</w:t>
      </w:r>
      <w:r>
        <w:t>；</w:t>
      </w:r>
      <w:r>
        <w:rPr>
          <w:rFonts w:hint="eastAsia" w:ascii="宋体" w:hAnsi="宋体" w:cs="宋体"/>
        </w:rPr>
        <w:t>⑦</w:t>
      </w:r>
      <w:r>
        <w:t>=</w:t>
      </w:r>
      <w:r>
        <w:rPr>
          <w:rFonts w:hint="eastAsia" w:ascii="宋体" w:hAnsi="宋体" w:cs="宋体"/>
        </w:rPr>
        <w:t>⑥</w:t>
      </w:r>
      <w:r>
        <w:t>-</w:t>
      </w:r>
      <w:r>
        <w:rPr>
          <w:rFonts w:hint="eastAsia" w:ascii="宋体" w:hAnsi="宋体" w:cs="宋体"/>
        </w:rPr>
        <w:t>①</w:t>
      </w:r>
    </w:p>
    <w:sectPr>
      <w:pgSz w:w="16838" w:h="11906" w:orient="landscape"/>
      <w:pgMar w:top="1418" w:right="1418" w:bottom="1418" w:left="1418" w:header="851" w:footer="992" w:gutter="0"/>
      <w:pgBorders>
        <w:top w:val="none" w:sz="0" w:space="0"/>
        <w:left w:val="none" w:sz="0" w:space="0"/>
        <w:bottom w:val="none" w:sz="0" w:space="0"/>
        <w:right w:val="none" w:sz="0" w:space="0"/>
      </w:pgBorders>
      <w:cols w:space="425"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default"/>
    <w:sig w:usb0="E00002FF" w:usb1="420024FF" w:usb2="00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0B12A">
    <w:pPr>
      <w:pStyle w:val="21"/>
      <w:ind w:firstLine="360"/>
      <w:jc w:val="center"/>
    </w:pPr>
  </w:p>
  <w:p w14:paraId="49F99384">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C798D">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9BAAF">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0531047"/>
      <w:docPartObj>
        <w:docPartGallery w:val="autotext"/>
      </w:docPartObj>
    </w:sdtPr>
    <w:sdtContent>
      <w:p w14:paraId="33074193">
        <w:pPr>
          <w:pStyle w:val="21"/>
          <w:ind w:firstLine="360"/>
          <w:jc w:val="center"/>
        </w:pPr>
        <w:r>
          <w:fldChar w:fldCharType="begin"/>
        </w:r>
        <w:r>
          <w:instrText xml:space="preserve">PAGE   \* MERGEFORMAT</w:instrText>
        </w:r>
        <w:r>
          <w:fldChar w:fldCharType="separate"/>
        </w:r>
        <w:r>
          <w:rPr>
            <w:lang w:val="zh-CN"/>
          </w:rPr>
          <w:t>38</w:t>
        </w:r>
        <w:r>
          <w:fldChar w:fldCharType="end"/>
        </w:r>
      </w:p>
    </w:sdtContent>
  </w:sdt>
  <w:p w14:paraId="386B8429">
    <w:pPr>
      <w:pStyle w:val="2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B1657">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F992A">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F12BD">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06EDB"/>
    <w:multiLevelType w:val="multilevel"/>
    <w:tmpl w:val="0C106EDB"/>
    <w:lvl w:ilvl="0" w:tentative="0">
      <w:start w:val="1"/>
      <w:numFmt w:val="chineseCountingThousand"/>
      <w:pStyle w:val="2"/>
      <w:suff w:val="nothing"/>
      <w:lvlText w:val="%1、"/>
      <w:lvlJc w:val="left"/>
      <w:pPr>
        <w:ind w:left="0" w:firstLine="0"/>
      </w:pPr>
      <w:rPr>
        <w:rFonts w:hint="eastAsia"/>
      </w:rPr>
    </w:lvl>
    <w:lvl w:ilvl="1" w:tentative="0">
      <w:start w:val="1"/>
      <w:numFmt w:val="chineseCountingThousand"/>
      <w:pStyle w:val="4"/>
      <w:isLgl/>
      <w:suff w:val="nothing"/>
      <w:lvlText w:val="%1.%2、"/>
      <w:lvlJc w:val="left"/>
      <w:pPr>
        <w:ind w:left="0" w:firstLine="0"/>
      </w:pPr>
      <w:rPr>
        <w:rFonts w:hint="default" w:ascii="Times New Roman" w:hAnsi="Times New Roman" w:eastAsia="宋体"/>
        <w:b/>
        <w:i w:val="0"/>
        <w:sz w:val="24"/>
        <w:szCs w:val="24"/>
      </w:rPr>
    </w:lvl>
    <w:lvl w:ilvl="2" w:tentative="0">
      <w:start w:val="1"/>
      <w:numFmt w:val="decimal"/>
      <w:pStyle w:val="5"/>
      <w:isLgl/>
      <w:suff w:val="nothing"/>
      <w:lvlText w:val="%1.%2.%3、"/>
      <w:lvlJc w:val="left"/>
      <w:pPr>
        <w:ind w:left="0" w:firstLine="0"/>
      </w:pPr>
      <w:rPr>
        <w:rFonts w:hint="default" w:ascii="Times New Roman" w:hAnsi="Times New Roman" w:eastAsia="宋体"/>
        <w:b/>
        <w:i w:val="0"/>
        <w:color w:val="auto"/>
        <w:sz w:val="24"/>
      </w:rPr>
    </w:lvl>
    <w:lvl w:ilvl="3" w:tentative="0">
      <w:start w:val="1"/>
      <w:numFmt w:val="decimal"/>
      <w:pStyle w:val="6"/>
      <w:isLgl/>
      <w:suff w:val="nothing"/>
      <w:lvlText w:val="%1.%2.%3.%4、"/>
      <w:lvlJc w:val="left"/>
      <w:pPr>
        <w:ind w:left="0" w:firstLine="0"/>
      </w:pPr>
      <w:rPr>
        <w:rFonts w:hint="default" w:ascii="Times New Roman" w:hAnsi="Times New Roman" w:eastAsia="宋体"/>
        <w:b/>
        <w:i w:val="0"/>
        <w:sz w:val="24"/>
      </w:rPr>
    </w:lvl>
    <w:lvl w:ilvl="4" w:tentative="0">
      <w:start w:val="1"/>
      <w:numFmt w:val="decimal"/>
      <w:pStyle w:val="7"/>
      <w:isLgl/>
      <w:suff w:val="space"/>
      <w:lvlText w:val="（%5）"/>
      <w:lvlJc w:val="left"/>
      <w:pPr>
        <w:ind w:left="0" w:firstLine="0"/>
      </w:pPr>
      <w:rPr>
        <w:rFonts w:hint="default" w:ascii="Times New Roman" w:hAnsi="Times New Roman" w:eastAsia="宋体"/>
        <w:b/>
        <w:i w:val="0"/>
        <w:sz w:val="24"/>
      </w:rPr>
    </w:lvl>
    <w:lvl w:ilvl="5" w:tentative="0">
      <w:start w:val="1"/>
      <w:numFmt w:val="decimal"/>
      <w:lvlRestart w:val="1"/>
      <w:pStyle w:val="8"/>
      <w:isLgl/>
      <w:suff w:val="space"/>
      <w:lvlText w:val="表%1-%6"/>
      <w:lvlJc w:val="left"/>
      <w:pPr>
        <w:ind w:left="0" w:firstLine="0"/>
      </w:pPr>
      <w:rPr>
        <w:rFonts w:hint="default" w:ascii="Times New Roman" w:hAnsi="Times New Roman" w:eastAsia="宋体"/>
        <w:b/>
        <w:i w:val="0"/>
        <w:color w:val="auto"/>
        <w:sz w:val="24"/>
      </w:rPr>
    </w:lvl>
    <w:lvl w:ilvl="6" w:tentative="0">
      <w:start w:val="1"/>
      <w:numFmt w:val="decimal"/>
      <w:lvlRestart w:val="1"/>
      <w:pStyle w:val="9"/>
      <w:isLgl/>
      <w:suff w:val="space"/>
      <w:lvlText w:val="图%1-%7"/>
      <w:lvlJc w:val="left"/>
      <w:pPr>
        <w:ind w:left="0" w:firstLine="0"/>
      </w:pPr>
      <w:rPr>
        <w:rFonts w:hint="default" w:ascii="Times New Roman" w:hAnsi="Times New Roman" w:eastAsia="宋体"/>
        <w:b/>
        <w:i w:val="0"/>
        <w:sz w:val="24"/>
      </w:rPr>
    </w:lvl>
    <w:lvl w:ilvl="7" w:tentative="0">
      <w:start w:val="1"/>
      <w:numFmt w:val="decimal"/>
      <w:pStyle w:val="10"/>
      <w:isLgl/>
      <w:suff w:val="nothing"/>
      <w:lvlText w:val="%1%2%3%4%5%6%7%8"/>
      <w:lvlJc w:val="left"/>
      <w:pPr>
        <w:ind w:left="0" w:firstLine="0"/>
      </w:pPr>
      <w:rPr>
        <w:rFonts w:hint="default" w:ascii="Times New Roman" w:hAnsi="Times New Roman" w:eastAsia="宋体"/>
        <w:b/>
        <w:i w:val="0"/>
        <w:sz w:val="24"/>
      </w:rPr>
    </w:lvl>
    <w:lvl w:ilvl="8" w:tentative="0">
      <w:start w:val="1"/>
      <w:numFmt w:val="decimal"/>
      <w:pStyle w:val="11"/>
      <w:isLgl/>
      <w:suff w:val="nothing"/>
      <w:lvlText w:val="%1%2%3%4%5%6%7%8%9"/>
      <w:lvlJc w:val="left"/>
      <w:pPr>
        <w:ind w:left="0" w:firstLine="0"/>
      </w:pPr>
      <w:rPr>
        <w:rFonts w:hint="eastAsia" w:ascii="Times New Roman" w:hAnsi="Times New Roman" w:cs="Times New Roman"/>
        <w:b/>
        <w:bCs w:val="0"/>
        <w:i w:val="0"/>
        <w:iCs w:val="0"/>
        <w:caps w:val="0"/>
        <w:smallCaps w:val="0"/>
        <w:strike w:val="0"/>
        <w:dstrike w:val="0"/>
        <w:outline w:val="0"/>
        <w:shadow w:val="0"/>
        <w:emboss w:val="0"/>
        <w:imprint w:val="0"/>
        <w:vanish w:val="0"/>
        <w:color w:val="auto"/>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3E"/>
    <w:rsid w:val="000003D7"/>
    <w:rsid w:val="00000A41"/>
    <w:rsid w:val="00000EEC"/>
    <w:rsid w:val="0000210E"/>
    <w:rsid w:val="0000295A"/>
    <w:rsid w:val="00002C02"/>
    <w:rsid w:val="000033AA"/>
    <w:rsid w:val="0000345A"/>
    <w:rsid w:val="000042B8"/>
    <w:rsid w:val="000053BC"/>
    <w:rsid w:val="000102F2"/>
    <w:rsid w:val="00011504"/>
    <w:rsid w:val="00012BC0"/>
    <w:rsid w:val="00013F2D"/>
    <w:rsid w:val="00014E12"/>
    <w:rsid w:val="00014F86"/>
    <w:rsid w:val="00015077"/>
    <w:rsid w:val="000151DC"/>
    <w:rsid w:val="00015725"/>
    <w:rsid w:val="000168F6"/>
    <w:rsid w:val="00020C7B"/>
    <w:rsid w:val="0002196A"/>
    <w:rsid w:val="00021BDF"/>
    <w:rsid w:val="00024587"/>
    <w:rsid w:val="00025556"/>
    <w:rsid w:val="000263E8"/>
    <w:rsid w:val="0002776F"/>
    <w:rsid w:val="00032043"/>
    <w:rsid w:val="000344C7"/>
    <w:rsid w:val="0003452B"/>
    <w:rsid w:val="0003576D"/>
    <w:rsid w:val="00042390"/>
    <w:rsid w:val="00043FD3"/>
    <w:rsid w:val="00046196"/>
    <w:rsid w:val="0005014F"/>
    <w:rsid w:val="000502F6"/>
    <w:rsid w:val="00051E2A"/>
    <w:rsid w:val="00054085"/>
    <w:rsid w:val="00055D5A"/>
    <w:rsid w:val="00056243"/>
    <w:rsid w:val="000566DE"/>
    <w:rsid w:val="00057DAA"/>
    <w:rsid w:val="00060BAB"/>
    <w:rsid w:val="00061DAC"/>
    <w:rsid w:val="00062B0B"/>
    <w:rsid w:val="0006336B"/>
    <w:rsid w:val="00063C28"/>
    <w:rsid w:val="0006435A"/>
    <w:rsid w:val="00066CC4"/>
    <w:rsid w:val="000673FB"/>
    <w:rsid w:val="0006788E"/>
    <w:rsid w:val="000717D1"/>
    <w:rsid w:val="0007405F"/>
    <w:rsid w:val="00075A02"/>
    <w:rsid w:val="000768E8"/>
    <w:rsid w:val="00080A26"/>
    <w:rsid w:val="00080B97"/>
    <w:rsid w:val="00080CAD"/>
    <w:rsid w:val="00081AC8"/>
    <w:rsid w:val="00084DDE"/>
    <w:rsid w:val="000863AF"/>
    <w:rsid w:val="00087D23"/>
    <w:rsid w:val="000907D7"/>
    <w:rsid w:val="00092AEE"/>
    <w:rsid w:val="0009461D"/>
    <w:rsid w:val="000A0AD9"/>
    <w:rsid w:val="000A152D"/>
    <w:rsid w:val="000A3E60"/>
    <w:rsid w:val="000A746D"/>
    <w:rsid w:val="000A792A"/>
    <w:rsid w:val="000A79DC"/>
    <w:rsid w:val="000A7DE8"/>
    <w:rsid w:val="000B02C8"/>
    <w:rsid w:val="000B0B04"/>
    <w:rsid w:val="000B0EB6"/>
    <w:rsid w:val="000B3A39"/>
    <w:rsid w:val="000B7BF1"/>
    <w:rsid w:val="000B7CA0"/>
    <w:rsid w:val="000C19D2"/>
    <w:rsid w:val="000C1B53"/>
    <w:rsid w:val="000C27FC"/>
    <w:rsid w:val="000C2DB8"/>
    <w:rsid w:val="000C4018"/>
    <w:rsid w:val="000C4CE7"/>
    <w:rsid w:val="000C5F0E"/>
    <w:rsid w:val="000C706F"/>
    <w:rsid w:val="000D02CE"/>
    <w:rsid w:val="000D2364"/>
    <w:rsid w:val="000D25E5"/>
    <w:rsid w:val="000D4110"/>
    <w:rsid w:val="000D4DEA"/>
    <w:rsid w:val="000E025B"/>
    <w:rsid w:val="000E11C8"/>
    <w:rsid w:val="000E21BB"/>
    <w:rsid w:val="000E4CA6"/>
    <w:rsid w:val="000E5D24"/>
    <w:rsid w:val="000F169C"/>
    <w:rsid w:val="000F54A1"/>
    <w:rsid w:val="000F593D"/>
    <w:rsid w:val="000F6424"/>
    <w:rsid w:val="000F707B"/>
    <w:rsid w:val="000F7D8B"/>
    <w:rsid w:val="0010023A"/>
    <w:rsid w:val="001013FC"/>
    <w:rsid w:val="001021DF"/>
    <w:rsid w:val="001029F7"/>
    <w:rsid w:val="00103CA0"/>
    <w:rsid w:val="00104165"/>
    <w:rsid w:val="00105118"/>
    <w:rsid w:val="0010562F"/>
    <w:rsid w:val="001112E1"/>
    <w:rsid w:val="00111971"/>
    <w:rsid w:val="00115EB1"/>
    <w:rsid w:val="001169E8"/>
    <w:rsid w:val="00116ABC"/>
    <w:rsid w:val="00121D8E"/>
    <w:rsid w:val="00121ED4"/>
    <w:rsid w:val="00130113"/>
    <w:rsid w:val="00130F07"/>
    <w:rsid w:val="00133351"/>
    <w:rsid w:val="00133746"/>
    <w:rsid w:val="00133775"/>
    <w:rsid w:val="00133C59"/>
    <w:rsid w:val="00133E90"/>
    <w:rsid w:val="0013559F"/>
    <w:rsid w:val="00135D2A"/>
    <w:rsid w:val="001378E1"/>
    <w:rsid w:val="00137B14"/>
    <w:rsid w:val="001407A9"/>
    <w:rsid w:val="00140881"/>
    <w:rsid w:val="001409AF"/>
    <w:rsid w:val="0014197B"/>
    <w:rsid w:val="0014280E"/>
    <w:rsid w:val="001432CF"/>
    <w:rsid w:val="00145524"/>
    <w:rsid w:val="0014689C"/>
    <w:rsid w:val="00147101"/>
    <w:rsid w:val="0015002B"/>
    <w:rsid w:val="001514BE"/>
    <w:rsid w:val="00151503"/>
    <w:rsid w:val="00152921"/>
    <w:rsid w:val="00152E3E"/>
    <w:rsid w:val="00153D61"/>
    <w:rsid w:val="001540F3"/>
    <w:rsid w:val="00155A92"/>
    <w:rsid w:val="001564CA"/>
    <w:rsid w:val="00156EC7"/>
    <w:rsid w:val="00160426"/>
    <w:rsid w:val="00162388"/>
    <w:rsid w:val="0016431B"/>
    <w:rsid w:val="00166FD4"/>
    <w:rsid w:val="00171800"/>
    <w:rsid w:val="00171E80"/>
    <w:rsid w:val="00172AA3"/>
    <w:rsid w:val="00173CC0"/>
    <w:rsid w:val="00173F6F"/>
    <w:rsid w:val="00174A39"/>
    <w:rsid w:val="0017613C"/>
    <w:rsid w:val="00177216"/>
    <w:rsid w:val="00177396"/>
    <w:rsid w:val="001777B9"/>
    <w:rsid w:val="00180D7A"/>
    <w:rsid w:val="0018260D"/>
    <w:rsid w:val="00184254"/>
    <w:rsid w:val="00184C6F"/>
    <w:rsid w:val="0019075D"/>
    <w:rsid w:val="00190DD7"/>
    <w:rsid w:val="001A223C"/>
    <w:rsid w:val="001A270F"/>
    <w:rsid w:val="001A5066"/>
    <w:rsid w:val="001A5D0E"/>
    <w:rsid w:val="001A6B14"/>
    <w:rsid w:val="001B034E"/>
    <w:rsid w:val="001B17A5"/>
    <w:rsid w:val="001B2206"/>
    <w:rsid w:val="001B608B"/>
    <w:rsid w:val="001B60EF"/>
    <w:rsid w:val="001B798D"/>
    <w:rsid w:val="001C050F"/>
    <w:rsid w:val="001C0E41"/>
    <w:rsid w:val="001C1482"/>
    <w:rsid w:val="001C2457"/>
    <w:rsid w:val="001C44B0"/>
    <w:rsid w:val="001C5ABC"/>
    <w:rsid w:val="001C7B4A"/>
    <w:rsid w:val="001D0685"/>
    <w:rsid w:val="001D1C3C"/>
    <w:rsid w:val="001D3207"/>
    <w:rsid w:val="001D36C2"/>
    <w:rsid w:val="001D6367"/>
    <w:rsid w:val="001D7EEB"/>
    <w:rsid w:val="001E092D"/>
    <w:rsid w:val="001E1BA8"/>
    <w:rsid w:val="001E2198"/>
    <w:rsid w:val="001E5AC6"/>
    <w:rsid w:val="001E6185"/>
    <w:rsid w:val="001F0E8D"/>
    <w:rsid w:val="001F3317"/>
    <w:rsid w:val="001F3E9D"/>
    <w:rsid w:val="001F4A80"/>
    <w:rsid w:val="001F6252"/>
    <w:rsid w:val="00201EE3"/>
    <w:rsid w:val="002041D9"/>
    <w:rsid w:val="00206CCC"/>
    <w:rsid w:val="00210466"/>
    <w:rsid w:val="00210566"/>
    <w:rsid w:val="002114D2"/>
    <w:rsid w:val="00213218"/>
    <w:rsid w:val="0021325C"/>
    <w:rsid w:val="0021441C"/>
    <w:rsid w:val="00215104"/>
    <w:rsid w:val="00217361"/>
    <w:rsid w:val="002204AC"/>
    <w:rsid w:val="002208B8"/>
    <w:rsid w:val="00222564"/>
    <w:rsid w:val="00223E22"/>
    <w:rsid w:val="00223F1C"/>
    <w:rsid w:val="00225E85"/>
    <w:rsid w:val="0023188A"/>
    <w:rsid w:val="002321A7"/>
    <w:rsid w:val="002329C8"/>
    <w:rsid w:val="00235258"/>
    <w:rsid w:val="00235357"/>
    <w:rsid w:val="00236482"/>
    <w:rsid w:val="0023654C"/>
    <w:rsid w:val="002365B1"/>
    <w:rsid w:val="002433F4"/>
    <w:rsid w:val="00251B31"/>
    <w:rsid w:val="00252A0D"/>
    <w:rsid w:val="0025632C"/>
    <w:rsid w:val="002564E0"/>
    <w:rsid w:val="00256760"/>
    <w:rsid w:val="00257862"/>
    <w:rsid w:val="00261587"/>
    <w:rsid w:val="00262495"/>
    <w:rsid w:val="00262D77"/>
    <w:rsid w:val="00265E87"/>
    <w:rsid w:val="002668E0"/>
    <w:rsid w:val="00267016"/>
    <w:rsid w:val="002675E8"/>
    <w:rsid w:val="00270088"/>
    <w:rsid w:val="002700E2"/>
    <w:rsid w:val="002747EA"/>
    <w:rsid w:val="002767D8"/>
    <w:rsid w:val="002807C9"/>
    <w:rsid w:val="0028104E"/>
    <w:rsid w:val="00282953"/>
    <w:rsid w:val="002844B8"/>
    <w:rsid w:val="00285091"/>
    <w:rsid w:val="002857E7"/>
    <w:rsid w:val="00286EF0"/>
    <w:rsid w:val="0028793E"/>
    <w:rsid w:val="00291406"/>
    <w:rsid w:val="00291801"/>
    <w:rsid w:val="002923EA"/>
    <w:rsid w:val="002928CD"/>
    <w:rsid w:val="00292A2F"/>
    <w:rsid w:val="00294848"/>
    <w:rsid w:val="00297275"/>
    <w:rsid w:val="002A1D95"/>
    <w:rsid w:val="002A1E51"/>
    <w:rsid w:val="002A41B9"/>
    <w:rsid w:val="002A4A04"/>
    <w:rsid w:val="002B251A"/>
    <w:rsid w:val="002B2E77"/>
    <w:rsid w:val="002B4BDA"/>
    <w:rsid w:val="002B6329"/>
    <w:rsid w:val="002B78AD"/>
    <w:rsid w:val="002B7EE8"/>
    <w:rsid w:val="002C4061"/>
    <w:rsid w:val="002C45DF"/>
    <w:rsid w:val="002C4BDB"/>
    <w:rsid w:val="002C4E0C"/>
    <w:rsid w:val="002C53DB"/>
    <w:rsid w:val="002C5E71"/>
    <w:rsid w:val="002C68FF"/>
    <w:rsid w:val="002C7CD1"/>
    <w:rsid w:val="002D4294"/>
    <w:rsid w:val="002D4BEE"/>
    <w:rsid w:val="002D4FBD"/>
    <w:rsid w:val="002E05F8"/>
    <w:rsid w:val="002E0910"/>
    <w:rsid w:val="002E0F35"/>
    <w:rsid w:val="002E1FB1"/>
    <w:rsid w:val="002E498E"/>
    <w:rsid w:val="002E6C7F"/>
    <w:rsid w:val="002F22BA"/>
    <w:rsid w:val="002F231B"/>
    <w:rsid w:val="002F78FC"/>
    <w:rsid w:val="003029AC"/>
    <w:rsid w:val="003048C0"/>
    <w:rsid w:val="003051F3"/>
    <w:rsid w:val="00306B72"/>
    <w:rsid w:val="00306DF9"/>
    <w:rsid w:val="003073CB"/>
    <w:rsid w:val="00307734"/>
    <w:rsid w:val="0031113C"/>
    <w:rsid w:val="0031292F"/>
    <w:rsid w:val="00313021"/>
    <w:rsid w:val="00313033"/>
    <w:rsid w:val="00313174"/>
    <w:rsid w:val="00314795"/>
    <w:rsid w:val="00315397"/>
    <w:rsid w:val="00320BD8"/>
    <w:rsid w:val="00321042"/>
    <w:rsid w:val="00321CF7"/>
    <w:rsid w:val="00322711"/>
    <w:rsid w:val="00324240"/>
    <w:rsid w:val="00324AAD"/>
    <w:rsid w:val="003262FA"/>
    <w:rsid w:val="003268EF"/>
    <w:rsid w:val="00330C86"/>
    <w:rsid w:val="00331586"/>
    <w:rsid w:val="0033350A"/>
    <w:rsid w:val="00335811"/>
    <w:rsid w:val="00335F22"/>
    <w:rsid w:val="0033663F"/>
    <w:rsid w:val="0034009F"/>
    <w:rsid w:val="00341728"/>
    <w:rsid w:val="00342538"/>
    <w:rsid w:val="003432F3"/>
    <w:rsid w:val="003451D3"/>
    <w:rsid w:val="00345E8E"/>
    <w:rsid w:val="00345EDC"/>
    <w:rsid w:val="00346608"/>
    <w:rsid w:val="00351301"/>
    <w:rsid w:val="00351C23"/>
    <w:rsid w:val="00352E93"/>
    <w:rsid w:val="0035441B"/>
    <w:rsid w:val="003568C9"/>
    <w:rsid w:val="00356B93"/>
    <w:rsid w:val="00357125"/>
    <w:rsid w:val="00357530"/>
    <w:rsid w:val="00357C74"/>
    <w:rsid w:val="00360A74"/>
    <w:rsid w:val="00360FE0"/>
    <w:rsid w:val="00362271"/>
    <w:rsid w:val="00363A52"/>
    <w:rsid w:val="0036442B"/>
    <w:rsid w:val="003646C9"/>
    <w:rsid w:val="00364A45"/>
    <w:rsid w:val="00364E5E"/>
    <w:rsid w:val="003674C1"/>
    <w:rsid w:val="00367539"/>
    <w:rsid w:val="00370F55"/>
    <w:rsid w:val="00372980"/>
    <w:rsid w:val="00372F7E"/>
    <w:rsid w:val="00377520"/>
    <w:rsid w:val="00380106"/>
    <w:rsid w:val="00380860"/>
    <w:rsid w:val="00382E3F"/>
    <w:rsid w:val="00382F78"/>
    <w:rsid w:val="003858F1"/>
    <w:rsid w:val="003870D6"/>
    <w:rsid w:val="00387811"/>
    <w:rsid w:val="003926C6"/>
    <w:rsid w:val="00392F42"/>
    <w:rsid w:val="00393D9B"/>
    <w:rsid w:val="00396461"/>
    <w:rsid w:val="003972A5"/>
    <w:rsid w:val="003977E3"/>
    <w:rsid w:val="003A02ED"/>
    <w:rsid w:val="003A06CB"/>
    <w:rsid w:val="003A0CEF"/>
    <w:rsid w:val="003A1E55"/>
    <w:rsid w:val="003A3B89"/>
    <w:rsid w:val="003A40C7"/>
    <w:rsid w:val="003A7A9F"/>
    <w:rsid w:val="003B1C3E"/>
    <w:rsid w:val="003B2CB7"/>
    <w:rsid w:val="003B52E1"/>
    <w:rsid w:val="003B593C"/>
    <w:rsid w:val="003B718A"/>
    <w:rsid w:val="003B7583"/>
    <w:rsid w:val="003C0E25"/>
    <w:rsid w:val="003C1017"/>
    <w:rsid w:val="003C181C"/>
    <w:rsid w:val="003C3441"/>
    <w:rsid w:val="003C41A3"/>
    <w:rsid w:val="003C7709"/>
    <w:rsid w:val="003D0A3F"/>
    <w:rsid w:val="003D0D28"/>
    <w:rsid w:val="003D1512"/>
    <w:rsid w:val="003D2B37"/>
    <w:rsid w:val="003D355E"/>
    <w:rsid w:val="003D57F0"/>
    <w:rsid w:val="003D5E31"/>
    <w:rsid w:val="003E01F0"/>
    <w:rsid w:val="003E198F"/>
    <w:rsid w:val="003E21F6"/>
    <w:rsid w:val="003E2AA6"/>
    <w:rsid w:val="003E48D7"/>
    <w:rsid w:val="003E4DA5"/>
    <w:rsid w:val="003E529C"/>
    <w:rsid w:val="003E570A"/>
    <w:rsid w:val="003E5D5E"/>
    <w:rsid w:val="003E6748"/>
    <w:rsid w:val="003E7B5E"/>
    <w:rsid w:val="003E7C7D"/>
    <w:rsid w:val="003F19A0"/>
    <w:rsid w:val="003F224D"/>
    <w:rsid w:val="003F5BC1"/>
    <w:rsid w:val="003F5C5C"/>
    <w:rsid w:val="003F7D27"/>
    <w:rsid w:val="00402C38"/>
    <w:rsid w:val="004033B6"/>
    <w:rsid w:val="00403EE4"/>
    <w:rsid w:val="00404B28"/>
    <w:rsid w:val="00404F92"/>
    <w:rsid w:val="00405D58"/>
    <w:rsid w:val="004077B7"/>
    <w:rsid w:val="004103D2"/>
    <w:rsid w:val="004119C0"/>
    <w:rsid w:val="00411BCF"/>
    <w:rsid w:val="00412220"/>
    <w:rsid w:val="004143A7"/>
    <w:rsid w:val="004162A3"/>
    <w:rsid w:val="0041670A"/>
    <w:rsid w:val="0042067C"/>
    <w:rsid w:val="004213CA"/>
    <w:rsid w:val="00422272"/>
    <w:rsid w:val="0042625B"/>
    <w:rsid w:val="00427F7B"/>
    <w:rsid w:val="004307A5"/>
    <w:rsid w:val="00433187"/>
    <w:rsid w:val="00433804"/>
    <w:rsid w:val="00433A01"/>
    <w:rsid w:val="0043491B"/>
    <w:rsid w:val="004357F2"/>
    <w:rsid w:val="0043673C"/>
    <w:rsid w:val="00436790"/>
    <w:rsid w:val="0043737F"/>
    <w:rsid w:val="00440CF0"/>
    <w:rsid w:val="00443D6D"/>
    <w:rsid w:val="00445660"/>
    <w:rsid w:val="00445D3E"/>
    <w:rsid w:val="0044779F"/>
    <w:rsid w:val="00452809"/>
    <w:rsid w:val="00453691"/>
    <w:rsid w:val="00454844"/>
    <w:rsid w:val="00454F9D"/>
    <w:rsid w:val="0045530E"/>
    <w:rsid w:val="00460A63"/>
    <w:rsid w:val="00462E81"/>
    <w:rsid w:val="00463067"/>
    <w:rsid w:val="0046397A"/>
    <w:rsid w:val="00464C0D"/>
    <w:rsid w:val="004660F8"/>
    <w:rsid w:val="004674DB"/>
    <w:rsid w:val="00471E1A"/>
    <w:rsid w:val="0047323D"/>
    <w:rsid w:val="0047435D"/>
    <w:rsid w:val="0047445C"/>
    <w:rsid w:val="00475E89"/>
    <w:rsid w:val="00480DC9"/>
    <w:rsid w:val="00481A74"/>
    <w:rsid w:val="004845A3"/>
    <w:rsid w:val="00484D83"/>
    <w:rsid w:val="004907A0"/>
    <w:rsid w:val="00491BE2"/>
    <w:rsid w:val="00492E53"/>
    <w:rsid w:val="004A2356"/>
    <w:rsid w:val="004A299B"/>
    <w:rsid w:val="004A2A26"/>
    <w:rsid w:val="004A32CD"/>
    <w:rsid w:val="004A3490"/>
    <w:rsid w:val="004A364A"/>
    <w:rsid w:val="004A3811"/>
    <w:rsid w:val="004A509A"/>
    <w:rsid w:val="004A6106"/>
    <w:rsid w:val="004A6C9F"/>
    <w:rsid w:val="004B0219"/>
    <w:rsid w:val="004B0E21"/>
    <w:rsid w:val="004B2515"/>
    <w:rsid w:val="004B4EF2"/>
    <w:rsid w:val="004B6A87"/>
    <w:rsid w:val="004B798B"/>
    <w:rsid w:val="004C13EE"/>
    <w:rsid w:val="004C3B43"/>
    <w:rsid w:val="004C7583"/>
    <w:rsid w:val="004D14DD"/>
    <w:rsid w:val="004D161C"/>
    <w:rsid w:val="004D29AD"/>
    <w:rsid w:val="004D2A0B"/>
    <w:rsid w:val="004D470E"/>
    <w:rsid w:val="004D57ED"/>
    <w:rsid w:val="004D588F"/>
    <w:rsid w:val="004D5FD6"/>
    <w:rsid w:val="004D7900"/>
    <w:rsid w:val="004D791C"/>
    <w:rsid w:val="004D7D31"/>
    <w:rsid w:val="004E3235"/>
    <w:rsid w:val="004E34DC"/>
    <w:rsid w:val="004E4E47"/>
    <w:rsid w:val="004E69B9"/>
    <w:rsid w:val="004F067A"/>
    <w:rsid w:val="004F1463"/>
    <w:rsid w:val="004F165C"/>
    <w:rsid w:val="004F46A2"/>
    <w:rsid w:val="004F4A81"/>
    <w:rsid w:val="004F4AC9"/>
    <w:rsid w:val="004F4CC7"/>
    <w:rsid w:val="004F5E2C"/>
    <w:rsid w:val="00500DD2"/>
    <w:rsid w:val="00500FAB"/>
    <w:rsid w:val="00502B0B"/>
    <w:rsid w:val="005042CD"/>
    <w:rsid w:val="00504B54"/>
    <w:rsid w:val="0050521B"/>
    <w:rsid w:val="005055DA"/>
    <w:rsid w:val="00505BB4"/>
    <w:rsid w:val="00505DE9"/>
    <w:rsid w:val="0050736A"/>
    <w:rsid w:val="005079EB"/>
    <w:rsid w:val="0051044B"/>
    <w:rsid w:val="005121E9"/>
    <w:rsid w:val="00514E8F"/>
    <w:rsid w:val="00515F38"/>
    <w:rsid w:val="005165C4"/>
    <w:rsid w:val="005166A7"/>
    <w:rsid w:val="005167BF"/>
    <w:rsid w:val="005178EB"/>
    <w:rsid w:val="00520863"/>
    <w:rsid w:val="00520FF5"/>
    <w:rsid w:val="00521A46"/>
    <w:rsid w:val="00522798"/>
    <w:rsid w:val="00532E78"/>
    <w:rsid w:val="005332B7"/>
    <w:rsid w:val="00535536"/>
    <w:rsid w:val="00535946"/>
    <w:rsid w:val="00535B0C"/>
    <w:rsid w:val="00535DDE"/>
    <w:rsid w:val="00537652"/>
    <w:rsid w:val="005377AF"/>
    <w:rsid w:val="0054266F"/>
    <w:rsid w:val="0054310A"/>
    <w:rsid w:val="00543D4F"/>
    <w:rsid w:val="00550C3B"/>
    <w:rsid w:val="005510AD"/>
    <w:rsid w:val="00552304"/>
    <w:rsid w:val="0055424C"/>
    <w:rsid w:val="00554A03"/>
    <w:rsid w:val="005621C2"/>
    <w:rsid w:val="00562C89"/>
    <w:rsid w:val="005652A7"/>
    <w:rsid w:val="0057116B"/>
    <w:rsid w:val="00571C38"/>
    <w:rsid w:val="00571E6E"/>
    <w:rsid w:val="00572B35"/>
    <w:rsid w:val="00572C6A"/>
    <w:rsid w:val="00574235"/>
    <w:rsid w:val="00577D10"/>
    <w:rsid w:val="00577F4B"/>
    <w:rsid w:val="005809E7"/>
    <w:rsid w:val="00580CCE"/>
    <w:rsid w:val="0058530A"/>
    <w:rsid w:val="00586036"/>
    <w:rsid w:val="00590322"/>
    <w:rsid w:val="00592556"/>
    <w:rsid w:val="005946C3"/>
    <w:rsid w:val="005950F7"/>
    <w:rsid w:val="0059703E"/>
    <w:rsid w:val="005A06A4"/>
    <w:rsid w:val="005A1E41"/>
    <w:rsid w:val="005A334A"/>
    <w:rsid w:val="005A3584"/>
    <w:rsid w:val="005A41A1"/>
    <w:rsid w:val="005A6B8D"/>
    <w:rsid w:val="005A7481"/>
    <w:rsid w:val="005B3D45"/>
    <w:rsid w:val="005B4D16"/>
    <w:rsid w:val="005B5F4D"/>
    <w:rsid w:val="005B6D0C"/>
    <w:rsid w:val="005B7CE9"/>
    <w:rsid w:val="005B7F20"/>
    <w:rsid w:val="005C0351"/>
    <w:rsid w:val="005C075D"/>
    <w:rsid w:val="005C207B"/>
    <w:rsid w:val="005C3362"/>
    <w:rsid w:val="005C70E1"/>
    <w:rsid w:val="005D00EC"/>
    <w:rsid w:val="005D0D23"/>
    <w:rsid w:val="005D31AC"/>
    <w:rsid w:val="005D3A8A"/>
    <w:rsid w:val="005D588B"/>
    <w:rsid w:val="005D5E64"/>
    <w:rsid w:val="005E0EB6"/>
    <w:rsid w:val="005E105E"/>
    <w:rsid w:val="005E2B78"/>
    <w:rsid w:val="005E2CC7"/>
    <w:rsid w:val="005E305B"/>
    <w:rsid w:val="005E3B2C"/>
    <w:rsid w:val="005E5531"/>
    <w:rsid w:val="005F218D"/>
    <w:rsid w:val="005F3816"/>
    <w:rsid w:val="005F6419"/>
    <w:rsid w:val="005F756F"/>
    <w:rsid w:val="005F7A51"/>
    <w:rsid w:val="00600400"/>
    <w:rsid w:val="006015E7"/>
    <w:rsid w:val="00602796"/>
    <w:rsid w:val="006045AB"/>
    <w:rsid w:val="00605EE5"/>
    <w:rsid w:val="00607274"/>
    <w:rsid w:val="00607345"/>
    <w:rsid w:val="00610BAE"/>
    <w:rsid w:val="0061117C"/>
    <w:rsid w:val="0061125A"/>
    <w:rsid w:val="0061137F"/>
    <w:rsid w:val="006169A3"/>
    <w:rsid w:val="0062125B"/>
    <w:rsid w:val="00621575"/>
    <w:rsid w:val="00621C1F"/>
    <w:rsid w:val="00622692"/>
    <w:rsid w:val="0062288F"/>
    <w:rsid w:val="006233AC"/>
    <w:rsid w:val="00623C98"/>
    <w:rsid w:val="00624B66"/>
    <w:rsid w:val="00624C44"/>
    <w:rsid w:val="00626349"/>
    <w:rsid w:val="00630941"/>
    <w:rsid w:val="00631311"/>
    <w:rsid w:val="00634C9A"/>
    <w:rsid w:val="00641C7D"/>
    <w:rsid w:val="00641D8A"/>
    <w:rsid w:val="006467E2"/>
    <w:rsid w:val="00647B90"/>
    <w:rsid w:val="00651D7D"/>
    <w:rsid w:val="0065387A"/>
    <w:rsid w:val="0065430C"/>
    <w:rsid w:val="00654E94"/>
    <w:rsid w:val="006568F7"/>
    <w:rsid w:val="00656ABA"/>
    <w:rsid w:val="00660283"/>
    <w:rsid w:val="0066059C"/>
    <w:rsid w:val="0066154D"/>
    <w:rsid w:val="006615A2"/>
    <w:rsid w:val="00661FE8"/>
    <w:rsid w:val="00662E62"/>
    <w:rsid w:val="00663420"/>
    <w:rsid w:val="00663CCF"/>
    <w:rsid w:val="00663D1D"/>
    <w:rsid w:val="006647B9"/>
    <w:rsid w:val="00665765"/>
    <w:rsid w:val="00665A69"/>
    <w:rsid w:val="0066619B"/>
    <w:rsid w:val="0067136B"/>
    <w:rsid w:val="00671550"/>
    <w:rsid w:val="00673363"/>
    <w:rsid w:val="00675675"/>
    <w:rsid w:val="00675687"/>
    <w:rsid w:val="0067761A"/>
    <w:rsid w:val="00677E08"/>
    <w:rsid w:val="00677E62"/>
    <w:rsid w:val="00681F5B"/>
    <w:rsid w:val="00682FB6"/>
    <w:rsid w:val="006860C0"/>
    <w:rsid w:val="00686CF1"/>
    <w:rsid w:val="00687808"/>
    <w:rsid w:val="00687C3C"/>
    <w:rsid w:val="00691510"/>
    <w:rsid w:val="00693928"/>
    <w:rsid w:val="00694A72"/>
    <w:rsid w:val="006960BD"/>
    <w:rsid w:val="006968C2"/>
    <w:rsid w:val="00697E42"/>
    <w:rsid w:val="006A0258"/>
    <w:rsid w:val="006A3E3E"/>
    <w:rsid w:val="006A4C35"/>
    <w:rsid w:val="006A4D82"/>
    <w:rsid w:val="006A5AE0"/>
    <w:rsid w:val="006A68D8"/>
    <w:rsid w:val="006A6E0C"/>
    <w:rsid w:val="006B19EE"/>
    <w:rsid w:val="006B212B"/>
    <w:rsid w:val="006B21AE"/>
    <w:rsid w:val="006B43D4"/>
    <w:rsid w:val="006B506A"/>
    <w:rsid w:val="006B59C7"/>
    <w:rsid w:val="006B6D1F"/>
    <w:rsid w:val="006B7860"/>
    <w:rsid w:val="006C15EF"/>
    <w:rsid w:val="006C23F6"/>
    <w:rsid w:val="006C31C0"/>
    <w:rsid w:val="006D0730"/>
    <w:rsid w:val="006D3D38"/>
    <w:rsid w:val="006D6057"/>
    <w:rsid w:val="006D6791"/>
    <w:rsid w:val="006D6C76"/>
    <w:rsid w:val="006E10FA"/>
    <w:rsid w:val="006E1DBA"/>
    <w:rsid w:val="006E318D"/>
    <w:rsid w:val="006E3ED5"/>
    <w:rsid w:val="006E5A96"/>
    <w:rsid w:val="006E71A3"/>
    <w:rsid w:val="006F2424"/>
    <w:rsid w:val="006F46AA"/>
    <w:rsid w:val="006F631E"/>
    <w:rsid w:val="006F6CA5"/>
    <w:rsid w:val="00700E02"/>
    <w:rsid w:val="00700FAE"/>
    <w:rsid w:val="00700FC7"/>
    <w:rsid w:val="00701B39"/>
    <w:rsid w:val="00702BE3"/>
    <w:rsid w:val="007036A2"/>
    <w:rsid w:val="00705801"/>
    <w:rsid w:val="007067FA"/>
    <w:rsid w:val="0070748F"/>
    <w:rsid w:val="00710A99"/>
    <w:rsid w:val="007118DA"/>
    <w:rsid w:val="00711A1D"/>
    <w:rsid w:val="00712C33"/>
    <w:rsid w:val="00717BC3"/>
    <w:rsid w:val="00720010"/>
    <w:rsid w:val="007248A6"/>
    <w:rsid w:val="00724A5E"/>
    <w:rsid w:val="00724C2E"/>
    <w:rsid w:val="00725268"/>
    <w:rsid w:val="00725A35"/>
    <w:rsid w:val="00726912"/>
    <w:rsid w:val="00726B8A"/>
    <w:rsid w:val="00730E58"/>
    <w:rsid w:val="007325F7"/>
    <w:rsid w:val="0073342D"/>
    <w:rsid w:val="0073454E"/>
    <w:rsid w:val="00741E34"/>
    <w:rsid w:val="0074223C"/>
    <w:rsid w:val="007425A6"/>
    <w:rsid w:val="007442F3"/>
    <w:rsid w:val="007448EC"/>
    <w:rsid w:val="007449E9"/>
    <w:rsid w:val="00744C4C"/>
    <w:rsid w:val="00747B23"/>
    <w:rsid w:val="00750F89"/>
    <w:rsid w:val="00752244"/>
    <w:rsid w:val="00753B13"/>
    <w:rsid w:val="00754ADA"/>
    <w:rsid w:val="00756388"/>
    <w:rsid w:val="007570DB"/>
    <w:rsid w:val="0075716C"/>
    <w:rsid w:val="00757C66"/>
    <w:rsid w:val="0076097F"/>
    <w:rsid w:val="00761D8F"/>
    <w:rsid w:val="00761F54"/>
    <w:rsid w:val="00764B54"/>
    <w:rsid w:val="00764BC3"/>
    <w:rsid w:val="00771086"/>
    <w:rsid w:val="00772721"/>
    <w:rsid w:val="00772B12"/>
    <w:rsid w:val="00775B94"/>
    <w:rsid w:val="00775F33"/>
    <w:rsid w:val="007779DE"/>
    <w:rsid w:val="00780518"/>
    <w:rsid w:val="00782227"/>
    <w:rsid w:val="0078247C"/>
    <w:rsid w:val="00782FB8"/>
    <w:rsid w:val="00783638"/>
    <w:rsid w:val="007839E6"/>
    <w:rsid w:val="00785A02"/>
    <w:rsid w:val="00787CD7"/>
    <w:rsid w:val="00790484"/>
    <w:rsid w:val="00790B60"/>
    <w:rsid w:val="007910E6"/>
    <w:rsid w:val="00791750"/>
    <w:rsid w:val="0079378A"/>
    <w:rsid w:val="007A702D"/>
    <w:rsid w:val="007B0E55"/>
    <w:rsid w:val="007B24C4"/>
    <w:rsid w:val="007B2C6D"/>
    <w:rsid w:val="007B43C6"/>
    <w:rsid w:val="007B4796"/>
    <w:rsid w:val="007B4D86"/>
    <w:rsid w:val="007B5532"/>
    <w:rsid w:val="007B66F1"/>
    <w:rsid w:val="007C03DF"/>
    <w:rsid w:val="007C1381"/>
    <w:rsid w:val="007C302D"/>
    <w:rsid w:val="007C3966"/>
    <w:rsid w:val="007C3AB9"/>
    <w:rsid w:val="007C424C"/>
    <w:rsid w:val="007C7683"/>
    <w:rsid w:val="007D104A"/>
    <w:rsid w:val="007D2BC2"/>
    <w:rsid w:val="007D37AB"/>
    <w:rsid w:val="007D382F"/>
    <w:rsid w:val="007D3F35"/>
    <w:rsid w:val="007D48A1"/>
    <w:rsid w:val="007D4C60"/>
    <w:rsid w:val="007D59A5"/>
    <w:rsid w:val="007D7860"/>
    <w:rsid w:val="007E06F8"/>
    <w:rsid w:val="007E1907"/>
    <w:rsid w:val="007E1F46"/>
    <w:rsid w:val="007E3842"/>
    <w:rsid w:val="007E43DA"/>
    <w:rsid w:val="007E46DE"/>
    <w:rsid w:val="007E48E2"/>
    <w:rsid w:val="007E4B4D"/>
    <w:rsid w:val="007E6DA3"/>
    <w:rsid w:val="007E7EDC"/>
    <w:rsid w:val="007F069D"/>
    <w:rsid w:val="007F3427"/>
    <w:rsid w:val="007F3AFA"/>
    <w:rsid w:val="007F5005"/>
    <w:rsid w:val="007F79BC"/>
    <w:rsid w:val="00800EDD"/>
    <w:rsid w:val="008011EF"/>
    <w:rsid w:val="0080404C"/>
    <w:rsid w:val="00805D96"/>
    <w:rsid w:val="008068A3"/>
    <w:rsid w:val="00806A2F"/>
    <w:rsid w:val="00807595"/>
    <w:rsid w:val="00810280"/>
    <w:rsid w:val="0081466E"/>
    <w:rsid w:val="00814E79"/>
    <w:rsid w:val="008162A9"/>
    <w:rsid w:val="00816C5F"/>
    <w:rsid w:val="008220E2"/>
    <w:rsid w:val="00823059"/>
    <w:rsid w:val="00823235"/>
    <w:rsid w:val="008235FB"/>
    <w:rsid w:val="00825C99"/>
    <w:rsid w:val="0082644E"/>
    <w:rsid w:val="008276DA"/>
    <w:rsid w:val="00831B5C"/>
    <w:rsid w:val="008323DD"/>
    <w:rsid w:val="00834923"/>
    <w:rsid w:val="00835962"/>
    <w:rsid w:val="008373AE"/>
    <w:rsid w:val="00837F34"/>
    <w:rsid w:val="008404B0"/>
    <w:rsid w:val="008425F6"/>
    <w:rsid w:val="008436C5"/>
    <w:rsid w:val="0084472E"/>
    <w:rsid w:val="008449EA"/>
    <w:rsid w:val="00851355"/>
    <w:rsid w:val="008516D7"/>
    <w:rsid w:val="00851EE7"/>
    <w:rsid w:val="008526DF"/>
    <w:rsid w:val="00852FF4"/>
    <w:rsid w:val="00856191"/>
    <w:rsid w:val="00856BD8"/>
    <w:rsid w:val="0086015E"/>
    <w:rsid w:val="00860312"/>
    <w:rsid w:val="00862B8C"/>
    <w:rsid w:val="008631DA"/>
    <w:rsid w:val="0086333E"/>
    <w:rsid w:val="0086715D"/>
    <w:rsid w:val="00867437"/>
    <w:rsid w:val="00871BBD"/>
    <w:rsid w:val="008723E1"/>
    <w:rsid w:val="00876154"/>
    <w:rsid w:val="008768B3"/>
    <w:rsid w:val="008774B4"/>
    <w:rsid w:val="008778E5"/>
    <w:rsid w:val="00880639"/>
    <w:rsid w:val="008821B3"/>
    <w:rsid w:val="00883817"/>
    <w:rsid w:val="00885187"/>
    <w:rsid w:val="008855F1"/>
    <w:rsid w:val="00886323"/>
    <w:rsid w:val="00887DF7"/>
    <w:rsid w:val="0089041A"/>
    <w:rsid w:val="0089186C"/>
    <w:rsid w:val="00893E53"/>
    <w:rsid w:val="00893F6A"/>
    <w:rsid w:val="00896617"/>
    <w:rsid w:val="008A1650"/>
    <w:rsid w:val="008A274A"/>
    <w:rsid w:val="008A3ED5"/>
    <w:rsid w:val="008A51A7"/>
    <w:rsid w:val="008A5874"/>
    <w:rsid w:val="008A599D"/>
    <w:rsid w:val="008A64C5"/>
    <w:rsid w:val="008A6B60"/>
    <w:rsid w:val="008A7A83"/>
    <w:rsid w:val="008A7EAA"/>
    <w:rsid w:val="008B1594"/>
    <w:rsid w:val="008B6B5F"/>
    <w:rsid w:val="008C093D"/>
    <w:rsid w:val="008C2D0D"/>
    <w:rsid w:val="008C3E6E"/>
    <w:rsid w:val="008C44CB"/>
    <w:rsid w:val="008D006D"/>
    <w:rsid w:val="008D0215"/>
    <w:rsid w:val="008D03AC"/>
    <w:rsid w:val="008D0F5A"/>
    <w:rsid w:val="008D32AF"/>
    <w:rsid w:val="008D3636"/>
    <w:rsid w:val="008D41F3"/>
    <w:rsid w:val="008D6653"/>
    <w:rsid w:val="008D764A"/>
    <w:rsid w:val="008E1320"/>
    <w:rsid w:val="008E259F"/>
    <w:rsid w:val="008E438F"/>
    <w:rsid w:val="008E439D"/>
    <w:rsid w:val="008E4945"/>
    <w:rsid w:val="008E51D6"/>
    <w:rsid w:val="008E56ED"/>
    <w:rsid w:val="008E6AB5"/>
    <w:rsid w:val="008E71FC"/>
    <w:rsid w:val="008E7AE4"/>
    <w:rsid w:val="008E7B74"/>
    <w:rsid w:val="008F0008"/>
    <w:rsid w:val="008F04DE"/>
    <w:rsid w:val="008F26B0"/>
    <w:rsid w:val="008F3E9D"/>
    <w:rsid w:val="008F42B9"/>
    <w:rsid w:val="008F42DE"/>
    <w:rsid w:val="008F5F1C"/>
    <w:rsid w:val="009000F8"/>
    <w:rsid w:val="00900208"/>
    <w:rsid w:val="0090073C"/>
    <w:rsid w:val="009019D1"/>
    <w:rsid w:val="00902B27"/>
    <w:rsid w:val="00903469"/>
    <w:rsid w:val="00903C56"/>
    <w:rsid w:val="00905EA6"/>
    <w:rsid w:val="009068FC"/>
    <w:rsid w:val="009070A7"/>
    <w:rsid w:val="00907998"/>
    <w:rsid w:val="009118E3"/>
    <w:rsid w:val="00914390"/>
    <w:rsid w:val="00914A52"/>
    <w:rsid w:val="0092186F"/>
    <w:rsid w:val="009218F5"/>
    <w:rsid w:val="009240F9"/>
    <w:rsid w:val="00926450"/>
    <w:rsid w:val="009316C0"/>
    <w:rsid w:val="0093458E"/>
    <w:rsid w:val="00934AF4"/>
    <w:rsid w:val="00935D23"/>
    <w:rsid w:val="00937AEE"/>
    <w:rsid w:val="00940D5D"/>
    <w:rsid w:val="00942A64"/>
    <w:rsid w:val="00942E14"/>
    <w:rsid w:val="00942E80"/>
    <w:rsid w:val="0094609E"/>
    <w:rsid w:val="009462D4"/>
    <w:rsid w:val="0094702C"/>
    <w:rsid w:val="009479A8"/>
    <w:rsid w:val="00950F70"/>
    <w:rsid w:val="00951DA8"/>
    <w:rsid w:val="00951F30"/>
    <w:rsid w:val="0095339B"/>
    <w:rsid w:val="00955DED"/>
    <w:rsid w:val="00956D68"/>
    <w:rsid w:val="00957EFA"/>
    <w:rsid w:val="00960F35"/>
    <w:rsid w:val="00962CD6"/>
    <w:rsid w:val="00963402"/>
    <w:rsid w:val="009641F5"/>
    <w:rsid w:val="009642C7"/>
    <w:rsid w:val="00964C14"/>
    <w:rsid w:val="00965853"/>
    <w:rsid w:val="009664CF"/>
    <w:rsid w:val="00976ECD"/>
    <w:rsid w:val="009778F5"/>
    <w:rsid w:val="00980661"/>
    <w:rsid w:val="0098118F"/>
    <w:rsid w:val="00984EF2"/>
    <w:rsid w:val="009856E1"/>
    <w:rsid w:val="00985CD8"/>
    <w:rsid w:val="0098652B"/>
    <w:rsid w:val="009870C0"/>
    <w:rsid w:val="0098725C"/>
    <w:rsid w:val="00987F5D"/>
    <w:rsid w:val="009903B9"/>
    <w:rsid w:val="00992024"/>
    <w:rsid w:val="00993349"/>
    <w:rsid w:val="009A0A60"/>
    <w:rsid w:val="009A23C5"/>
    <w:rsid w:val="009A5E91"/>
    <w:rsid w:val="009A6CF8"/>
    <w:rsid w:val="009B0101"/>
    <w:rsid w:val="009B1F03"/>
    <w:rsid w:val="009B5283"/>
    <w:rsid w:val="009B7F04"/>
    <w:rsid w:val="009C0038"/>
    <w:rsid w:val="009C173A"/>
    <w:rsid w:val="009C2B19"/>
    <w:rsid w:val="009C4DB5"/>
    <w:rsid w:val="009C798C"/>
    <w:rsid w:val="009C7C8A"/>
    <w:rsid w:val="009D0295"/>
    <w:rsid w:val="009D1733"/>
    <w:rsid w:val="009D19AF"/>
    <w:rsid w:val="009D31DF"/>
    <w:rsid w:val="009D5660"/>
    <w:rsid w:val="009D5F8B"/>
    <w:rsid w:val="009E0258"/>
    <w:rsid w:val="009E2590"/>
    <w:rsid w:val="009E38D7"/>
    <w:rsid w:val="009E3C67"/>
    <w:rsid w:val="009E5CCA"/>
    <w:rsid w:val="009E5EE2"/>
    <w:rsid w:val="009F45CA"/>
    <w:rsid w:val="009F4683"/>
    <w:rsid w:val="009F6896"/>
    <w:rsid w:val="009F6990"/>
    <w:rsid w:val="009F705C"/>
    <w:rsid w:val="009F7492"/>
    <w:rsid w:val="009F772A"/>
    <w:rsid w:val="009F7C27"/>
    <w:rsid w:val="00A0067B"/>
    <w:rsid w:val="00A015DD"/>
    <w:rsid w:val="00A05357"/>
    <w:rsid w:val="00A05B9B"/>
    <w:rsid w:val="00A0623A"/>
    <w:rsid w:val="00A07E0D"/>
    <w:rsid w:val="00A128F0"/>
    <w:rsid w:val="00A129A9"/>
    <w:rsid w:val="00A13984"/>
    <w:rsid w:val="00A14D43"/>
    <w:rsid w:val="00A151A2"/>
    <w:rsid w:val="00A151AA"/>
    <w:rsid w:val="00A15D8A"/>
    <w:rsid w:val="00A163D8"/>
    <w:rsid w:val="00A16532"/>
    <w:rsid w:val="00A200A6"/>
    <w:rsid w:val="00A20C14"/>
    <w:rsid w:val="00A2394C"/>
    <w:rsid w:val="00A27C5A"/>
    <w:rsid w:val="00A309F8"/>
    <w:rsid w:val="00A324B5"/>
    <w:rsid w:val="00A33F5B"/>
    <w:rsid w:val="00A3409A"/>
    <w:rsid w:val="00A34F1B"/>
    <w:rsid w:val="00A34F62"/>
    <w:rsid w:val="00A3511F"/>
    <w:rsid w:val="00A36802"/>
    <w:rsid w:val="00A36C1B"/>
    <w:rsid w:val="00A400BF"/>
    <w:rsid w:val="00A439FA"/>
    <w:rsid w:val="00A46B7E"/>
    <w:rsid w:val="00A47E2E"/>
    <w:rsid w:val="00A51453"/>
    <w:rsid w:val="00A53F67"/>
    <w:rsid w:val="00A550D8"/>
    <w:rsid w:val="00A556F9"/>
    <w:rsid w:val="00A60457"/>
    <w:rsid w:val="00A6148B"/>
    <w:rsid w:val="00A61BF4"/>
    <w:rsid w:val="00A61D9B"/>
    <w:rsid w:val="00A63A7A"/>
    <w:rsid w:val="00A6485A"/>
    <w:rsid w:val="00A65325"/>
    <w:rsid w:val="00A70827"/>
    <w:rsid w:val="00A70DDC"/>
    <w:rsid w:val="00A7102A"/>
    <w:rsid w:val="00A7443A"/>
    <w:rsid w:val="00A75A43"/>
    <w:rsid w:val="00A77438"/>
    <w:rsid w:val="00A804B9"/>
    <w:rsid w:val="00A81148"/>
    <w:rsid w:val="00A8239A"/>
    <w:rsid w:val="00A86093"/>
    <w:rsid w:val="00A863F2"/>
    <w:rsid w:val="00A86D8A"/>
    <w:rsid w:val="00A930EC"/>
    <w:rsid w:val="00A93195"/>
    <w:rsid w:val="00A9408E"/>
    <w:rsid w:val="00A94604"/>
    <w:rsid w:val="00A94CD2"/>
    <w:rsid w:val="00A955A2"/>
    <w:rsid w:val="00A97550"/>
    <w:rsid w:val="00AA6B6B"/>
    <w:rsid w:val="00AA6CA4"/>
    <w:rsid w:val="00AB1A20"/>
    <w:rsid w:val="00AB20D2"/>
    <w:rsid w:val="00AB2CEE"/>
    <w:rsid w:val="00AB336E"/>
    <w:rsid w:val="00AB412F"/>
    <w:rsid w:val="00AB46AC"/>
    <w:rsid w:val="00AB6EC7"/>
    <w:rsid w:val="00AB7064"/>
    <w:rsid w:val="00AB7B8B"/>
    <w:rsid w:val="00AC1A5A"/>
    <w:rsid w:val="00AC2139"/>
    <w:rsid w:val="00AC3014"/>
    <w:rsid w:val="00AC35C2"/>
    <w:rsid w:val="00AC395B"/>
    <w:rsid w:val="00AC42BF"/>
    <w:rsid w:val="00AC5716"/>
    <w:rsid w:val="00AC584B"/>
    <w:rsid w:val="00AC5BDE"/>
    <w:rsid w:val="00AC65CF"/>
    <w:rsid w:val="00AC6DE8"/>
    <w:rsid w:val="00AC71B1"/>
    <w:rsid w:val="00AD0A0D"/>
    <w:rsid w:val="00AD173C"/>
    <w:rsid w:val="00AE0BAA"/>
    <w:rsid w:val="00AE0EF3"/>
    <w:rsid w:val="00AE15DD"/>
    <w:rsid w:val="00AE275B"/>
    <w:rsid w:val="00AE48EE"/>
    <w:rsid w:val="00AE4943"/>
    <w:rsid w:val="00AE49AD"/>
    <w:rsid w:val="00AE59CE"/>
    <w:rsid w:val="00AF1961"/>
    <w:rsid w:val="00AF3C05"/>
    <w:rsid w:val="00AF6A29"/>
    <w:rsid w:val="00AF74F8"/>
    <w:rsid w:val="00B00EEC"/>
    <w:rsid w:val="00B014B9"/>
    <w:rsid w:val="00B018A2"/>
    <w:rsid w:val="00B027B4"/>
    <w:rsid w:val="00B03CEB"/>
    <w:rsid w:val="00B04AAF"/>
    <w:rsid w:val="00B05D4C"/>
    <w:rsid w:val="00B06494"/>
    <w:rsid w:val="00B12876"/>
    <w:rsid w:val="00B12C55"/>
    <w:rsid w:val="00B13E74"/>
    <w:rsid w:val="00B13F8F"/>
    <w:rsid w:val="00B1456D"/>
    <w:rsid w:val="00B146E3"/>
    <w:rsid w:val="00B14C7B"/>
    <w:rsid w:val="00B17026"/>
    <w:rsid w:val="00B17AA3"/>
    <w:rsid w:val="00B17EAD"/>
    <w:rsid w:val="00B20F34"/>
    <w:rsid w:val="00B211EA"/>
    <w:rsid w:val="00B215A2"/>
    <w:rsid w:val="00B21AFF"/>
    <w:rsid w:val="00B24E42"/>
    <w:rsid w:val="00B265A3"/>
    <w:rsid w:val="00B27476"/>
    <w:rsid w:val="00B311F1"/>
    <w:rsid w:val="00B31822"/>
    <w:rsid w:val="00B32A0A"/>
    <w:rsid w:val="00B33073"/>
    <w:rsid w:val="00B357AB"/>
    <w:rsid w:val="00B377B6"/>
    <w:rsid w:val="00B412E6"/>
    <w:rsid w:val="00B43390"/>
    <w:rsid w:val="00B4642D"/>
    <w:rsid w:val="00B4663E"/>
    <w:rsid w:val="00B46E38"/>
    <w:rsid w:val="00B47591"/>
    <w:rsid w:val="00B47CCF"/>
    <w:rsid w:val="00B53C8D"/>
    <w:rsid w:val="00B5401E"/>
    <w:rsid w:val="00B56939"/>
    <w:rsid w:val="00B576BE"/>
    <w:rsid w:val="00B57C16"/>
    <w:rsid w:val="00B62B3C"/>
    <w:rsid w:val="00B63A2F"/>
    <w:rsid w:val="00B66161"/>
    <w:rsid w:val="00B674BD"/>
    <w:rsid w:val="00B675D1"/>
    <w:rsid w:val="00B72A59"/>
    <w:rsid w:val="00B7472E"/>
    <w:rsid w:val="00B75B12"/>
    <w:rsid w:val="00B75D9D"/>
    <w:rsid w:val="00B76061"/>
    <w:rsid w:val="00B76208"/>
    <w:rsid w:val="00B77086"/>
    <w:rsid w:val="00B81BE2"/>
    <w:rsid w:val="00B8734F"/>
    <w:rsid w:val="00B8741A"/>
    <w:rsid w:val="00B87A46"/>
    <w:rsid w:val="00B90F36"/>
    <w:rsid w:val="00B91A9D"/>
    <w:rsid w:val="00B922B4"/>
    <w:rsid w:val="00B92B23"/>
    <w:rsid w:val="00B93F7A"/>
    <w:rsid w:val="00B9710C"/>
    <w:rsid w:val="00B97DF7"/>
    <w:rsid w:val="00BA078D"/>
    <w:rsid w:val="00BA3512"/>
    <w:rsid w:val="00BA6835"/>
    <w:rsid w:val="00BA7225"/>
    <w:rsid w:val="00BB06BB"/>
    <w:rsid w:val="00BB09CE"/>
    <w:rsid w:val="00BB2A8B"/>
    <w:rsid w:val="00BB434D"/>
    <w:rsid w:val="00BB4F1C"/>
    <w:rsid w:val="00BB5154"/>
    <w:rsid w:val="00BB6DDF"/>
    <w:rsid w:val="00BB75DF"/>
    <w:rsid w:val="00BC4F84"/>
    <w:rsid w:val="00BC57C9"/>
    <w:rsid w:val="00BD2608"/>
    <w:rsid w:val="00BD2ED5"/>
    <w:rsid w:val="00BD31A1"/>
    <w:rsid w:val="00BD32EC"/>
    <w:rsid w:val="00BD7851"/>
    <w:rsid w:val="00BE08E8"/>
    <w:rsid w:val="00BE0E31"/>
    <w:rsid w:val="00BE1E28"/>
    <w:rsid w:val="00BE2C73"/>
    <w:rsid w:val="00BE3C01"/>
    <w:rsid w:val="00BE78CE"/>
    <w:rsid w:val="00BE7DF4"/>
    <w:rsid w:val="00BF01F9"/>
    <w:rsid w:val="00BF0401"/>
    <w:rsid w:val="00BF1B4A"/>
    <w:rsid w:val="00BF2BC9"/>
    <w:rsid w:val="00BF326D"/>
    <w:rsid w:val="00BF4B51"/>
    <w:rsid w:val="00BF4B61"/>
    <w:rsid w:val="00BF6342"/>
    <w:rsid w:val="00BF6CE3"/>
    <w:rsid w:val="00C00FD6"/>
    <w:rsid w:val="00C04464"/>
    <w:rsid w:val="00C05091"/>
    <w:rsid w:val="00C05E72"/>
    <w:rsid w:val="00C076E1"/>
    <w:rsid w:val="00C13950"/>
    <w:rsid w:val="00C13C76"/>
    <w:rsid w:val="00C14C3C"/>
    <w:rsid w:val="00C15E3C"/>
    <w:rsid w:val="00C16C8B"/>
    <w:rsid w:val="00C17536"/>
    <w:rsid w:val="00C2004E"/>
    <w:rsid w:val="00C224F6"/>
    <w:rsid w:val="00C22FDB"/>
    <w:rsid w:val="00C23D0D"/>
    <w:rsid w:val="00C25180"/>
    <w:rsid w:val="00C27C90"/>
    <w:rsid w:val="00C3003C"/>
    <w:rsid w:val="00C30A68"/>
    <w:rsid w:val="00C36696"/>
    <w:rsid w:val="00C36735"/>
    <w:rsid w:val="00C368C4"/>
    <w:rsid w:val="00C372D3"/>
    <w:rsid w:val="00C37984"/>
    <w:rsid w:val="00C42029"/>
    <w:rsid w:val="00C437BB"/>
    <w:rsid w:val="00C43DDC"/>
    <w:rsid w:val="00C46AE2"/>
    <w:rsid w:val="00C5028A"/>
    <w:rsid w:val="00C60949"/>
    <w:rsid w:val="00C61D51"/>
    <w:rsid w:val="00C61FE3"/>
    <w:rsid w:val="00C624DE"/>
    <w:rsid w:val="00C62853"/>
    <w:rsid w:val="00C64B01"/>
    <w:rsid w:val="00C64BF2"/>
    <w:rsid w:val="00C67FA0"/>
    <w:rsid w:val="00C70818"/>
    <w:rsid w:val="00C733FD"/>
    <w:rsid w:val="00C736A8"/>
    <w:rsid w:val="00C73BCE"/>
    <w:rsid w:val="00C73D25"/>
    <w:rsid w:val="00C74D2A"/>
    <w:rsid w:val="00C81ECF"/>
    <w:rsid w:val="00C82159"/>
    <w:rsid w:val="00C83314"/>
    <w:rsid w:val="00C84F8E"/>
    <w:rsid w:val="00C90882"/>
    <w:rsid w:val="00C9305E"/>
    <w:rsid w:val="00C93321"/>
    <w:rsid w:val="00C9525E"/>
    <w:rsid w:val="00C956E7"/>
    <w:rsid w:val="00C96FE7"/>
    <w:rsid w:val="00CA1810"/>
    <w:rsid w:val="00CA3987"/>
    <w:rsid w:val="00CA3E95"/>
    <w:rsid w:val="00CA4CBA"/>
    <w:rsid w:val="00CA5E49"/>
    <w:rsid w:val="00CA7911"/>
    <w:rsid w:val="00CA7B67"/>
    <w:rsid w:val="00CB006E"/>
    <w:rsid w:val="00CB072B"/>
    <w:rsid w:val="00CB0A2A"/>
    <w:rsid w:val="00CB12E1"/>
    <w:rsid w:val="00CB184D"/>
    <w:rsid w:val="00CB2E11"/>
    <w:rsid w:val="00CB36A8"/>
    <w:rsid w:val="00CB5AF8"/>
    <w:rsid w:val="00CB6BFF"/>
    <w:rsid w:val="00CB7AD6"/>
    <w:rsid w:val="00CC030A"/>
    <w:rsid w:val="00CC5116"/>
    <w:rsid w:val="00CC5CC0"/>
    <w:rsid w:val="00CC6AD3"/>
    <w:rsid w:val="00CC752D"/>
    <w:rsid w:val="00CD403E"/>
    <w:rsid w:val="00CD41FA"/>
    <w:rsid w:val="00CD533E"/>
    <w:rsid w:val="00CD57F5"/>
    <w:rsid w:val="00CD6B1E"/>
    <w:rsid w:val="00CD6D07"/>
    <w:rsid w:val="00CE31B5"/>
    <w:rsid w:val="00CE389D"/>
    <w:rsid w:val="00CE3DC9"/>
    <w:rsid w:val="00CE44A4"/>
    <w:rsid w:val="00CE56AB"/>
    <w:rsid w:val="00CE5B99"/>
    <w:rsid w:val="00CE622A"/>
    <w:rsid w:val="00CE6E23"/>
    <w:rsid w:val="00CE76BF"/>
    <w:rsid w:val="00CE7D13"/>
    <w:rsid w:val="00CE7EBE"/>
    <w:rsid w:val="00D00A53"/>
    <w:rsid w:val="00D00B21"/>
    <w:rsid w:val="00D04760"/>
    <w:rsid w:val="00D050EC"/>
    <w:rsid w:val="00D0513C"/>
    <w:rsid w:val="00D077C6"/>
    <w:rsid w:val="00D10118"/>
    <w:rsid w:val="00D11205"/>
    <w:rsid w:val="00D1561F"/>
    <w:rsid w:val="00D166D8"/>
    <w:rsid w:val="00D2057F"/>
    <w:rsid w:val="00D206F8"/>
    <w:rsid w:val="00D216A3"/>
    <w:rsid w:val="00D222BE"/>
    <w:rsid w:val="00D2249B"/>
    <w:rsid w:val="00D22D9D"/>
    <w:rsid w:val="00D22EBD"/>
    <w:rsid w:val="00D23811"/>
    <w:rsid w:val="00D2428D"/>
    <w:rsid w:val="00D24D78"/>
    <w:rsid w:val="00D253FC"/>
    <w:rsid w:val="00D27B8A"/>
    <w:rsid w:val="00D31E10"/>
    <w:rsid w:val="00D346BE"/>
    <w:rsid w:val="00D35979"/>
    <w:rsid w:val="00D3677C"/>
    <w:rsid w:val="00D36F3C"/>
    <w:rsid w:val="00D37FA5"/>
    <w:rsid w:val="00D4119E"/>
    <w:rsid w:val="00D411E9"/>
    <w:rsid w:val="00D41A68"/>
    <w:rsid w:val="00D42ACB"/>
    <w:rsid w:val="00D43175"/>
    <w:rsid w:val="00D452EE"/>
    <w:rsid w:val="00D51FA7"/>
    <w:rsid w:val="00D52680"/>
    <w:rsid w:val="00D528C3"/>
    <w:rsid w:val="00D53059"/>
    <w:rsid w:val="00D5347A"/>
    <w:rsid w:val="00D55240"/>
    <w:rsid w:val="00D60347"/>
    <w:rsid w:val="00D62708"/>
    <w:rsid w:val="00D63B36"/>
    <w:rsid w:val="00D65116"/>
    <w:rsid w:val="00D667F5"/>
    <w:rsid w:val="00D67735"/>
    <w:rsid w:val="00D709BD"/>
    <w:rsid w:val="00D710A9"/>
    <w:rsid w:val="00D71B1C"/>
    <w:rsid w:val="00D754CE"/>
    <w:rsid w:val="00D75D82"/>
    <w:rsid w:val="00D76053"/>
    <w:rsid w:val="00D77DB6"/>
    <w:rsid w:val="00D8005E"/>
    <w:rsid w:val="00D80839"/>
    <w:rsid w:val="00D8169E"/>
    <w:rsid w:val="00D838F3"/>
    <w:rsid w:val="00D877B0"/>
    <w:rsid w:val="00D901DC"/>
    <w:rsid w:val="00D92393"/>
    <w:rsid w:val="00D92B36"/>
    <w:rsid w:val="00D92EC5"/>
    <w:rsid w:val="00D92F96"/>
    <w:rsid w:val="00D93C44"/>
    <w:rsid w:val="00D94661"/>
    <w:rsid w:val="00D9585E"/>
    <w:rsid w:val="00D96941"/>
    <w:rsid w:val="00D97083"/>
    <w:rsid w:val="00DA0C94"/>
    <w:rsid w:val="00DA1BF5"/>
    <w:rsid w:val="00DA4D2F"/>
    <w:rsid w:val="00DA4F67"/>
    <w:rsid w:val="00DA513F"/>
    <w:rsid w:val="00DA53CD"/>
    <w:rsid w:val="00DA61E0"/>
    <w:rsid w:val="00DA6725"/>
    <w:rsid w:val="00DA7C3E"/>
    <w:rsid w:val="00DA7EE6"/>
    <w:rsid w:val="00DB1251"/>
    <w:rsid w:val="00DB25FF"/>
    <w:rsid w:val="00DB26B6"/>
    <w:rsid w:val="00DB47CB"/>
    <w:rsid w:val="00DB7C32"/>
    <w:rsid w:val="00DC0A13"/>
    <w:rsid w:val="00DC1FA2"/>
    <w:rsid w:val="00DC2A23"/>
    <w:rsid w:val="00DC2EEB"/>
    <w:rsid w:val="00DC43B0"/>
    <w:rsid w:val="00DC45AC"/>
    <w:rsid w:val="00DD02AD"/>
    <w:rsid w:val="00DD39A4"/>
    <w:rsid w:val="00DD3E8C"/>
    <w:rsid w:val="00DD45C6"/>
    <w:rsid w:val="00DE015C"/>
    <w:rsid w:val="00DE0D9A"/>
    <w:rsid w:val="00DE1A42"/>
    <w:rsid w:val="00DE4968"/>
    <w:rsid w:val="00DE7170"/>
    <w:rsid w:val="00DE7C29"/>
    <w:rsid w:val="00DE7CBD"/>
    <w:rsid w:val="00DF0B32"/>
    <w:rsid w:val="00DF0BD6"/>
    <w:rsid w:val="00DF102D"/>
    <w:rsid w:val="00DF32F8"/>
    <w:rsid w:val="00DF740A"/>
    <w:rsid w:val="00E00268"/>
    <w:rsid w:val="00E0090D"/>
    <w:rsid w:val="00E00ECC"/>
    <w:rsid w:val="00E011E3"/>
    <w:rsid w:val="00E0144A"/>
    <w:rsid w:val="00E01901"/>
    <w:rsid w:val="00E028EA"/>
    <w:rsid w:val="00E03A01"/>
    <w:rsid w:val="00E04230"/>
    <w:rsid w:val="00E04DC1"/>
    <w:rsid w:val="00E056D6"/>
    <w:rsid w:val="00E05D7D"/>
    <w:rsid w:val="00E06075"/>
    <w:rsid w:val="00E1061E"/>
    <w:rsid w:val="00E10794"/>
    <w:rsid w:val="00E11C46"/>
    <w:rsid w:val="00E15D67"/>
    <w:rsid w:val="00E15E5C"/>
    <w:rsid w:val="00E1602D"/>
    <w:rsid w:val="00E17866"/>
    <w:rsid w:val="00E214A4"/>
    <w:rsid w:val="00E239E6"/>
    <w:rsid w:val="00E2487E"/>
    <w:rsid w:val="00E25267"/>
    <w:rsid w:val="00E25338"/>
    <w:rsid w:val="00E2609C"/>
    <w:rsid w:val="00E30177"/>
    <w:rsid w:val="00E302BD"/>
    <w:rsid w:val="00E3038B"/>
    <w:rsid w:val="00E3062B"/>
    <w:rsid w:val="00E30792"/>
    <w:rsid w:val="00E32E11"/>
    <w:rsid w:val="00E33CB8"/>
    <w:rsid w:val="00E3492F"/>
    <w:rsid w:val="00E350B3"/>
    <w:rsid w:val="00E36DE0"/>
    <w:rsid w:val="00E37305"/>
    <w:rsid w:val="00E37CE6"/>
    <w:rsid w:val="00E417DD"/>
    <w:rsid w:val="00E44B1D"/>
    <w:rsid w:val="00E45D18"/>
    <w:rsid w:val="00E45F33"/>
    <w:rsid w:val="00E5337D"/>
    <w:rsid w:val="00E534DB"/>
    <w:rsid w:val="00E5413B"/>
    <w:rsid w:val="00E54617"/>
    <w:rsid w:val="00E5484B"/>
    <w:rsid w:val="00E54EEB"/>
    <w:rsid w:val="00E55734"/>
    <w:rsid w:val="00E56479"/>
    <w:rsid w:val="00E578B7"/>
    <w:rsid w:val="00E61874"/>
    <w:rsid w:val="00E61F58"/>
    <w:rsid w:val="00E63835"/>
    <w:rsid w:val="00E65F9E"/>
    <w:rsid w:val="00E667F0"/>
    <w:rsid w:val="00E740F4"/>
    <w:rsid w:val="00E742DE"/>
    <w:rsid w:val="00E749DD"/>
    <w:rsid w:val="00E75FF7"/>
    <w:rsid w:val="00E7707E"/>
    <w:rsid w:val="00E80C0E"/>
    <w:rsid w:val="00E81735"/>
    <w:rsid w:val="00E826FA"/>
    <w:rsid w:val="00E83860"/>
    <w:rsid w:val="00E8506E"/>
    <w:rsid w:val="00E85260"/>
    <w:rsid w:val="00E856E3"/>
    <w:rsid w:val="00E85A07"/>
    <w:rsid w:val="00E876A7"/>
    <w:rsid w:val="00E9158E"/>
    <w:rsid w:val="00E92D01"/>
    <w:rsid w:val="00E92F90"/>
    <w:rsid w:val="00E95438"/>
    <w:rsid w:val="00EA2B81"/>
    <w:rsid w:val="00EA3606"/>
    <w:rsid w:val="00EA4514"/>
    <w:rsid w:val="00EA4F3F"/>
    <w:rsid w:val="00EA51F6"/>
    <w:rsid w:val="00EA5289"/>
    <w:rsid w:val="00EA5F70"/>
    <w:rsid w:val="00EA7CF4"/>
    <w:rsid w:val="00EB1236"/>
    <w:rsid w:val="00EB4B3F"/>
    <w:rsid w:val="00EB59D7"/>
    <w:rsid w:val="00EB71DE"/>
    <w:rsid w:val="00EB786B"/>
    <w:rsid w:val="00EC0EB6"/>
    <w:rsid w:val="00EC1F6F"/>
    <w:rsid w:val="00EC2864"/>
    <w:rsid w:val="00EC362D"/>
    <w:rsid w:val="00EC39F1"/>
    <w:rsid w:val="00EC4DCC"/>
    <w:rsid w:val="00EC5DA1"/>
    <w:rsid w:val="00EC6DBA"/>
    <w:rsid w:val="00ED076E"/>
    <w:rsid w:val="00ED1AEE"/>
    <w:rsid w:val="00ED3C0C"/>
    <w:rsid w:val="00ED54F1"/>
    <w:rsid w:val="00ED6038"/>
    <w:rsid w:val="00EE1D6E"/>
    <w:rsid w:val="00EE2467"/>
    <w:rsid w:val="00EE2C0F"/>
    <w:rsid w:val="00EE73FF"/>
    <w:rsid w:val="00EF06FC"/>
    <w:rsid w:val="00EF0ECF"/>
    <w:rsid w:val="00EF293C"/>
    <w:rsid w:val="00EF5BB7"/>
    <w:rsid w:val="00F033C8"/>
    <w:rsid w:val="00F05F23"/>
    <w:rsid w:val="00F060FD"/>
    <w:rsid w:val="00F069F1"/>
    <w:rsid w:val="00F10B96"/>
    <w:rsid w:val="00F120BC"/>
    <w:rsid w:val="00F13E59"/>
    <w:rsid w:val="00F15449"/>
    <w:rsid w:val="00F1564A"/>
    <w:rsid w:val="00F17349"/>
    <w:rsid w:val="00F17779"/>
    <w:rsid w:val="00F20895"/>
    <w:rsid w:val="00F2227A"/>
    <w:rsid w:val="00F2245F"/>
    <w:rsid w:val="00F260BA"/>
    <w:rsid w:val="00F27668"/>
    <w:rsid w:val="00F318B5"/>
    <w:rsid w:val="00F33B0E"/>
    <w:rsid w:val="00F33CA5"/>
    <w:rsid w:val="00F35D20"/>
    <w:rsid w:val="00F35D38"/>
    <w:rsid w:val="00F37DAD"/>
    <w:rsid w:val="00F40C73"/>
    <w:rsid w:val="00F40F71"/>
    <w:rsid w:val="00F413F8"/>
    <w:rsid w:val="00F42764"/>
    <w:rsid w:val="00F42F60"/>
    <w:rsid w:val="00F45F99"/>
    <w:rsid w:val="00F478AE"/>
    <w:rsid w:val="00F52791"/>
    <w:rsid w:val="00F53D19"/>
    <w:rsid w:val="00F54146"/>
    <w:rsid w:val="00F54F7B"/>
    <w:rsid w:val="00F55686"/>
    <w:rsid w:val="00F608FD"/>
    <w:rsid w:val="00F61498"/>
    <w:rsid w:val="00F616F1"/>
    <w:rsid w:val="00F661DE"/>
    <w:rsid w:val="00F66835"/>
    <w:rsid w:val="00F67913"/>
    <w:rsid w:val="00F72749"/>
    <w:rsid w:val="00F729F1"/>
    <w:rsid w:val="00F72F97"/>
    <w:rsid w:val="00F771D0"/>
    <w:rsid w:val="00F816BB"/>
    <w:rsid w:val="00F81931"/>
    <w:rsid w:val="00F82664"/>
    <w:rsid w:val="00F833B9"/>
    <w:rsid w:val="00F87D8B"/>
    <w:rsid w:val="00F90CD4"/>
    <w:rsid w:val="00F91E63"/>
    <w:rsid w:val="00F9252A"/>
    <w:rsid w:val="00F95D1E"/>
    <w:rsid w:val="00FA03D7"/>
    <w:rsid w:val="00FA06AF"/>
    <w:rsid w:val="00FA0A6A"/>
    <w:rsid w:val="00FA111A"/>
    <w:rsid w:val="00FA1F1D"/>
    <w:rsid w:val="00FA1F89"/>
    <w:rsid w:val="00FA2D49"/>
    <w:rsid w:val="00FA440E"/>
    <w:rsid w:val="00FA481E"/>
    <w:rsid w:val="00FA56C4"/>
    <w:rsid w:val="00FB0CD1"/>
    <w:rsid w:val="00FB0FD0"/>
    <w:rsid w:val="00FB323B"/>
    <w:rsid w:val="00FB448A"/>
    <w:rsid w:val="00FB64C1"/>
    <w:rsid w:val="00FB7075"/>
    <w:rsid w:val="00FB739E"/>
    <w:rsid w:val="00FB7FE1"/>
    <w:rsid w:val="00FC4743"/>
    <w:rsid w:val="00FC4A25"/>
    <w:rsid w:val="00FD21CD"/>
    <w:rsid w:val="00FD239F"/>
    <w:rsid w:val="00FD23B8"/>
    <w:rsid w:val="00FD2DB5"/>
    <w:rsid w:val="00FD34E9"/>
    <w:rsid w:val="00FD5858"/>
    <w:rsid w:val="00FD638A"/>
    <w:rsid w:val="00FD6926"/>
    <w:rsid w:val="00FD6E16"/>
    <w:rsid w:val="00FD79F7"/>
    <w:rsid w:val="00FE086E"/>
    <w:rsid w:val="00FE0E6C"/>
    <w:rsid w:val="00FE2169"/>
    <w:rsid w:val="00FE298B"/>
    <w:rsid w:val="00FE4958"/>
    <w:rsid w:val="00FE53EA"/>
    <w:rsid w:val="00FE5D05"/>
    <w:rsid w:val="00FE5F6C"/>
    <w:rsid w:val="00FE6C17"/>
    <w:rsid w:val="00FE7FBC"/>
    <w:rsid w:val="00FF19FA"/>
    <w:rsid w:val="00FF3B56"/>
    <w:rsid w:val="00FF4172"/>
    <w:rsid w:val="00FF4784"/>
    <w:rsid w:val="01670757"/>
    <w:rsid w:val="017A53E0"/>
    <w:rsid w:val="01B30827"/>
    <w:rsid w:val="01CA64C3"/>
    <w:rsid w:val="02113575"/>
    <w:rsid w:val="022D173F"/>
    <w:rsid w:val="027E3780"/>
    <w:rsid w:val="0296633D"/>
    <w:rsid w:val="02BD1167"/>
    <w:rsid w:val="02CB0C6D"/>
    <w:rsid w:val="02CC178E"/>
    <w:rsid w:val="02E17258"/>
    <w:rsid w:val="02F27DF5"/>
    <w:rsid w:val="031616A3"/>
    <w:rsid w:val="032D2EF8"/>
    <w:rsid w:val="03352024"/>
    <w:rsid w:val="03497936"/>
    <w:rsid w:val="03E12268"/>
    <w:rsid w:val="03EC68AE"/>
    <w:rsid w:val="03F1450A"/>
    <w:rsid w:val="03F34FB1"/>
    <w:rsid w:val="047D0BB3"/>
    <w:rsid w:val="048A1A22"/>
    <w:rsid w:val="04DC0896"/>
    <w:rsid w:val="04EE7F1F"/>
    <w:rsid w:val="051917EC"/>
    <w:rsid w:val="052E6BBB"/>
    <w:rsid w:val="05323719"/>
    <w:rsid w:val="055C1465"/>
    <w:rsid w:val="0575123A"/>
    <w:rsid w:val="058749C0"/>
    <w:rsid w:val="058C2B83"/>
    <w:rsid w:val="059906F2"/>
    <w:rsid w:val="05D3773C"/>
    <w:rsid w:val="05D45AC6"/>
    <w:rsid w:val="05DE1FB0"/>
    <w:rsid w:val="061D6DFA"/>
    <w:rsid w:val="06371847"/>
    <w:rsid w:val="068A35AE"/>
    <w:rsid w:val="069C40D7"/>
    <w:rsid w:val="06EC1D8A"/>
    <w:rsid w:val="06EE4206"/>
    <w:rsid w:val="07116A4D"/>
    <w:rsid w:val="075D1DFB"/>
    <w:rsid w:val="07657FA2"/>
    <w:rsid w:val="07722FBB"/>
    <w:rsid w:val="077D381A"/>
    <w:rsid w:val="08225C20"/>
    <w:rsid w:val="082842BC"/>
    <w:rsid w:val="084423A4"/>
    <w:rsid w:val="08506D6B"/>
    <w:rsid w:val="086A1BE7"/>
    <w:rsid w:val="08935065"/>
    <w:rsid w:val="08EB7153"/>
    <w:rsid w:val="099033E3"/>
    <w:rsid w:val="09E31E73"/>
    <w:rsid w:val="09EF09C1"/>
    <w:rsid w:val="09FE02C6"/>
    <w:rsid w:val="0A036673"/>
    <w:rsid w:val="0A1C133A"/>
    <w:rsid w:val="0AA01CBB"/>
    <w:rsid w:val="0B521208"/>
    <w:rsid w:val="0B683E37"/>
    <w:rsid w:val="0BF30A0D"/>
    <w:rsid w:val="0BF934BC"/>
    <w:rsid w:val="0C072FD3"/>
    <w:rsid w:val="0C0B3A2F"/>
    <w:rsid w:val="0C107A1B"/>
    <w:rsid w:val="0CB120A6"/>
    <w:rsid w:val="0CB838FF"/>
    <w:rsid w:val="0CCC027E"/>
    <w:rsid w:val="0D032D26"/>
    <w:rsid w:val="0D0B3D64"/>
    <w:rsid w:val="0D2E35AF"/>
    <w:rsid w:val="0D3A6E34"/>
    <w:rsid w:val="0D6B4803"/>
    <w:rsid w:val="0D814026"/>
    <w:rsid w:val="0DBF5553"/>
    <w:rsid w:val="0E3C58B8"/>
    <w:rsid w:val="0E95004D"/>
    <w:rsid w:val="0EAD2BF9"/>
    <w:rsid w:val="0EB66853"/>
    <w:rsid w:val="0EFF6899"/>
    <w:rsid w:val="0F1F415A"/>
    <w:rsid w:val="0F684E73"/>
    <w:rsid w:val="0F9973D1"/>
    <w:rsid w:val="0FA463C3"/>
    <w:rsid w:val="103F4BE9"/>
    <w:rsid w:val="106D1372"/>
    <w:rsid w:val="107D0B3F"/>
    <w:rsid w:val="10E31D39"/>
    <w:rsid w:val="11023598"/>
    <w:rsid w:val="1157640C"/>
    <w:rsid w:val="11664EE4"/>
    <w:rsid w:val="12002F8B"/>
    <w:rsid w:val="12105979"/>
    <w:rsid w:val="122828AE"/>
    <w:rsid w:val="125E1917"/>
    <w:rsid w:val="12627161"/>
    <w:rsid w:val="12872460"/>
    <w:rsid w:val="128E02FF"/>
    <w:rsid w:val="12FA17F3"/>
    <w:rsid w:val="13263EAC"/>
    <w:rsid w:val="135800CB"/>
    <w:rsid w:val="13FF3F4D"/>
    <w:rsid w:val="140725C2"/>
    <w:rsid w:val="143D67CD"/>
    <w:rsid w:val="145753B6"/>
    <w:rsid w:val="146E5193"/>
    <w:rsid w:val="147364DB"/>
    <w:rsid w:val="14841CB2"/>
    <w:rsid w:val="14E53E1B"/>
    <w:rsid w:val="14F861F8"/>
    <w:rsid w:val="1517739F"/>
    <w:rsid w:val="154020D1"/>
    <w:rsid w:val="15F07F9B"/>
    <w:rsid w:val="15F97E38"/>
    <w:rsid w:val="15FD2130"/>
    <w:rsid w:val="163F39C4"/>
    <w:rsid w:val="168F04FB"/>
    <w:rsid w:val="169E2EB8"/>
    <w:rsid w:val="16BA2F39"/>
    <w:rsid w:val="16E66CA8"/>
    <w:rsid w:val="170830C2"/>
    <w:rsid w:val="175A3B96"/>
    <w:rsid w:val="17966920"/>
    <w:rsid w:val="179C533A"/>
    <w:rsid w:val="17ED1AB0"/>
    <w:rsid w:val="181C4C5D"/>
    <w:rsid w:val="18490258"/>
    <w:rsid w:val="186C189C"/>
    <w:rsid w:val="18BC63F1"/>
    <w:rsid w:val="18CE74EE"/>
    <w:rsid w:val="193C428C"/>
    <w:rsid w:val="198B577D"/>
    <w:rsid w:val="1A010EA7"/>
    <w:rsid w:val="1A1E6707"/>
    <w:rsid w:val="1A4D02B8"/>
    <w:rsid w:val="1AE862C4"/>
    <w:rsid w:val="1AEC7CD8"/>
    <w:rsid w:val="1B4F2BA5"/>
    <w:rsid w:val="1B60171F"/>
    <w:rsid w:val="1BCA4DEA"/>
    <w:rsid w:val="1BE30E25"/>
    <w:rsid w:val="1C1C3568"/>
    <w:rsid w:val="1C425DDB"/>
    <w:rsid w:val="1C796AD3"/>
    <w:rsid w:val="1CD13116"/>
    <w:rsid w:val="1CF0262F"/>
    <w:rsid w:val="1D167D9D"/>
    <w:rsid w:val="1D515EF5"/>
    <w:rsid w:val="1D66666E"/>
    <w:rsid w:val="1D6A6BCB"/>
    <w:rsid w:val="1D711AAD"/>
    <w:rsid w:val="1D9C1FC8"/>
    <w:rsid w:val="1DCC3059"/>
    <w:rsid w:val="1DEC1C22"/>
    <w:rsid w:val="1DF72F2A"/>
    <w:rsid w:val="1DFB7E78"/>
    <w:rsid w:val="1E026E4F"/>
    <w:rsid w:val="1E1862E1"/>
    <w:rsid w:val="1E2527AC"/>
    <w:rsid w:val="1EC021F7"/>
    <w:rsid w:val="1ED35E9E"/>
    <w:rsid w:val="1F571144"/>
    <w:rsid w:val="1F5D378B"/>
    <w:rsid w:val="1F7550B4"/>
    <w:rsid w:val="20165968"/>
    <w:rsid w:val="20391F66"/>
    <w:rsid w:val="20792B1A"/>
    <w:rsid w:val="2091179F"/>
    <w:rsid w:val="20947D2A"/>
    <w:rsid w:val="20CD1E71"/>
    <w:rsid w:val="20F36E40"/>
    <w:rsid w:val="20FD1688"/>
    <w:rsid w:val="210379E7"/>
    <w:rsid w:val="214613AC"/>
    <w:rsid w:val="21471BB1"/>
    <w:rsid w:val="214C15D8"/>
    <w:rsid w:val="217A2EFB"/>
    <w:rsid w:val="217C22C1"/>
    <w:rsid w:val="219C116B"/>
    <w:rsid w:val="21D27798"/>
    <w:rsid w:val="21E32476"/>
    <w:rsid w:val="22230DB0"/>
    <w:rsid w:val="2248158C"/>
    <w:rsid w:val="225C1AC5"/>
    <w:rsid w:val="22792AE5"/>
    <w:rsid w:val="22D81068"/>
    <w:rsid w:val="23547772"/>
    <w:rsid w:val="23BB6047"/>
    <w:rsid w:val="23D676A0"/>
    <w:rsid w:val="23FA7D8F"/>
    <w:rsid w:val="24191B86"/>
    <w:rsid w:val="24293C0F"/>
    <w:rsid w:val="24DB0068"/>
    <w:rsid w:val="24F4176B"/>
    <w:rsid w:val="254D4CD2"/>
    <w:rsid w:val="262F2ABC"/>
    <w:rsid w:val="26B14284"/>
    <w:rsid w:val="26C90C41"/>
    <w:rsid w:val="26CC66B6"/>
    <w:rsid w:val="26D066B9"/>
    <w:rsid w:val="27427F2B"/>
    <w:rsid w:val="274570EF"/>
    <w:rsid w:val="274611C4"/>
    <w:rsid w:val="274C4875"/>
    <w:rsid w:val="274E6CC9"/>
    <w:rsid w:val="279B352F"/>
    <w:rsid w:val="27B9145C"/>
    <w:rsid w:val="27D112AE"/>
    <w:rsid w:val="27DF1C1D"/>
    <w:rsid w:val="27E47234"/>
    <w:rsid w:val="27EE696B"/>
    <w:rsid w:val="27F928BB"/>
    <w:rsid w:val="280651B9"/>
    <w:rsid w:val="281264E8"/>
    <w:rsid w:val="2817323D"/>
    <w:rsid w:val="284E527E"/>
    <w:rsid w:val="28500425"/>
    <w:rsid w:val="28786518"/>
    <w:rsid w:val="289A78F2"/>
    <w:rsid w:val="28AD1D1C"/>
    <w:rsid w:val="28C53AA5"/>
    <w:rsid w:val="28E00995"/>
    <w:rsid w:val="294B79FF"/>
    <w:rsid w:val="29680470"/>
    <w:rsid w:val="296F1D71"/>
    <w:rsid w:val="2973086F"/>
    <w:rsid w:val="29982084"/>
    <w:rsid w:val="29C247CA"/>
    <w:rsid w:val="2A195D99"/>
    <w:rsid w:val="2A481238"/>
    <w:rsid w:val="2A753E55"/>
    <w:rsid w:val="2ACD536A"/>
    <w:rsid w:val="2AFB27A6"/>
    <w:rsid w:val="2B1303C0"/>
    <w:rsid w:val="2B180C1F"/>
    <w:rsid w:val="2B5B6545"/>
    <w:rsid w:val="2BAC2540"/>
    <w:rsid w:val="2BC47F86"/>
    <w:rsid w:val="2BD7315E"/>
    <w:rsid w:val="2C1423B6"/>
    <w:rsid w:val="2C212398"/>
    <w:rsid w:val="2C304EB8"/>
    <w:rsid w:val="2C8047B9"/>
    <w:rsid w:val="2CCA14B8"/>
    <w:rsid w:val="2D8A579E"/>
    <w:rsid w:val="2D99395E"/>
    <w:rsid w:val="2DA77B4C"/>
    <w:rsid w:val="2DE30B98"/>
    <w:rsid w:val="2DEA592A"/>
    <w:rsid w:val="2E063C23"/>
    <w:rsid w:val="2E077C93"/>
    <w:rsid w:val="2E242C8B"/>
    <w:rsid w:val="2E5E78F9"/>
    <w:rsid w:val="2E735401"/>
    <w:rsid w:val="2E8338D7"/>
    <w:rsid w:val="2ED65614"/>
    <w:rsid w:val="2EE35519"/>
    <w:rsid w:val="2F01733F"/>
    <w:rsid w:val="2F1E74CF"/>
    <w:rsid w:val="2F29458D"/>
    <w:rsid w:val="2F5C3B54"/>
    <w:rsid w:val="2F6A6D92"/>
    <w:rsid w:val="2F795F90"/>
    <w:rsid w:val="2F9C4056"/>
    <w:rsid w:val="2FFF65BD"/>
    <w:rsid w:val="30221FD2"/>
    <w:rsid w:val="303845C1"/>
    <w:rsid w:val="3090707C"/>
    <w:rsid w:val="30A47E55"/>
    <w:rsid w:val="30C714A1"/>
    <w:rsid w:val="310610AF"/>
    <w:rsid w:val="312A4AB7"/>
    <w:rsid w:val="314350F7"/>
    <w:rsid w:val="314E57F8"/>
    <w:rsid w:val="3184282F"/>
    <w:rsid w:val="320C360F"/>
    <w:rsid w:val="320D7AA7"/>
    <w:rsid w:val="32157E42"/>
    <w:rsid w:val="323B5141"/>
    <w:rsid w:val="328A046E"/>
    <w:rsid w:val="32986AD3"/>
    <w:rsid w:val="32C27F13"/>
    <w:rsid w:val="32EE73FE"/>
    <w:rsid w:val="3304495C"/>
    <w:rsid w:val="331A718A"/>
    <w:rsid w:val="332819AF"/>
    <w:rsid w:val="33793124"/>
    <w:rsid w:val="34366596"/>
    <w:rsid w:val="343C053B"/>
    <w:rsid w:val="344B36F6"/>
    <w:rsid w:val="34BF349C"/>
    <w:rsid w:val="34D76ADF"/>
    <w:rsid w:val="34DB0D1F"/>
    <w:rsid w:val="34E1300F"/>
    <w:rsid w:val="34E549DB"/>
    <w:rsid w:val="354B077E"/>
    <w:rsid w:val="35586CF0"/>
    <w:rsid w:val="355E6E68"/>
    <w:rsid w:val="357E2A76"/>
    <w:rsid w:val="35B32AA7"/>
    <w:rsid w:val="36780C01"/>
    <w:rsid w:val="367B1085"/>
    <w:rsid w:val="368636C2"/>
    <w:rsid w:val="36A77DAA"/>
    <w:rsid w:val="370026F0"/>
    <w:rsid w:val="371401D6"/>
    <w:rsid w:val="372545E0"/>
    <w:rsid w:val="37A7012D"/>
    <w:rsid w:val="37DF17C6"/>
    <w:rsid w:val="37E43A05"/>
    <w:rsid w:val="37F52D97"/>
    <w:rsid w:val="381B2351"/>
    <w:rsid w:val="38213FA7"/>
    <w:rsid w:val="382172A0"/>
    <w:rsid w:val="38964939"/>
    <w:rsid w:val="38984045"/>
    <w:rsid w:val="38DF4A95"/>
    <w:rsid w:val="39235EA5"/>
    <w:rsid w:val="39502EEF"/>
    <w:rsid w:val="39712BB7"/>
    <w:rsid w:val="39866D7A"/>
    <w:rsid w:val="3A11462C"/>
    <w:rsid w:val="3A8D72B7"/>
    <w:rsid w:val="3AB962FE"/>
    <w:rsid w:val="3ABD6FB6"/>
    <w:rsid w:val="3B2F036E"/>
    <w:rsid w:val="3B44591C"/>
    <w:rsid w:val="3B51418B"/>
    <w:rsid w:val="3B894AC7"/>
    <w:rsid w:val="3BA421A7"/>
    <w:rsid w:val="3BB62B28"/>
    <w:rsid w:val="3BD21E54"/>
    <w:rsid w:val="3BF70E8C"/>
    <w:rsid w:val="3BF90009"/>
    <w:rsid w:val="3C252DBD"/>
    <w:rsid w:val="3C516E85"/>
    <w:rsid w:val="3C767131"/>
    <w:rsid w:val="3C954058"/>
    <w:rsid w:val="3CDA2BF8"/>
    <w:rsid w:val="3CE41814"/>
    <w:rsid w:val="3D0E0B83"/>
    <w:rsid w:val="3D175FB7"/>
    <w:rsid w:val="3D281519"/>
    <w:rsid w:val="3D6E7EA5"/>
    <w:rsid w:val="3DAF2B82"/>
    <w:rsid w:val="3DFF704F"/>
    <w:rsid w:val="3E0074B6"/>
    <w:rsid w:val="3E3957DC"/>
    <w:rsid w:val="3EA86AE2"/>
    <w:rsid w:val="3EB86DF3"/>
    <w:rsid w:val="3EBB0897"/>
    <w:rsid w:val="3EBC139F"/>
    <w:rsid w:val="3F014CC8"/>
    <w:rsid w:val="3F212579"/>
    <w:rsid w:val="3F720865"/>
    <w:rsid w:val="3F724C3B"/>
    <w:rsid w:val="3FE040E9"/>
    <w:rsid w:val="3FEC2CD2"/>
    <w:rsid w:val="400B3158"/>
    <w:rsid w:val="4012625C"/>
    <w:rsid w:val="403B7F18"/>
    <w:rsid w:val="40740966"/>
    <w:rsid w:val="4090365D"/>
    <w:rsid w:val="40C6132E"/>
    <w:rsid w:val="40CC08DD"/>
    <w:rsid w:val="40D84B90"/>
    <w:rsid w:val="41090ADD"/>
    <w:rsid w:val="411877E1"/>
    <w:rsid w:val="413E755D"/>
    <w:rsid w:val="41662610"/>
    <w:rsid w:val="421C116A"/>
    <w:rsid w:val="42510ABB"/>
    <w:rsid w:val="4258271B"/>
    <w:rsid w:val="42FE20F0"/>
    <w:rsid w:val="43250062"/>
    <w:rsid w:val="433C5D1E"/>
    <w:rsid w:val="43442F23"/>
    <w:rsid w:val="436D4711"/>
    <w:rsid w:val="43EB407A"/>
    <w:rsid w:val="4430589B"/>
    <w:rsid w:val="4430793A"/>
    <w:rsid w:val="445E72E3"/>
    <w:rsid w:val="44651AD0"/>
    <w:rsid w:val="4469342F"/>
    <w:rsid w:val="44726D2E"/>
    <w:rsid w:val="44924A69"/>
    <w:rsid w:val="44B7209D"/>
    <w:rsid w:val="44E66582"/>
    <w:rsid w:val="44EA3763"/>
    <w:rsid w:val="458F47A2"/>
    <w:rsid w:val="45AB0D3E"/>
    <w:rsid w:val="45E71AA9"/>
    <w:rsid w:val="46447925"/>
    <w:rsid w:val="469F2B0B"/>
    <w:rsid w:val="46EC35B7"/>
    <w:rsid w:val="47231C3E"/>
    <w:rsid w:val="472D50BD"/>
    <w:rsid w:val="47344A4A"/>
    <w:rsid w:val="478F466E"/>
    <w:rsid w:val="479A169E"/>
    <w:rsid w:val="47C655C0"/>
    <w:rsid w:val="47CD2351"/>
    <w:rsid w:val="47D900CE"/>
    <w:rsid w:val="47DA0BBC"/>
    <w:rsid w:val="47DE657A"/>
    <w:rsid w:val="48021B9D"/>
    <w:rsid w:val="48117653"/>
    <w:rsid w:val="487F2CC0"/>
    <w:rsid w:val="48861F15"/>
    <w:rsid w:val="488F1FD3"/>
    <w:rsid w:val="489637D3"/>
    <w:rsid w:val="48B00D40"/>
    <w:rsid w:val="49494CF1"/>
    <w:rsid w:val="497B4D8D"/>
    <w:rsid w:val="49AA63C2"/>
    <w:rsid w:val="49BA4666"/>
    <w:rsid w:val="49C976C1"/>
    <w:rsid w:val="4A495F13"/>
    <w:rsid w:val="4A68749E"/>
    <w:rsid w:val="4A6F0787"/>
    <w:rsid w:val="4A6F3029"/>
    <w:rsid w:val="4A710A83"/>
    <w:rsid w:val="4A7B1738"/>
    <w:rsid w:val="4A9E5A4F"/>
    <w:rsid w:val="4AB1529B"/>
    <w:rsid w:val="4ACE3AD0"/>
    <w:rsid w:val="4BED5E07"/>
    <w:rsid w:val="4BF82DDD"/>
    <w:rsid w:val="4C6C7A39"/>
    <w:rsid w:val="4C756F61"/>
    <w:rsid w:val="4CB457FD"/>
    <w:rsid w:val="4CBE4852"/>
    <w:rsid w:val="4D04404A"/>
    <w:rsid w:val="4D1D23BF"/>
    <w:rsid w:val="4D3559FE"/>
    <w:rsid w:val="4DD436FD"/>
    <w:rsid w:val="4DE20FF0"/>
    <w:rsid w:val="4DED091C"/>
    <w:rsid w:val="4E9C58C3"/>
    <w:rsid w:val="4EF47C3D"/>
    <w:rsid w:val="4EFE40DD"/>
    <w:rsid w:val="4F0216B2"/>
    <w:rsid w:val="4F7D1694"/>
    <w:rsid w:val="4F9577DA"/>
    <w:rsid w:val="4FC8423B"/>
    <w:rsid w:val="4FE0042E"/>
    <w:rsid w:val="4FF23EA5"/>
    <w:rsid w:val="50336646"/>
    <w:rsid w:val="50395ABF"/>
    <w:rsid w:val="50401EF1"/>
    <w:rsid w:val="5047454D"/>
    <w:rsid w:val="50480F48"/>
    <w:rsid w:val="50702B80"/>
    <w:rsid w:val="50FD6AED"/>
    <w:rsid w:val="5150625C"/>
    <w:rsid w:val="517621B7"/>
    <w:rsid w:val="518A09AA"/>
    <w:rsid w:val="51E90E1F"/>
    <w:rsid w:val="51F00DAD"/>
    <w:rsid w:val="51F308DE"/>
    <w:rsid w:val="51FA2E06"/>
    <w:rsid w:val="524E76D1"/>
    <w:rsid w:val="524E782F"/>
    <w:rsid w:val="5262015E"/>
    <w:rsid w:val="527B5EF7"/>
    <w:rsid w:val="52D7511B"/>
    <w:rsid w:val="53200645"/>
    <w:rsid w:val="53253A39"/>
    <w:rsid w:val="532D2893"/>
    <w:rsid w:val="53764714"/>
    <w:rsid w:val="537D3F15"/>
    <w:rsid w:val="53975DDF"/>
    <w:rsid w:val="539E50F6"/>
    <w:rsid w:val="542D1464"/>
    <w:rsid w:val="544C2E66"/>
    <w:rsid w:val="544E21D9"/>
    <w:rsid w:val="548870F3"/>
    <w:rsid w:val="549700F3"/>
    <w:rsid w:val="54B03E76"/>
    <w:rsid w:val="5503317B"/>
    <w:rsid w:val="552231A0"/>
    <w:rsid w:val="55F51708"/>
    <w:rsid w:val="565B436F"/>
    <w:rsid w:val="567F032D"/>
    <w:rsid w:val="568A5596"/>
    <w:rsid w:val="568E01E7"/>
    <w:rsid w:val="56C825A5"/>
    <w:rsid w:val="56F1475E"/>
    <w:rsid w:val="57063F64"/>
    <w:rsid w:val="57151513"/>
    <w:rsid w:val="57376EA6"/>
    <w:rsid w:val="574E46A1"/>
    <w:rsid w:val="57AA3461"/>
    <w:rsid w:val="57B046D4"/>
    <w:rsid w:val="57CB6108"/>
    <w:rsid w:val="585E0199"/>
    <w:rsid w:val="58773629"/>
    <w:rsid w:val="58AD236E"/>
    <w:rsid w:val="58E04FD1"/>
    <w:rsid w:val="59594DA1"/>
    <w:rsid w:val="599E00A5"/>
    <w:rsid w:val="59B337AB"/>
    <w:rsid w:val="59C96098"/>
    <w:rsid w:val="59D93E6F"/>
    <w:rsid w:val="59EA607C"/>
    <w:rsid w:val="5A22578F"/>
    <w:rsid w:val="5A2E7D17"/>
    <w:rsid w:val="5A405C9C"/>
    <w:rsid w:val="5A886C3B"/>
    <w:rsid w:val="5AAE052B"/>
    <w:rsid w:val="5AC643F3"/>
    <w:rsid w:val="5AF54483"/>
    <w:rsid w:val="5B3E175B"/>
    <w:rsid w:val="5B8A5421"/>
    <w:rsid w:val="5B9D3D81"/>
    <w:rsid w:val="5BAB3F7B"/>
    <w:rsid w:val="5BCB7B1E"/>
    <w:rsid w:val="5BDC488B"/>
    <w:rsid w:val="5CC732F1"/>
    <w:rsid w:val="5CF12C1C"/>
    <w:rsid w:val="5D4F4CD7"/>
    <w:rsid w:val="5D6A1544"/>
    <w:rsid w:val="5D852D4C"/>
    <w:rsid w:val="5DA36315"/>
    <w:rsid w:val="5DE96386"/>
    <w:rsid w:val="5DF50B4C"/>
    <w:rsid w:val="5DF63241"/>
    <w:rsid w:val="5DF9102C"/>
    <w:rsid w:val="5E090721"/>
    <w:rsid w:val="5E5427AC"/>
    <w:rsid w:val="5E691769"/>
    <w:rsid w:val="5E762C70"/>
    <w:rsid w:val="5EAB2A46"/>
    <w:rsid w:val="5EB317BB"/>
    <w:rsid w:val="5ED0334E"/>
    <w:rsid w:val="5EE035AA"/>
    <w:rsid w:val="5EEC121D"/>
    <w:rsid w:val="5F022566"/>
    <w:rsid w:val="5F3200F0"/>
    <w:rsid w:val="5F9617E4"/>
    <w:rsid w:val="5FDE7487"/>
    <w:rsid w:val="5FEE11C2"/>
    <w:rsid w:val="60025ECE"/>
    <w:rsid w:val="6029154D"/>
    <w:rsid w:val="60B246BF"/>
    <w:rsid w:val="60BD3786"/>
    <w:rsid w:val="60C2565D"/>
    <w:rsid w:val="61120392"/>
    <w:rsid w:val="61894307"/>
    <w:rsid w:val="61B55913"/>
    <w:rsid w:val="61BB2764"/>
    <w:rsid w:val="6232555F"/>
    <w:rsid w:val="62B549E2"/>
    <w:rsid w:val="63262D69"/>
    <w:rsid w:val="63422709"/>
    <w:rsid w:val="634673B1"/>
    <w:rsid w:val="63522642"/>
    <w:rsid w:val="63711334"/>
    <w:rsid w:val="63965D3E"/>
    <w:rsid w:val="64142342"/>
    <w:rsid w:val="642555BD"/>
    <w:rsid w:val="646C6303"/>
    <w:rsid w:val="64792D19"/>
    <w:rsid w:val="64B76675"/>
    <w:rsid w:val="64F465D7"/>
    <w:rsid w:val="650B6789"/>
    <w:rsid w:val="65152A93"/>
    <w:rsid w:val="65636B81"/>
    <w:rsid w:val="6571320D"/>
    <w:rsid w:val="65B15C01"/>
    <w:rsid w:val="6612020B"/>
    <w:rsid w:val="663249E0"/>
    <w:rsid w:val="66652D12"/>
    <w:rsid w:val="67216256"/>
    <w:rsid w:val="675F2E7B"/>
    <w:rsid w:val="676E0E95"/>
    <w:rsid w:val="677A0A3F"/>
    <w:rsid w:val="67FC76A6"/>
    <w:rsid w:val="682178C8"/>
    <w:rsid w:val="684072F6"/>
    <w:rsid w:val="685C0145"/>
    <w:rsid w:val="68A87A01"/>
    <w:rsid w:val="68AB26AE"/>
    <w:rsid w:val="692C3201"/>
    <w:rsid w:val="6A150CDB"/>
    <w:rsid w:val="6A7E7E94"/>
    <w:rsid w:val="6A80346D"/>
    <w:rsid w:val="6A8A4544"/>
    <w:rsid w:val="6A8D2298"/>
    <w:rsid w:val="6AE421FD"/>
    <w:rsid w:val="6B553148"/>
    <w:rsid w:val="6B7D28AC"/>
    <w:rsid w:val="6B942B3F"/>
    <w:rsid w:val="6BA047ED"/>
    <w:rsid w:val="6BC54253"/>
    <w:rsid w:val="6BD344B1"/>
    <w:rsid w:val="6BD522EC"/>
    <w:rsid w:val="6BFB6754"/>
    <w:rsid w:val="6BFD4DCA"/>
    <w:rsid w:val="6C65042A"/>
    <w:rsid w:val="6CB3761A"/>
    <w:rsid w:val="6CB967C1"/>
    <w:rsid w:val="6CCE1529"/>
    <w:rsid w:val="6D1829A4"/>
    <w:rsid w:val="6D4C5D26"/>
    <w:rsid w:val="6DE2523F"/>
    <w:rsid w:val="6DEB6199"/>
    <w:rsid w:val="6DFA5910"/>
    <w:rsid w:val="6E1B16A3"/>
    <w:rsid w:val="6E20298D"/>
    <w:rsid w:val="6EC94783"/>
    <w:rsid w:val="6F0A1E85"/>
    <w:rsid w:val="6F0C0CCA"/>
    <w:rsid w:val="6F3629C0"/>
    <w:rsid w:val="6F3F0947"/>
    <w:rsid w:val="6F497819"/>
    <w:rsid w:val="6FEB3C16"/>
    <w:rsid w:val="701D7AE5"/>
    <w:rsid w:val="7027532D"/>
    <w:rsid w:val="71312003"/>
    <w:rsid w:val="713E6598"/>
    <w:rsid w:val="715E2710"/>
    <w:rsid w:val="716A5CFF"/>
    <w:rsid w:val="71BC1C54"/>
    <w:rsid w:val="71CA376C"/>
    <w:rsid w:val="721A4B48"/>
    <w:rsid w:val="7269297A"/>
    <w:rsid w:val="72790CF8"/>
    <w:rsid w:val="728852E4"/>
    <w:rsid w:val="72F07E08"/>
    <w:rsid w:val="73055E79"/>
    <w:rsid w:val="730E2BB4"/>
    <w:rsid w:val="731F4D23"/>
    <w:rsid w:val="733E5976"/>
    <w:rsid w:val="737E1549"/>
    <w:rsid w:val="73C50019"/>
    <w:rsid w:val="73F6189D"/>
    <w:rsid w:val="742A4B97"/>
    <w:rsid w:val="74425420"/>
    <w:rsid w:val="744E0EE4"/>
    <w:rsid w:val="74654861"/>
    <w:rsid w:val="75662603"/>
    <w:rsid w:val="75CD5EC5"/>
    <w:rsid w:val="75DB26B6"/>
    <w:rsid w:val="75EB1F6E"/>
    <w:rsid w:val="76345A88"/>
    <w:rsid w:val="764A57F0"/>
    <w:rsid w:val="76905FEA"/>
    <w:rsid w:val="76B5509A"/>
    <w:rsid w:val="76D04FF0"/>
    <w:rsid w:val="76DC14DE"/>
    <w:rsid w:val="77152FC6"/>
    <w:rsid w:val="77175E27"/>
    <w:rsid w:val="774626EC"/>
    <w:rsid w:val="77753F92"/>
    <w:rsid w:val="777A6579"/>
    <w:rsid w:val="778654F8"/>
    <w:rsid w:val="77A71220"/>
    <w:rsid w:val="77AE361A"/>
    <w:rsid w:val="77B94171"/>
    <w:rsid w:val="77B94FB3"/>
    <w:rsid w:val="77BB28EE"/>
    <w:rsid w:val="782D38DF"/>
    <w:rsid w:val="78657E6D"/>
    <w:rsid w:val="787C70CC"/>
    <w:rsid w:val="789730EF"/>
    <w:rsid w:val="78CC092B"/>
    <w:rsid w:val="78F7517E"/>
    <w:rsid w:val="79513660"/>
    <w:rsid w:val="79AD53BC"/>
    <w:rsid w:val="79BB28DC"/>
    <w:rsid w:val="79D909A1"/>
    <w:rsid w:val="7A0F5C70"/>
    <w:rsid w:val="7A2A00A3"/>
    <w:rsid w:val="7A6B0B94"/>
    <w:rsid w:val="7A7D3818"/>
    <w:rsid w:val="7AD51092"/>
    <w:rsid w:val="7B183EF9"/>
    <w:rsid w:val="7B2F16E9"/>
    <w:rsid w:val="7B670E83"/>
    <w:rsid w:val="7B90105C"/>
    <w:rsid w:val="7BA57C86"/>
    <w:rsid w:val="7BB3231A"/>
    <w:rsid w:val="7BCB6DAB"/>
    <w:rsid w:val="7C3B6C12"/>
    <w:rsid w:val="7C3D7913"/>
    <w:rsid w:val="7C3F595C"/>
    <w:rsid w:val="7C5706A1"/>
    <w:rsid w:val="7C66472F"/>
    <w:rsid w:val="7C6E28C0"/>
    <w:rsid w:val="7C7C44BA"/>
    <w:rsid w:val="7C8D2B6B"/>
    <w:rsid w:val="7CC76953"/>
    <w:rsid w:val="7D340C75"/>
    <w:rsid w:val="7D47531E"/>
    <w:rsid w:val="7D4B30B6"/>
    <w:rsid w:val="7D5107E1"/>
    <w:rsid w:val="7D575C62"/>
    <w:rsid w:val="7D830002"/>
    <w:rsid w:val="7E282983"/>
    <w:rsid w:val="7E4436FD"/>
    <w:rsid w:val="7E6222E9"/>
    <w:rsid w:val="7E643626"/>
    <w:rsid w:val="7E651817"/>
    <w:rsid w:val="7E8F5C92"/>
    <w:rsid w:val="7E9801C0"/>
    <w:rsid w:val="7EBB2475"/>
    <w:rsid w:val="7EC220A3"/>
    <w:rsid w:val="7F321CE1"/>
    <w:rsid w:val="7F601E71"/>
    <w:rsid w:val="7F710522"/>
    <w:rsid w:val="7F734A06"/>
    <w:rsid w:val="7F87133E"/>
    <w:rsid w:val="7F8B79ED"/>
    <w:rsid w:val="7F914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3"/>
    <w:next w:val="1"/>
    <w:link w:val="33"/>
    <w:qFormat/>
    <w:uiPriority w:val="9"/>
    <w:pPr>
      <w:keepNext/>
      <w:pageBreakBefore/>
      <w:numPr>
        <w:ilvl w:val="0"/>
        <w:numId w:val="1"/>
      </w:numPr>
      <w:ind w:firstLineChars="0"/>
      <w:outlineLvl w:val="0"/>
    </w:pPr>
    <w:rPr>
      <w:b/>
      <w:sz w:val="28"/>
      <w:szCs w:val="28"/>
    </w:rPr>
  </w:style>
  <w:style w:type="paragraph" w:styleId="4">
    <w:name w:val="heading 2"/>
    <w:basedOn w:val="2"/>
    <w:next w:val="1"/>
    <w:link w:val="34"/>
    <w:unhideWhenUsed/>
    <w:qFormat/>
    <w:uiPriority w:val="9"/>
    <w:pPr>
      <w:pageBreakBefore w:val="0"/>
      <w:numPr>
        <w:ilvl w:val="1"/>
      </w:numPr>
      <w:outlineLvl w:val="1"/>
    </w:pPr>
    <w:rPr>
      <w:sz w:val="24"/>
      <w:szCs w:val="24"/>
    </w:rPr>
  </w:style>
  <w:style w:type="paragraph" w:styleId="5">
    <w:name w:val="heading 3"/>
    <w:basedOn w:val="4"/>
    <w:next w:val="1"/>
    <w:link w:val="35"/>
    <w:unhideWhenUsed/>
    <w:qFormat/>
    <w:uiPriority w:val="9"/>
    <w:pPr>
      <w:numPr>
        <w:ilvl w:val="2"/>
      </w:numPr>
      <w:outlineLvl w:val="2"/>
    </w:pPr>
  </w:style>
  <w:style w:type="paragraph" w:styleId="6">
    <w:name w:val="heading 4"/>
    <w:basedOn w:val="5"/>
    <w:next w:val="1"/>
    <w:link w:val="36"/>
    <w:unhideWhenUsed/>
    <w:qFormat/>
    <w:uiPriority w:val="9"/>
    <w:pPr>
      <w:numPr>
        <w:ilvl w:val="3"/>
      </w:numPr>
      <w:outlineLvl w:val="3"/>
    </w:pPr>
  </w:style>
  <w:style w:type="paragraph" w:styleId="7">
    <w:name w:val="heading 5"/>
    <w:basedOn w:val="6"/>
    <w:next w:val="1"/>
    <w:link w:val="37"/>
    <w:unhideWhenUsed/>
    <w:qFormat/>
    <w:uiPriority w:val="9"/>
    <w:pPr>
      <w:numPr>
        <w:ilvl w:val="4"/>
      </w:numPr>
      <w:ind w:firstLine="1460" w:firstLineChars="200"/>
      <w:outlineLvl w:val="4"/>
    </w:pPr>
    <w:rPr>
      <w:rFonts w:ascii="Times New Roman" w:hAnsi="Times New Roman" w:eastAsia="宋体"/>
    </w:rPr>
  </w:style>
  <w:style w:type="paragraph" w:styleId="8">
    <w:name w:val="heading 6"/>
    <w:basedOn w:val="7"/>
    <w:next w:val="1"/>
    <w:link w:val="38"/>
    <w:unhideWhenUsed/>
    <w:qFormat/>
    <w:uiPriority w:val="9"/>
    <w:pPr>
      <w:numPr>
        <w:ilvl w:val="5"/>
      </w:numPr>
      <w:ind w:firstLine="0" w:firstLineChars="0"/>
      <w:jc w:val="center"/>
      <w:outlineLvl w:val="5"/>
    </w:pPr>
    <w:rPr>
      <w:rFonts w:ascii="Times New Roman" w:hAnsi="Times New Roman" w:eastAsia="宋体"/>
      <w:shd w:val="clear" w:color="auto" w:fill="FFFFFF"/>
    </w:rPr>
  </w:style>
  <w:style w:type="paragraph" w:styleId="9">
    <w:name w:val="heading 7"/>
    <w:basedOn w:val="8"/>
    <w:next w:val="1"/>
    <w:link w:val="39"/>
    <w:unhideWhenUsed/>
    <w:qFormat/>
    <w:uiPriority w:val="9"/>
    <w:pPr>
      <w:numPr>
        <w:ilvl w:val="6"/>
      </w:numPr>
      <w:outlineLvl w:val="6"/>
    </w:pPr>
  </w:style>
  <w:style w:type="paragraph" w:styleId="10">
    <w:name w:val="heading 8"/>
    <w:basedOn w:val="9"/>
    <w:next w:val="1"/>
    <w:link w:val="40"/>
    <w:unhideWhenUsed/>
    <w:qFormat/>
    <w:uiPriority w:val="9"/>
    <w:pPr>
      <w:keepNext w:val="0"/>
      <w:numPr>
        <w:ilvl w:val="7"/>
      </w:numPr>
      <w:outlineLvl w:val="7"/>
    </w:pPr>
  </w:style>
  <w:style w:type="paragraph" w:styleId="11">
    <w:name w:val="heading 9"/>
    <w:basedOn w:val="10"/>
    <w:next w:val="1"/>
    <w:link w:val="41"/>
    <w:unhideWhenUsed/>
    <w:qFormat/>
    <w:uiPriority w:val="9"/>
    <w:pPr>
      <w:keepNext/>
      <w:numPr>
        <w:ilvl w:val="8"/>
      </w:numPr>
      <w:outlineLvl w:val="8"/>
    </w:p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ind w:firstLine="420"/>
    </w:pPr>
  </w:style>
  <w:style w:type="paragraph" w:styleId="12">
    <w:name w:val="table of authorities"/>
    <w:basedOn w:val="1"/>
    <w:next w:val="1"/>
    <w:qFormat/>
    <w:uiPriority w:val="0"/>
    <w:rPr>
      <w:rFonts w:ascii="Times New Roman" w:hAnsi="Times New Roman"/>
    </w:rPr>
  </w:style>
  <w:style w:type="paragraph" w:styleId="13">
    <w:name w:val="Normal Indent"/>
    <w:basedOn w:val="1"/>
    <w:next w:val="1"/>
    <w:unhideWhenUsed/>
    <w:qFormat/>
    <w:uiPriority w:val="0"/>
    <w:pPr>
      <w:spacing w:line="240" w:lineRule="auto"/>
      <w:ind w:firstLine="420"/>
    </w:pPr>
    <w:rPr>
      <w:sz w:val="21"/>
    </w:rPr>
  </w:style>
  <w:style w:type="paragraph" w:styleId="14">
    <w:name w:val="annotation text"/>
    <w:basedOn w:val="1"/>
    <w:link w:val="54"/>
    <w:semiHidden/>
    <w:unhideWhenUsed/>
    <w:qFormat/>
    <w:uiPriority w:val="99"/>
    <w:pPr>
      <w:jc w:val="left"/>
    </w:pPr>
  </w:style>
  <w:style w:type="paragraph" w:styleId="15">
    <w:name w:val="Body Text"/>
    <w:basedOn w:val="1"/>
    <w:next w:val="16"/>
    <w:qFormat/>
    <w:uiPriority w:val="1"/>
    <w:pPr>
      <w:ind w:left="862"/>
    </w:pPr>
    <w:rPr>
      <w:rFonts w:ascii="宋体" w:hAnsi="宋体" w:eastAsia="宋体" w:cs="宋体"/>
      <w:sz w:val="24"/>
      <w:szCs w:val="24"/>
      <w:lang w:val="en-US" w:eastAsia="zh-CN" w:bidi="ar-SA"/>
    </w:rPr>
  </w:style>
  <w:style w:type="paragraph" w:styleId="16">
    <w:name w:val="Title"/>
    <w:basedOn w:val="1"/>
    <w:next w:val="1"/>
    <w:qFormat/>
    <w:uiPriority w:val="0"/>
    <w:pPr>
      <w:spacing w:before="240" w:after="60"/>
      <w:ind w:firstLine="200"/>
      <w:outlineLvl w:val="0"/>
    </w:pPr>
    <w:rPr>
      <w:rFonts w:ascii="Cambria" w:hAnsi="Cambria"/>
      <w:b/>
      <w:sz w:val="30"/>
      <w:szCs w:val="20"/>
    </w:rPr>
  </w:style>
  <w:style w:type="paragraph" w:styleId="17">
    <w:name w:val="Body Text Indent"/>
    <w:basedOn w:val="1"/>
    <w:next w:val="18"/>
    <w:qFormat/>
    <w:uiPriority w:val="0"/>
    <w:pPr>
      <w:spacing w:after="120"/>
      <w:ind w:left="420" w:leftChars="200"/>
    </w:pPr>
    <w:rPr>
      <w:kern w:val="0"/>
      <w:sz w:val="24"/>
      <w:szCs w:val="20"/>
    </w:rPr>
  </w:style>
  <w:style w:type="paragraph" w:styleId="18">
    <w:name w:val="envelope return"/>
    <w:basedOn w:val="1"/>
    <w:qFormat/>
    <w:uiPriority w:val="0"/>
    <w:pPr>
      <w:widowControl w:val="0"/>
      <w:snapToGrid w:val="0"/>
      <w:jc w:val="both"/>
    </w:pPr>
    <w:rPr>
      <w:rFonts w:ascii="Arial" w:hAnsi="Arial" w:eastAsia="宋体" w:cs="Times New Roman"/>
      <w:kern w:val="2"/>
      <w:sz w:val="21"/>
      <w:szCs w:val="24"/>
      <w:lang w:val="en-US" w:eastAsia="zh-CN" w:bidi="ar-SA"/>
    </w:rPr>
  </w:style>
  <w:style w:type="paragraph" w:styleId="19">
    <w:name w:val="Date"/>
    <w:basedOn w:val="1"/>
    <w:next w:val="1"/>
    <w:link w:val="52"/>
    <w:semiHidden/>
    <w:unhideWhenUsed/>
    <w:qFormat/>
    <w:uiPriority w:val="99"/>
    <w:pPr>
      <w:ind w:left="100" w:leftChars="2500"/>
    </w:pPr>
  </w:style>
  <w:style w:type="paragraph" w:styleId="20">
    <w:name w:val="Balloon Text"/>
    <w:basedOn w:val="1"/>
    <w:link w:val="53"/>
    <w:semiHidden/>
    <w:unhideWhenUsed/>
    <w:qFormat/>
    <w:uiPriority w:val="99"/>
    <w:pPr>
      <w:spacing w:line="240" w:lineRule="auto"/>
    </w:pPr>
    <w:rPr>
      <w:sz w:val="18"/>
      <w:szCs w:val="18"/>
    </w:rPr>
  </w:style>
  <w:style w:type="paragraph" w:styleId="21">
    <w:name w:val="footer"/>
    <w:basedOn w:val="1"/>
    <w:link w:val="45"/>
    <w:unhideWhenUsed/>
    <w:qFormat/>
    <w:uiPriority w:val="99"/>
    <w:pPr>
      <w:tabs>
        <w:tab w:val="center" w:pos="4153"/>
        <w:tab w:val="right" w:pos="8306"/>
      </w:tabs>
      <w:snapToGrid w:val="0"/>
      <w:spacing w:line="240" w:lineRule="auto"/>
      <w:jc w:val="left"/>
    </w:pPr>
    <w:rPr>
      <w:sz w:val="18"/>
      <w:szCs w:val="18"/>
    </w:rPr>
  </w:style>
  <w:style w:type="paragraph" w:styleId="22">
    <w:name w:val="header"/>
    <w:basedOn w:val="1"/>
    <w:link w:val="4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basedOn w:val="1"/>
    <w:next w:val="1"/>
    <w:autoRedefine/>
    <w:unhideWhenUsed/>
    <w:qFormat/>
    <w:uiPriority w:val="39"/>
    <w:pPr>
      <w:tabs>
        <w:tab w:val="right" w:leader="dot" w:pos="9060"/>
      </w:tabs>
      <w:ind w:firstLine="0" w:firstLineChars="0"/>
    </w:pPr>
    <w:rPr>
      <w:b/>
    </w:rPr>
  </w:style>
  <w:style w:type="paragraph" w:styleId="24">
    <w:name w:val="annotation subject"/>
    <w:basedOn w:val="14"/>
    <w:next w:val="14"/>
    <w:link w:val="55"/>
    <w:semiHidden/>
    <w:unhideWhenUsed/>
    <w:qFormat/>
    <w:uiPriority w:val="99"/>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rPr>
  </w:style>
  <w:style w:type="character" w:styleId="29">
    <w:name w:val="Emphasis"/>
    <w:basedOn w:val="27"/>
    <w:qFormat/>
    <w:uiPriority w:val="20"/>
    <w:rPr>
      <w:i/>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character" w:styleId="31">
    <w:name w:val="annotation reference"/>
    <w:basedOn w:val="27"/>
    <w:semiHidden/>
    <w:unhideWhenUsed/>
    <w:qFormat/>
    <w:uiPriority w:val="99"/>
    <w:rPr>
      <w:sz w:val="21"/>
      <w:szCs w:val="21"/>
    </w:rPr>
  </w:style>
  <w:style w:type="paragraph" w:customStyle="1" w:styleId="32">
    <w:name w:val="列出段落1"/>
    <w:basedOn w:val="1"/>
    <w:qFormat/>
    <w:uiPriority w:val="34"/>
    <w:pPr>
      <w:ind w:firstLine="420" w:firstLineChars="200"/>
    </w:pPr>
    <w:rPr>
      <w:szCs w:val="22"/>
    </w:rPr>
  </w:style>
  <w:style w:type="character" w:customStyle="1" w:styleId="33">
    <w:name w:val="标题 1 字符"/>
    <w:basedOn w:val="27"/>
    <w:link w:val="2"/>
    <w:qFormat/>
    <w:uiPriority w:val="9"/>
    <w:rPr>
      <w:rFonts w:ascii="Times New Roman" w:hAnsi="Times New Roman" w:eastAsia="宋体" w:cs="Times New Roman"/>
      <w:b/>
      <w:sz w:val="28"/>
      <w:szCs w:val="28"/>
    </w:rPr>
  </w:style>
  <w:style w:type="character" w:customStyle="1" w:styleId="34">
    <w:name w:val="标题 2 字符"/>
    <w:basedOn w:val="27"/>
    <w:link w:val="4"/>
    <w:qFormat/>
    <w:uiPriority w:val="9"/>
    <w:rPr>
      <w:rFonts w:ascii="Times New Roman" w:hAnsi="Times New Roman" w:eastAsia="宋体" w:cs="Times New Roman"/>
      <w:b/>
      <w:sz w:val="24"/>
      <w:szCs w:val="24"/>
    </w:rPr>
  </w:style>
  <w:style w:type="character" w:customStyle="1" w:styleId="35">
    <w:name w:val="标题 3 字符"/>
    <w:basedOn w:val="27"/>
    <w:link w:val="5"/>
    <w:qFormat/>
    <w:uiPriority w:val="9"/>
    <w:rPr>
      <w:rFonts w:ascii="Times New Roman" w:hAnsi="Times New Roman" w:eastAsia="宋体" w:cs="Times New Roman"/>
      <w:b/>
      <w:sz w:val="24"/>
      <w:szCs w:val="24"/>
    </w:rPr>
  </w:style>
  <w:style w:type="character" w:customStyle="1" w:styleId="36">
    <w:name w:val="标题 4 字符"/>
    <w:basedOn w:val="27"/>
    <w:link w:val="6"/>
    <w:qFormat/>
    <w:uiPriority w:val="9"/>
    <w:rPr>
      <w:rFonts w:ascii="Times New Roman" w:hAnsi="Times New Roman" w:eastAsia="宋体" w:cs="Times New Roman"/>
      <w:b/>
      <w:sz w:val="24"/>
      <w:szCs w:val="24"/>
    </w:rPr>
  </w:style>
  <w:style w:type="character" w:customStyle="1" w:styleId="37">
    <w:name w:val="标题 5 字符"/>
    <w:basedOn w:val="27"/>
    <w:link w:val="7"/>
    <w:qFormat/>
    <w:uiPriority w:val="9"/>
    <w:rPr>
      <w:rFonts w:ascii="Times New Roman" w:hAnsi="Times New Roman" w:eastAsia="宋体" w:cs="Times New Roman"/>
      <w:b/>
      <w:sz w:val="24"/>
      <w:szCs w:val="24"/>
    </w:rPr>
  </w:style>
  <w:style w:type="character" w:customStyle="1" w:styleId="38">
    <w:name w:val="标题 6 字符"/>
    <w:basedOn w:val="27"/>
    <w:link w:val="8"/>
    <w:qFormat/>
    <w:uiPriority w:val="9"/>
    <w:rPr>
      <w:rFonts w:ascii="Times New Roman" w:hAnsi="Times New Roman" w:eastAsia="宋体" w:cs="Times New Roman"/>
      <w:b/>
      <w:sz w:val="24"/>
      <w:szCs w:val="24"/>
    </w:rPr>
  </w:style>
  <w:style w:type="character" w:customStyle="1" w:styleId="39">
    <w:name w:val="标题 7 字符"/>
    <w:basedOn w:val="27"/>
    <w:link w:val="9"/>
    <w:qFormat/>
    <w:uiPriority w:val="9"/>
    <w:rPr>
      <w:rFonts w:ascii="Times New Roman" w:hAnsi="Times New Roman" w:eastAsia="宋体" w:cs="Times New Roman"/>
      <w:b/>
      <w:sz w:val="24"/>
      <w:szCs w:val="24"/>
    </w:rPr>
  </w:style>
  <w:style w:type="character" w:customStyle="1" w:styleId="40">
    <w:name w:val="标题 8 字符"/>
    <w:basedOn w:val="27"/>
    <w:link w:val="10"/>
    <w:qFormat/>
    <w:uiPriority w:val="9"/>
    <w:rPr>
      <w:rFonts w:ascii="Times New Roman" w:hAnsi="Times New Roman" w:eastAsia="宋体" w:cs="Times New Roman"/>
      <w:b/>
      <w:sz w:val="24"/>
      <w:szCs w:val="24"/>
    </w:rPr>
  </w:style>
  <w:style w:type="character" w:customStyle="1" w:styleId="41">
    <w:name w:val="标题 9 字符"/>
    <w:basedOn w:val="27"/>
    <w:link w:val="11"/>
    <w:qFormat/>
    <w:uiPriority w:val="9"/>
    <w:rPr>
      <w:rFonts w:ascii="Times New Roman" w:hAnsi="Times New Roman" w:eastAsia="宋体" w:cs="Times New Roman"/>
      <w:b/>
      <w:sz w:val="24"/>
      <w:szCs w:val="24"/>
    </w:rPr>
  </w:style>
  <w:style w:type="paragraph" w:customStyle="1" w:styleId="42">
    <w:name w:val="表格字体"/>
    <w:basedOn w:val="1"/>
    <w:link w:val="43"/>
    <w:qFormat/>
    <w:uiPriority w:val="0"/>
    <w:pPr>
      <w:spacing w:line="276" w:lineRule="auto"/>
      <w:ind w:firstLine="0" w:firstLineChars="0"/>
      <w:jc w:val="center"/>
    </w:pPr>
    <w:rPr>
      <w:sz w:val="21"/>
      <w:szCs w:val="21"/>
    </w:rPr>
  </w:style>
  <w:style w:type="character" w:customStyle="1" w:styleId="43">
    <w:name w:val="表格字体 字符"/>
    <w:basedOn w:val="27"/>
    <w:link w:val="42"/>
    <w:qFormat/>
    <w:uiPriority w:val="0"/>
    <w:rPr>
      <w:rFonts w:ascii="Times New Roman" w:hAnsi="Times New Roman" w:eastAsia="宋体" w:cs="Times New Roman"/>
      <w:szCs w:val="21"/>
    </w:rPr>
  </w:style>
  <w:style w:type="character" w:customStyle="1" w:styleId="44">
    <w:name w:val="页眉 字符"/>
    <w:basedOn w:val="27"/>
    <w:link w:val="22"/>
    <w:qFormat/>
    <w:uiPriority w:val="99"/>
    <w:rPr>
      <w:rFonts w:ascii="Times New Roman" w:hAnsi="Times New Roman" w:eastAsia="宋体" w:cs="Times New Roman"/>
      <w:sz w:val="18"/>
      <w:szCs w:val="18"/>
    </w:rPr>
  </w:style>
  <w:style w:type="character" w:customStyle="1" w:styleId="45">
    <w:name w:val="页脚 字符"/>
    <w:basedOn w:val="27"/>
    <w:link w:val="21"/>
    <w:qFormat/>
    <w:uiPriority w:val="99"/>
    <w:rPr>
      <w:rFonts w:ascii="Times New Roman" w:hAnsi="Times New Roman" w:eastAsia="宋体" w:cs="Times New Roman"/>
      <w:sz w:val="18"/>
      <w:szCs w:val="18"/>
    </w:rPr>
  </w:style>
  <w:style w:type="paragraph" w:customStyle="1" w:styleId="46">
    <w:name w:val="TOC Heading"/>
    <w:basedOn w:val="2"/>
    <w:next w:val="1"/>
    <w:unhideWhenUsed/>
    <w:qFormat/>
    <w:uiPriority w:val="39"/>
    <w:pPr>
      <w:keepLines/>
      <w:pageBreakBefore w:val="0"/>
      <w:widowControl/>
      <w:numPr>
        <w:numId w:val="0"/>
      </w:numPr>
      <w:spacing w:before="24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paragraph" w:styleId="47">
    <w:name w:val="No Spacing"/>
    <w:basedOn w:val="1"/>
    <w:qFormat/>
    <w:uiPriority w:val="1"/>
    <w:pPr>
      <w:spacing w:line="240" w:lineRule="auto"/>
      <w:ind w:firstLine="0" w:firstLineChars="0"/>
      <w:jc w:val="center"/>
    </w:pPr>
  </w:style>
  <w:style w:type="paragraph" w:customStyle="1" w:styleId="48">
    <w:name w:val="表内格式"/>
    <w:basedOn w:val="1"/>
    <w:qFormat/>
    <w:uiPriority w:val="0"/>
    <w:pPr>
      <w:spacing w:line="240" w:lineRule="auto"/>
      <w:ind w:firstLine="0" w:firstLineChars="0"/>
      <w:jc w:val="center"/>
    </w:pPr>
    <w:rPr>
      <w:sz w:val="21"/>
      <w:szCs w:val="21"/>
    </w:rPr>
  </w:style>
  <w:style w:type="paragraph" w:customStyle="1" w:styleId="49">
    <w:name w:val="表格字"/>
    <w:basedOn w:val="1"/>
    <w:link w:val="50"/>
    <w:qFormat/>
    <w:uiPriority w:val="0"/>
    <w:pPr>
      <w:spacing w:line="240" w:lineRule="auto"/>
      <w:ind w:firstLine="0" w:firstLineChars="0"/>
      <w:jc w:val="center"/>
    </w:pPr>
    <w:rPr>
      <w:sz w:val="21"/>
      <w:szCs w:val="21"/>
    </w:rPr>
  </w:style>
  <w:style w:type="character" w:customStyle="1" w:styleId="50">
    <w:name w:val="表格字 字符"/>
    <w:basedOn w:val="27"/>
    <w:link w:val="49"/>
    <w:qFormat/>
    <w:uiPriority w:val="0"/>
    <w:rPr>
      <w:rFonts w:ascii="Times New Roman" w:hAnsi="Times New Roman" w:eastAsia="宋体" w:cs="Times New Roman"/>
      <w:szCs w:val="21"/>
    </w:rPr>
  </w:style>
  <w:style w:type="character" w:customStyle="1" w:styleId="51">
    <w:name w:val="Book Title"/>
    <w:basedOn w:val="27"/>
    <w:qFormat/>
    <w:uiPriority w:val="33"/>
    <w:rPr>
      <w:b/>
      <w:bCs/>
      <w:i/>
      <w:iCs/>
      <w:spacing w:val="5"/>
    </w:rPr>
  </w:style>
  <w:style w:type="character" w:customStyle="1" w:styleId="52">
    <w:name w:val="日期 字符"/>
    <w:basedOn w:val="27"/>
    <w:link w:val="19"/>
    <w:semiHidden/>
    <w:qFormat/>
    <w:uiPriority w:val="99"/>
    <w:rPr>
      <w:rFonts w:ascii="Times New Roman" w:hAnsi="Times New Roman" w:eastAsia="宋体" w:cs="Times New Roman"/>
      <w:sz w:val="24"/>
      <w:szCs w:val="24"/>
    </w:rPr>
  </w:style>
  <w:style w:type="character" w:customStyle="1" w:styleId="53">
    <w:name w:val="批注框文本 字符"/>
    <w:basedOn w:val="27"/>
    <w:link w:val="20"/>
    <w:semiHidden/>
    <w:qFormat/>
    <w:uiPriority w:val="99"/>
    <w:rPr>
      <w:rFonts w:ascii="Times New Roman" w:hAnsi="Times New Roman" w:eastAsia="宋体" w:cs="Times New Roman"/>
      <w:sz w:val="18"/>
      <w:szCs w:val="18"/>
    </w:rPr>
  </w:style>
  <w:style w:type="character" w:customStyle="1" w:styleId="54">
    <w:name w:val="批注文字 字符"/>
    <w:basedOn w:val="27"/>
    <w:link w:val="14"/>
    <w:semiHidden/>
    <w:qFormat/>
    <w:uiPriority w:val="99"/>
    <w:rPr>
      <w:rFonts w:ascii="Times New Roman" w:hAnsi="Times New Roman" w:eastAsia="宋体" w:cs="Times New Roman"/>
      <w:sz w:val="24"/>
      <w:szCs w:val="24"/>
    </w:rPr>
  </w:style>
  <w:style w:type="character" w:customStyle="1" w:styleId="55">
    <w:name w:val="批注主题 字符"/>
    <w:basedOn w:val="54"/>
    <w:link w:val="24"/>
    <w:semiHidden/>
    <w:qFormat/>
    <w:uiPriority w:val="99"/>
    <w:rPr>
      <w:rFonts w:ascii="Times New Roman" w:hAnsi="Times New Roman" w:eastAsia="宋体" w:cs="Times New Roman"/>
      <w:b/>
      <w:bCs/>
      <w:sz w:val="24"/>
      <w:szCs w:val="24"/>
    </w:rPr>
  </w:style>
  <w:style w:type="paragraph" w:customStyle="1" w:styleId="56">
    <w:name w:val="Table Paragraph"/>
    <w:basedOn w:val="1"/>
    <w:qFormat/>
    <w:uiPriority w:val="1"/>
    <w:rPr>
      <w:rFonts w:ascii="宋体" w:hAnsi="宋体" w:eastAsia="宋体" w:cs="宋体"/>
      <w:lang w:val="en-US" w:eastAsia="zh-CN" w:bidi="ar-SA"/>
    </w:rPr>
  </w:style>
  <w:style w:type="paragraph" w:customStyle="1" w:styleId="57">
    <w:name w:val="Default1"/>
    <w:next w:val="58"/>
    <w:autoRedefine/>
    <w:qFormat/>
    <w:uiPriority w:val="0"/>
    <w:pPr>
      <w:widowControl w:val="0"/>
      <w:autoSpaceDE w:val="0"/>
      <w:autoSpaceDN w:val="0"/>
      <w:adjustRightInd w:val="0"/>
      <w:spacing w:line="360" w:lineRule="auto"/>
      <w:jc w:val="both"/>
    </w:pPr>
    <w:rPr>
      <w:rFonts w:ascii="宋体" w:hAnsi="Times New Roman" w:eastAsia="宋体" w:cs="宋体"/>
      <w:color w:val="000000"/>
      <w:sz w:val="24"/>
      <w:szCs w:val="24"/>
      <w:lang w:val="en-US" w:eastAsia="zh-CN" w:bidi="ar-SA"/>
    </w:rPr>
  </w:style>
  <w:style w:type="paragraph" w:customStyle="1" w:styleId="58">
    <w:name w:val="标题4"/>
    <w:basedOn w:val="1"/>
    <w:next w:val="59"/>
    <w:autoRedefine/>
    <w:qFormat/>
    <w:uiPriority w:val="0"/>
    <w:pPr>
      <w:widowControl w:val="0"/>
      <w:autoSpaceDE/>
      <w:autoSpaceDN/>
      <w:spacing w:before="0" w:after="0" w:line="360" w:lineRule="auto"/>
      <w:ind w:left="496" w:firstLine="0"/>
      <w:jc w:val="both"/>
    </w:pPr>
    <w:rPr>
      <w:rFonts w:ascii="宋体" w:eastAsia="Calibri"/>
      <w:sz w:val="24"/>
    </w:rPr>
  </w:style>
  <w:style w:type="paragraph" w:customStyle="1" w:styleId="59">
    <w:name w:val="表格内正文"/>
    <w:basedOn w:val="1"/>
    <w:next w:val="60"/>
    <w:autoRedefine/>
    <w:qFormat/>
    <w:uiPriority w:val="0"/>
    <w:pPr>
      <w:spacing w:line="360" w:lineRule="auto"/>
      <w:ind w:firstLine="493"/>
    </w:pPr>
    <w:rPr>
      <w:rFonts w:ascii="宋体" w:hAnsi="宋体"/>
      <w:spacing w:val="4"/>
      <w:kern w:val="18"/>
      <w:sz w:val="24"/>
    </w:rPr>
  </w:style>
  <w:style w:type="paragraph" w:customStyle="1" w:styleId="60">
    <w:name w:val="A 正文"/>
    <w:basedOn w:val="1"/>
    <w:next w:val="1"/>
    <w:autoRedefine/>
    <w:qFormat/>
    <w:uiPriority w:val="0"/>
    <w:pPr>
      <w:spacing w:line="360" w:lineRule="auto"/>
      <w:ind w:firstLine="200" w:firstLineChars="200"/>
    </w:pPr>
    <w:rPr>
      <w:sz w:val="24"/>
    </w:rPr>
  </w:style>
  <w:style w:type="paragraph" w:customStyle="1" w:styleId="61">
    <w:name w:val="表格"/>
    <w:basedOn w:val="1"/>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62">
    <w:name w:val="表内表（居中）"/>
    <w:basedOn w:val="63"/>
    <w:autoRedefine/>
    <w:qFormat/>
    <w:uiPriority w:val="0"/>
    <w:pPr>
      <w:spacing w:line="240" w:lineRule="auto"/>
      <w:ind w:firstLine="0" w:firstLineChars="0"/>
      <w:jc w:val="center"/>
    </w:pPr>
    <w:rPr>
      <w:sz w:val="21"/>
      <w:szCs w:val="21"/>
    </w:rPr>
  </w:style>
  <w:style w:type="paragraph" w:customStyle="1" w:styleId="63">
    <w:name w:val="表格正文"/>
    <w:basedOn w:val="1"/>
    <w:autoRedefine/>
    <w:qFormat/>
    <w:uiPriority w:val="0"/>
    <w:pPr>
      <w:widowControl w:val="0"/>
      <w:autoSpaceDE w:val="0"/>
      <w:autoSpaceDN w:val="0"/>
      <w:adjustRightInd w:val="0"/>
      <w:snapToGrid w:val="0"/>
      <w:spacing w:line="360" w:lineRule="auto"/>
      <w:jc w:val="both"/>
    </w:pPr>
    <w:rPr>
      <w:rFonts w:ascii="Times New Roman" w:hAnsi="Times New Roman" w:eastAsia="宋体" w:cs="Times New Roman"/>
    </w:rPr>
  </w:style>
  <w:style w:type="paragraph" w:customStyle="1" w:styleId="64">
    <w:name w:val="表格内字体"/>
    <w:basedOn w:val="1"/>
    <w:next w:val="1"/>
    <w:qFormat/>
    <w:uiPriority w:val="0"/>
    <w:pPr>
      <w:spacing w:line="240" w:lineRule="auto"/>
      <w:ind w:firstLine="0" w:firstLineChars="0"/>
      <w:jc w:val="center"/>
    </w:pPr>
    <w:rPr>
      <w:rFonts w:hAnsi="宋体"/>
      <w:kern w:val="0"/>
      <w:sz w:val="20"/>
      <w:szCs w:val="20"/>
    </w:rPr>
  </w:style>
  <w:style w:type="paragraph" w:customStyle="1" w:styleId="65">
    <w:name w:val="报告书正文"/>
    <w:basedOn w:val="1"/>
    <w:qFormat/>
    <w:uiPriority w:val="0"/>
    <w:pPr>
      <w:widowControl/>
      <w:spacing w:line="300" w:lineRule="auto"/>
      <w:ind w:firstLine="200" w:firstLineChars="200"/>
      <w:jc w:val="left"/>
    </w:pPr>
    <w:rPr>
      <w:color w:val="000000"/>
      <w:sz w:val="24"/>
      <w:szCs w:val="20"/>
    </w:rPr>
  </w:style>
  <w:style w:type="paragraph" w:customStyle="1" w:styleId="66">
    <w:name w:val="1正文"/>
    <w:qFormat/>
    <w:uiPriority w:val="0"/>
    <w:pPr>
      <w:spacing w:line="480" w:lineRule="exact"/>
      <w:ind w:firstLine="200" w:firstLineChars="200"/>
      <w:jc w:val="both"/>
    </w:pPr>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858</Words>
  <Characters>964</Characters>
  <Lines>265</Lines>
  <Paragraphs>74</Paragraphs>
  <TotalTime>3</TotalTime>
  <ScaleCrop>false</ScaleCrop>
  <LinksUpToDate>false</LinksUpToDate>
  <CharactersWithSpaces>1039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2024-01-30T14:11:00Z</dcterms:created>
  <dc:creator>lbxx lbxx</dc:creator>
  <cp:lastModifiedBy>子皓</cp:lastModifiedBy>
  <cp:lastPrinted>2024-04-06T09:45:00Z</cp:lastPrinted>
  <dcterms:modified xsi:type="dcterms:W3CDTF">2026-02-13T01:47:54Z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4F2BFE1210264F04BCE546543D68F493_13</vt:lpwstr>
  </property>
  <property fmtid="{D5CDD505-2E9C-101B-9397-08002B2CF9AE}" pid="4" name="KSOTemplateDocerSaveRecord">
    <vt:lpwstr>eyJoZGlkIjoiM2UwMzM3NWYwNmRiM2U4ZTY2MjFlNTc1NDc5YmFjNmMiLCJ1c2VySWQiOiI0MjAyMDU0NjYifQ==</vt:lpwstr>
  </property>
</Properties>
</file>