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2"/>
          <w:szCs w:val="32"/>
        </w:rPr>
      </w:pPr>
      <w:bookmarkStart w:id="0" w:name="_GoBack"/>
      <w:bookmarkEnd w:id="0"/>
    </w:p>
    <w:p>
      <w:pPr>
        <w:jc w:val="center"/>
        <w:rPr>
          <w:rFonts w:ascii="宋体"/>
          <w:b/>
          <w:sz w:val="32"/>
          <w:szCs w:val="32"/>
        </w:rPr>
      </w:pPr>
    </w:p>
    <w:p>
      <w:pPr>
        <w:jc w:val="center"/>
        <w:rPr>
          <w:rFonts w:ascii="宋体"/>
          <w:b/>
          <w:sz w:val="32"/>
          <w:szCs w:val="32"/>
        </w:rPr>
      </w:pPr>
      <w:r>
        <w:rPr>
          <w:rFonts w:hint="eastAsia" w:ascii="宋体" w:hAnsi="宋体"/>
          <w:b/>
          <w:sz w:val="32"/>
          <w:szCs w:val="32"/>
        </w:rPr>
        <w:t>全州县人民政府</w:t>
      </w:r>
    </w:p>
    <w:p>
      <w:pPr>
        <w:jc w:val="center"/>
        <w:rPr>
          <w:rFonts w:ascii="宋体"/>
          <w:b/>
          <w:sz w:val="52"/>
          <w:szCs w:val="52"/>
        </w:rPr>
      </w:pPr>
      <w:r>
        <w:rPr>
          <w:rFonts w:hint="eastAsia" w:ascii="宋体" w:hAnsi="宋体"/>
          <w:b/>
          <w:sz w:val="52"/>
          <w:szCs w:val="52"/>
        </w:rPr>
        <w:t>办　公　室　文　件</w:t>
      </w:r>
    </w:p>
    <w:p>
      <w:pPr>
        <w:jc w:val="center"/>
        <w:rPr>
          <w:rFonts w:ascii="宋体"/>
          <w:b/>
          <w:sz w:val="32"/>
          <w:szCs w:val="32"/>
        </w:rPr>
      </w:pPr>
    </w:p>
    <w:p>
      <w:pPr>
        <w:jc w:val="center"/>
        <w:rPr>
          <w:rFonts w:ascii="宋体"/>
          <w:b/>
          <w:sz w:val="32"/>
          <w:szCs w:val="32"/>
        </w:rPr>
      </w:pPr>
      <w:r>
        <w:rPr>
          <w:rFonts w:hint="eastAsia" w:ascii="宋体" w:hAnsi="宋体"/>
          <w:b/>
          <w:sz w:val="32"/>
          <w:szCs w:val="32"/>
        </w:rPr>
        <w:t>县政办〔</w:t>
      </w:r>
      <w:r>
        <w:rPr>
          <w:rFonts w:ascii="宋体" w:hAnsi="宋体"/>
          <w:b/>
          <w:sz w:val="32"/>
          <w:szCs w:val="32"/>
        </w:rPr>
        <w:t>2017</w:t>
      </w:r>
      <w:r>
        <w:rPr>
          <w:rFonts w:hint="eastAsia" w:ascii="宋体" w:hAnsi="宋体"/>
          <w:b/>
          <w:sz w:val="32"/>
          <w:szCs w:val="32"/>
        </w:rPr>
        <w:t>〕</w:t>
      </w:r>
      <w:r>
        <w:rPr>
          <w:rFonts w:hint="eastAsia" w:ascii="宋体" w:hAnsi="宋体"/>
          <w:b/>
          <w:sz w:val="32"/>
          <w:szCs w:val="32"/>
          <w:lang w:val="en-US" w:eastAsia="zh-CN"/>
        </w:rPr>
        <w:t>80</w:t>
      </w:r>
      <w:r>
        <w:rPr>
          <w:rFonts w:hint="eastAsia" w:ascii="宋体" w:hAnsi="宋体"/>
          <w:b/>
          <w:sz w:val="32"/>
          <w:szCs w:val="32"/>
        </w:rPr>
        <w:t>号</w:t>
      </w:r>
    </w:p>
    <w:p>
      <w:pPr>
        <w:tabs>
          <w:tab w:val="left" w:pos="735"/>
        </w:tabs>
        <w:spacing w:line="460" w:lineRule="exact"/>
        <w:ind w:left="-420" w:leftChars="-200" w:right="-506" w:rightChars="-241"/>
        <w:rPr>
          <w:rFonts w:ascii="宋体"/>
          <w:b/>
          <w:sz w:val="32"/>
          <w:szCs w:val="32"/>
        </w:rPr>
      </w:pPr>
      <w:r>
        <w:pict>
          <v:line id="_x0000_s1027" o:spid="_x0000_s1027" o:spt="20" style="position:absolute;left:0pt;flip:y;margin-left:-15.25pt;margin-top:3.35pt;height:0.45pt;width:465.65pt;z-index:251659264;mso-width-relative:page;mso-height-relative:page;" coordsize="21600,21600">
            <v:path arrowok="t"/>
            <v:fill focussize="0,0"/>
            <v:stroke/>
            <v:imagedata o:title=""/>
            <o:lock v:ext="edit"/>
          </v:line>
        </w:pict>
      </w:r>
    </w:p>
    <w:p>
      <w:pPr>
        <w:jc w:val="center"/>
        <w:rPr>
          <w:rFonts w:ascii="宋体"/>
          <w:b/>
          <w:sz w:val="32"/>
          <w:szCs w:val="32"/>
        </w:rPr>
      </w:pPr>
    </w:p>
    <w:p>
      <w:pPr>
        <w:jc w:val="center"/>
        <w:rPr>
          <w:rFonts w:ascii="宋体"/>
          <w:b/>
          <w:sz w:val="32"/>
          <w:szCs w:val="32"/>
        </w:rPr>
      </w:pPr>
      <w:r>
        <w:rPr>
          <w:rFonts w:hint="eastAsia" w:ascii="宋体" w:hAnsi="宋体"/>
          <w:b/>
          <w:sz w:val="32"/>
          <w:szCs w:val="32"/>
        </w:rPr>
        <w:t>全州县人民政府办公室关于印发</w:t>
      </w:r>
    </w:p>
    <w:p>
      <w:pPr>
        <w:jc w:val="center"/>
        <w:rPr>
          <w:rFonts w:ascii="宋体"/>
          <w:b/>
          <w:sz w:val="32"/>
          <w:szCs w:val="32"/>
        </w:rPr>
      </w:pPr>
      <w:r>
        <w:rPr>
          <w:rFonts w:hint="eastAsia" w:ascii="宋体" w:hAnsi="宋体"/>
          <w:b/>
          <w:sz w:val="32"/>
          <w:szCs w:val="32"/>
        </w:rPr>
        <w:t>全州县土壤环境保护方案的通知</w:t>
      </w:r>
    </w:p>
    <w:p/>
    <w:p/>
    <w:p>
      <w:pPr>
        <w:rPr>
          <w:rFonts w:ascii="宋体"/>
          <w:sz w:val="28"/>
          <w:szCs w:val="28"/>
        </w:rPr>
      </w:pPr>
      <w:r>
        <w:rPr>
          <w:rFonts w:hint="eastAsia" w:ascii="宋体" w:hAnsi="宋体"/>
          <w:sz w:val="28"/>
          <w:szCs w:val="28"/>
        </w:rPr>
        <w:t>各乡镇人民政府，县直各委、办、局，中央、自治区、桂林驻全州各单位：</w:t>
      </w:r>
    </w:p>
    <w:p>
      <w:pPr>
        <w:ind w:firstLine="560" w:firstLineChars="200"/>
        <w:rPr>
          <w:rFonts w:ascii="宋体"/>
          <w:sz w:val="28"/>
          <w:szCs w:val="28"/>
        </w:rPr>
      </w:pPr>
      <w:r>
        <w:rPr>
          <w:rFonts w:hint="eastAsia" w:ascii="宋体" w:hAnsi="宋体"/>
          <w:sz w:val="28"/>
          <w:szCs w:val="28"/>
        </w:rPr>
        <w:t>《全州县土壤环境保护方案》已经县人民政府同意，现印发给你们，请认真组织实施。</w:t>
      </w:r>
    </w:p>
    <w:p>
      <w:pPr>
        <w:rPr>
          <w:rFonts w:ascii="宋体"/>
          <w:sz w:val="28"/>
          <w:szCs w:val="28"/>
        </w:rPr>
      </w:pPr>
    </w:p>
    <w:p>
      <w:pPr>
        <w:rPr>
          <w:rFonts w:ascii="宋体"/>
          <w:sz w:val="28"/>
          <w:szCs w:val="28"/>
        </w:rPr>
      </w:pPr>
    </w:p>
    <w:p>
      <w:pPr>
        <w:rPr>
          <w:rFonts w:ascii="宋体"/>
          <w:sz w:val="28"/>
          <w:szCs w:val="28"/>
        </w:rPr>
      </w:pPr>
    </w:p>
    <w:p>
      <w:pPr>
        <w:jc w:val="center"/>
        <w:rPr>
          <w:rFonts w:ascii="宋体"/>
          <w:sz w:val="28"/>
          <w:szCs w:val="28"/>
        </w:rPr>
      </w:pPr>
      <w:r>
        <w:rPr>
          <w:rFonts w:hint="eastAsia" w:ascii="宋体" w:hAnsi="宋体"/>
          <w:sz w:val="28"/>
          <w:szCs w:val="28"/>
        </w:rPr>
        <w:t>　　　　　　　全州县人民政府办公室</w:t>
      </w:r>
    </w:p>
    <w:p>
      <w:pPr>
        <w:jc w:val="center"/>
        <w:rPr>
          <w:rFonts w:ascii="宋体"/>
          <w:sz w:val="28"/>
          <w:szCs w:val="28"/>
        </w:rPr>
      </w:pPr>
      <w:r>
        <w:rPr>
          <w:rFonts w:hint="eastAsia" w:ascii="宋体" w:hAnsi="宋体"/>
          <w:sz w:val="28"/>
          <w:szCs w:val="28"/>
        </w:rPr>
        <w:t>　　　　　　　　</w:t>
      </w:r>
      <w:r>
        <w:rPr>
          <w:rFonts w:ascii="宋体" w:hAnsi="宋体"/>
          <w:sz w:val="28"/>
          <w:szCs w:val="28"/>
        </w:rPr>
        <w:t>2017</w:t>
      </w:r>
      <w:r>
        <w:rPr>
          <w:rFonts w:hint="eastAsia" w:ascii="宋体" w:hAnsi="宋体"/>
          <w:sz w:val="28"/>
          <w:szCs w:val="28"/>
        </w:rPr>
        <w:t>年</w:t>
      </w:r>
      <w:r>
        <w:rPr>
          <w:rFonts w:ascii="宋体" w:hAnsi="宋体"/>
          <w:sz w:val="28"/>
          <w:szCs w:val="28"/>
        </w:rPr>
        <w:t>1</w:t>
      </w:r>
      <w:r>
        <w:rPr>
          <w:rFonts w:hint="eastAsia" w:ascii="宋体" w:hAnsi="宋体"/>
          <w:sz w:val="28"/>
          <w:szCs w:val="28"/>
          <w:lang w:val="en-US" w:eastAsia="zh-CN"/>
        </w:rPr>
        <w:t>2</w:t>
      </w:r>
      <w:r>
        <w:rPr>
          <w:rFonts w:hint="eastAsia" w:ascii="宋体" w:hAnsi="宋体"/>
          <w:sz w:val="28"/>
          <w:szCs w:val="28"/>
        </w:rPr>
        <w:t>月</w:t>
      </w:r>
      <w:r>
        <w:rPr>
          <w:rFonts w:ascii="宋体" w:hAnsi="宋体"/>
          <w:sz w:val="28"/>
          <w:szCs w:val="28"/>
        </w:rPr>
        <w:t>20</w:t>
      </w:r>
      <w:r>
        <w:rPr>
          <w:rFonts w:hint="eastAsia" w:ascii="宋体" w:hAnsi="宋体"/>
          <w:sz w:val="28"/>
          <w:szCs w:val="28"/>
        </w:rPr>
        <w:t>日</w:t>
      </w:r>
    </w:p>
    <w:p>
      <w:pPr>
        <w:rPr>
          <w:rFonts w:ascii="宋体"/>
          <w:sz w:val="28"/>
          <w:szCs w:val="28"/>
        </w:rPr>
      </w:pPr>
    </w:p>
    <w:p/>
    <w:p/>
    <w:p>
      <w:pPr>
        <w:jc w:val="center"/>
        <w:rPr>
          <w:b/>
          <w:bCs/>
          <w:sz w:val="36"/>
          <w:szCs w:val="36"/>
        </w:rPr>
      </w:pPr>
      <w:r>
        <w:rPr>
          <w:rFonts w:hint="eastAsia"/>
          <w:b/>
          <w:bCs/>
          <w:sz w:val="36"/>
          <w:szCs w:val="36"/>
        </w:rPr>
        <w:t>全州县土壤环境保护方案</w:t>
      </w:r>
    </w:p>
    <w:p>
      <w:pPr>
        <w:ind w:firstLine="420" w:firstLineChars="200"/>
      </w:pPr>
    </w:p>
    <w:p>
      <w:pPr>
        <w:ind w:firstLine="420" w:firstLineChars="200"/>
      </w:pPr>
    </w:p>
    <w:p>
      <w:pPr>
        <w:ind w:firstLine="560" w:firstLineChars="200"/>
        <w:rPr>
          <w:rFonts w:ascii="宋体"/>
          <w:sz w:val="28"/>
          <w:szCs w:val="28"/>
        </w:rPr>
      </w:pPr>
      <w:r>
        <w:rPr>
          <w:rFonts w:hint="eastAsia" w:ascii="宋体" w:hAnsi="宋体"/>
          <w:sz w:val="28"/>
          <w:szCs w:val="28"/>
        </w:rPr>
        <w:t>为</w:t>
      </w:r>
      <w:r>
        <w:rPr>
          <w:rFonts w:hint="eastAsia"/>
          <w:sz w:val="28"/>
          <w:szCs w:val="28"/>
        </w:rPr>
        <w:t>切实做好土壤环境保护工作，逐步改善土壤环境质量，保障土壤环境安全，</w:t>
      </w:r>
      <w:r>
        <w:rPr>
          <w:rFonts w:hint="eastAsia" w:ascii="宋体" w:hAnsi="宋体"/>
          <w:sz w:val="28"/>
          <w:szCs w:val="28"/>
        </w:rPr>
        <w:t>根据《国务院关于印发土壤污染防治行动计划的通知》</w:t>
      </w:r>
      <w:r>
        <w:rPr>
          <w:rFonts w:ascii="宋体" w:hAnsi="宋体"/>
          <w:sz w:val="28"/>
          <w:szCs w:val="28"/>
        </w:rPr>
        <w:t>(</w:t>
      </w:r>
      <w:r>
        <w:rPr>
          <w:rFonts w:hint="eastAsia" w:ascii="宋体" w:hAnsi="宋体"/>
          <w:sz w:val="28"/>
          <w:szCs w:val="28"/>
        </w:rPr>
        <w:t>国发〔</w:t>
      </w:r>
      <w:r>
        <w:rPr>
          <w:rFonts w:ascii="宋体" w:hAnsi="宋体"/>
          <w:sz w:val="28"/>
          <w:szCs w:val="28"/>
        </w:rPr>
        <w:t>2016</w:t>
      </w:r>
      <w:r>
        <w:rPr>
          <w:rFonts w:hint="eastAsia" w:ascii="宋体" w:hAnsi="宋体"/>
          <w:sz w:val="28"/>
          <w:szCs w:val="28"/>
        </w:rPr>
        <w:t>〕</w:t>
      </w:r>
      <w:r>
        <w:rPr>
          <w:rFonts w:ascii="宋体" w:hAnsi="宋体"/>
          <w:sz w:val="28"/>
          <w:szCs w:val="28"/>
        </w:rPr>
        <w:t>31</w:t>
      </w:r>
      <w:r>
        <w:rPr>
          <w:rFonts w:hint="eastAsia" w:ascii="宋体" w:hAnsi="宋体"/>
          <w:sz w:val="28"/>
          <w:szCs w:val="28"/>
        </w:rPr>
        <w:t>号</w:t>
      </w:r>
      <w:r>
        <w:rPr>
          <w:rFonts w:ascii="宋体" w:hAnsi="宋体"/>
          <w:sz w:val="28"/>
          <w:szCs w:val="28"/>
        </w:rPr>
        <w:t>)</w:t>
      </w:r>
      <w:r>
        <w:rPr>
          <w:rFonts w:hint="eastAsia" w:ascii="宋体" w:hAnsi="宋体"/>
          <w:sz w:val="28"/>
          <w:szCs w:val="28"/>
        </w:rPr>
        <w:t>、《广西壮族自治区土壤污染防治行动计划工作方案》和《桂林市人民政府办公室关于印发桂林市土壤污染防治工作方案的通知》（市政办〔</w:t>
      </w:r>
      <w:r>
        <w:rPr>
          <w:rFonts w:ascii="宋体" w:hAnsi="宋体"/>
          <w:sz w:val="28"/>
          <w:szCs w:val="28"/>
        </w:rPr>
        <w:t>2017</w:t>
      </w:r>
      <w:r>
        <w:rPr>
          <w:rFonts w:hint="eastAsia" w:ascii="宋体" w:hAnsi="宋体"/>
          <w:sz w:val="28"/>
          <w:szCs w:val="28"/>
        </w:rPr>
        <w:t>〕</w:t>
      </w:r>
      <w:r>
        <w:rPr>
          <w:rFonts w:ascii="宋体" w:hAnsi="宋体"/>
          <w:sz w:val="28"/>
          <w:szCs w:val="28"/>
        </w:rPr>
        <w:t>1</w:t>
      </w:r>
      <w:r>
        <w:rPr>
          <w:rFonts w:hint="eastAsia" w:ascii="宋体" w:hAnsi="宋体"/>
          <w:sz w:val="28"/>
          <w:szCs w:val="28"/>
        </w:rPr>
        <w:t>号）等要求，</w:t>
      </w:r>
      <w:r>
        <w:rPr>
          <w:rFonts w:hint="eastAsia"/>
          <w:sz w:val="28"/>
          <w:szCs w:val="28"/>
        </w:rPr>
        <w:t>结合全州县土壤污染现状及区域经济社会特点，重点针对采选、冶炼、化工为主的重点场地历史遗留农田污染问题和重金属高背景值土壤问题，特制定本方案。</w:t>
      </w:r>
    </w:p>
    <w:p>
      <w:pPr>
        <w:ind w:firstLine="562" w:firstLineChars="200"/>
        <w:rPr>
          <w:rFonts w:ascii="宋体"/>
          <w:b/>
          <w:sz w:val="28"/>
          <w:szCs w:val="28"/>
        </w:rPr>
      </w:pPr>
      <w:r>
        <w:rPr>
          <w:rFonts w:hint="eastAsia" w:ascii="宋体" w:hAnsi="宋体"/>
          <w:b/>
          <w:sz w:val="28"/>
          <w:szCs w:val="28"/>
        </w:rPr>
        <w:t>一、总体要求　　</w:t>
      </w:r>
    </w:p>
    <w:p>
      <w:pPr>
        <w:ind w:firstLine="560" w:firstLineChars="200"/>
        <w:rPr>
          <w:sz w:val="28"/>
          <w:szCs w:val="28"/>
        </w:rPr>
      </w:pPr>
      <w:r>
        <w:rPr>
          <w:rFonts w:hint="eastAsia" w:ascii="宋体" w:hAnsi="宋体"/>
          <w:sz w:val="28"/>
          <w:szCs w:val="28"/>
        </w:rPr>
        <w:t>全面贯彻党的十八大和十八届三中、四中、五中、六中全会以及</w:t>
      </w:r>
      <w:r>
        <w:rPr>
          <w:rFonts w:hint="eastAsia" w:ascii="宋体" w:hAnsi="宋体"/>
          <w:sz w:val="28"/>
          <w:szCs w:val="28"/>
          <w:lang w:val="en-US" w:eastAsia="zh-CN"/>
        </w:rPr>
        <w:t>党的</w:t>
      </w:r>
      <w:r>
        <w:rPr>
          <w:rFonts w:hint="eastAsia" w:ascii="宋体" w:hAnsi="宋体"/>
          <w:sz w:val="28"/>
          <w:szCs w:val="28"/>
        </w:rPr>
        <w:t>十九大精神，认真落实自治区党委、自治区政府、桂林市委、桂林市政府的决策，立足我县发展现状，以改善土壤环境质量为核心，以防控土壤环境风险为目标，进一步创新工作思路，加快形成政府主导、企业担责、公众参与、社会监督的土壤污染防治体系。结合我县实际，以保障农产品质量和人居环境安全为出发点，切实保护耕地，完成国家产粮大县土壤环境保护的要求，坚持预防为主、保护优先、风险管控、安全利用，突出重点区域、重点行业和重点污染物，实施分类别、分用途、分阶段治理，严控新增污染，逐步减少存量，进一步改善土壤环境质量，促进土壤资源永续利用，</w:t>
      </w:r>
      <w:r>
        <w:rPr>
          <w:rFonts w:hint="eastAsia"/>
          <w:sz w:val="28"/>
          <w:szCs w:val="28"/>
        </w:rPr>
        <w:t>保障经济社会和生态环境可持续协调发展。</w:t>
      </w:r>
      <w:r>
        <w:rPr>
          <w:rFonts w:hint="eastAsia" w:ascii="宋体" w:hAnsi="宋体"/>
          <w:sz w:val="28"/>
          <w:szCs w:val="28"/>
        </w:rPr>
        <w:t>　</w:t>
      </w:r>
    </w:p>
    <w:p>
      <w:pPr>
        <w:ind w:firstLine="562" w:firstLineChars="200"/>
        <w:rPr>
          <w:rFonts w:ascii="宋体"/>
          <w:b/>
          <w:sz w:val="28"/>
          <w:szCs w:val="28"/>
        </w:rPr>
      </w:pPr>
      <w:r>
        <w:rPr>
          <w:rFonts w:hint="eastAsia" w:ascii="宋体" w:hAnsi="宋体"/>
          <w:b/>
          <w:sz w:val="28"/>
          <w:szCs w:val="28"/>
        </w:rPr>
        <w:t>二、工作目标　　</w:t>
      </w:r>
    </w:p>
    <w:p>
      <w:pPr>
        <w:ind w:firstLine="560" w:firstLineChars="200"/>
        <w:rPr>
          <w:rFonts w:ascii="宋体"/>
          <w:sz w:val="28"/>
          <w:szCs w:val="28"/>
        </w:rPr>
      </w:pPr>
      <w:r>
        <w:rPr>
          <w:rFonts w:hint="eastAsia" w:ascii="宋体" w:hAnsi="宋体"/>
          <w:sz w:val="28"/>
          <w:szCs w:val="28"/>
        </w:rPr>
        <w:t>（一）总体目标。到</w:t>
      </w:r>
      <w:r>
        <w:rPr>
          <w:rFonts w:ascii="宋体" w:hAnsi="宋体"/>
          <w:sz w:val="28"/>
          <w:szCs w:val="28"/>
        </w:rPr>
        <w:t>2020</w:t>
      </w:r>
      <w:r>
        <w:rPr>
          <w:rFonts w:hint="eastAsia" w:ascii="宋体" w:hAnsi="宋体"/>
          <w:sz w:val="28"/>
          <w:szCs w:val="28"/>
        </w:rPr>
        <w:t>年，全县土壤污染加重趋势得到初步遏制，土壤环境质量总体保持稳定，农用地和建设用地土壤环境安全得到基本保障，土壤环境风险得到基本管控。到</w:t>
      </w:r>
      <w:r>
        <w:rPr>
          <w:rFonts w:ascii="宋体" w:hAnsi="宋体"/>
          <w:sz w:val="28"/>
          <w:szCs w:val="28"/>
        </w:rPr>
        <w:t>2030</w:t>
      </w:r>
      <w:r>
        <w:rPr>
          <w:rFonts w:hint="eastAsia" w:ascii="宋体" w:hAnsi="宋体"/>
          <w:sz w:val="28"/>
          <w:szCs w:val="28"/>
        </w:rPr>
        <w:t>年，全县土壤环境质量稳中向好，农用地和建设用地土壤环境安全得到有效保障，土壤环境风险得到全面管控，</w:t>
      </w:r>
      <w:r>
        <w:rPr>
          <w:rFonts w:hint="eastAsia"/>
          <w:sz w:val="28"/>
          <w:szCs w:val="28"/>
        </w:rPr>
        <w:t>生态系统逐步实现良性循环。</w:t>
      </w:r>
    </w:p>
    <w:p>
      <w:pPr>
        <w:ind w:firstLine="560" w:firstLineChars="200"/>
        <w:rPr>
          <w:rFonts w:ascii="宋体"/>
          <w:sz w:val="28"/>
          <w:szCs w:val="28"/>
        </w:rPr>
      </w:pPr>
      <w:r>
        <w:rPr>
          <w:rFonts w:hint="eastAsia" w:ascii="宋体" w:hAnsi="宋体"/>
          <w:sz w:val="28"/>
          <w:szCs w:val="28"/>
        </w:rPr>
        <w:t>（二）主要指标。到</w:t>
      </w:r>
      <w:r>
        <w:rPr>
          <w:rFonts w:ascii="宋体" w:hAnsi="宋体"/>
          <w:sz w:val="28"/>
          <w:szCs w:val="28"/>
        </w:rPr>
        <w:t>2020</w:t>
      </w:r>
      <w:r>
        <w:rPr>
          <w:rFonts w:hint="eastAsia" w:ascii="宋体" w:hAnsi="宋体"/>
          <w:sz w:val="28"/>
          <w:szCs w:val="28"/>
        </w:rPr>
        <w:t>年，全县受污染耕地安全利用率达到</w:t>
      </w:r>
      <w:r>
        <w:rPr>
          <w:rFonts w:ascii="宋体" w:hAnsi="宋体"/>
          <w:sz w:val="28"/>
          <w:szCs w:val="28"/>
        </w:rPr>
        <w:t>95%</w:t>
      </w:r>
      <w:r>
        <w:rPr>
          <w:rFonts w:hint="eastAsia" w:ascii="宋体" w:hAnsi="宋体"/>
          <w:sz w:val="28"/>
          <w:szCs w:val="28"/>
        </w:rPr>
        <w:t>，查明污染地块并实现场地安全利用率达到</w:t>
      </w:r>
      <w:r>
        <w:rPr>
          <w:rFonts w:ascii="宋体" w:hAnsi="宋体"/>
          <w:sz w:val="28"/>
          <w:szCs w:val="28"/>
        </w:rPr>
        <w:t>95%</w:t>
      </w:r>
      <w:r>
        <w:rPr>
          <w:rFonts w:hint="eastAsia" w:ascii="宋体" w:hAnsi="宋体"/>
          <w:sz w:val="28"/>
          <w:szCs w:val="28"/>
        </w:rPr>
        <w:t>；到</w:t>
      </w:r>
      <w:r>
        <w:rPr>
          <w:rFonts w:ascii="宋体" w:hAnsi="宋体"/>
          <w:sz w:val="28"/>
          <w:szCs w:val="28"/>
        </w:rPr>
        <w:t>2030</w:t>
      </w:r>
      <w:r>
        <w:rPr>
          <w:rFonts w:hint="eastAsia" w:ascii="宋体" w:hAnsi="宋体"/>
          <w:sz w:val="28"/>
          <w:szCs w:val="28"/>
        </w:rPr>
        <w:t>年，全县受污染耕地安全利用率达到</w:t>
      </w:r>
      <w:r>
        <w:rPr>
          <w:rFonts w:ascii="宋体" w:hAnsi="宋体"/>
          <w:sz w:val="28"/>
          <w:szCs w:val="28"/>
        </w:rPr>
        <w:t>97%</w:t>
      </w:r>
      <w:r>
        <w:rPr>
          <w:rFonts w:hint="eastAsia" w:ascii="宋体" w:hAnsi="宋体"/>
          <w:sz w:val="28"/>
          <w:szCs w:val="28"/>
        </w:rPr>
        <w:t>，全县污染地块安全利用率达到</w:t>
      </w:r>
      <w:r>
        <w:rPr>
          <w:rFonts w:ascii="宋体" w:hAnsi="宋体"/>
          <w:sz w:val="28"/>
          <w:szCs w:val="28"/>
        </w:rPr>
        <w:t>97%</w:t>
      </w:r>
      <w:r>
        <w:rPr>
          <w:rFonts w:hint="eastAsia" w:ascii="宋体" w:hAnsi="宋体"/>
          <w:sz w:val="28"/>
          <w:szCs w:val="28"/>
        </w:rPr>
        <w:t>。</w:t>
      </w:r>
    </w:p>
    <w:p>
      <w:pPr>
        <w:ind w:firstLine="562" w:firstLineChars="200"/>
        <w:rPr>
          <w:rFonts w:ascii="宋体"/>
          <w:b/>
          <w:sz w:val="28"/>
          <w:szCs w:val="28"/>
        </w:rPr>
      </w:pPr>
      <w:r>
        <w:rPr>
          <w:rFonts w:hint="eastAsia" w:ascii="宋体" w:hAnsi="宋体"/>
          <w:b/>
          <w:sz w:val="28"/>
          <w:szCs w:val="28"/>
        </w:rPr>
        <w:t>三、重点任务</w:t>
      </w:r>
    </w:p>
    <w:p>
      <w:pPr>
        <w:ind w:firstLine="560" w:firstLineChars="200"/>
        <w:rPr>
          <w:rFonts w:ascii="宋体"/>
          <w:sz w:val="28"/>
          <w:szCs w:val="28"/>
        </w:rPr>
      </w:pPr>
      <w:r>
        <w:rPr>
          <w:rFonts w:hint="eastAsia" w:ascii="宋体" w:hAnsi="宋体"/>
          <w:sz w:val="28"/>
          <w:szCs w:val="28"/>
        </w:rPr>
        <w:t>（一）开展土壤污染调查，掌握土壤环境质量状况</w:t>
      </w:r>
    </w:p>
    <w:p>
      <w:pPr>
        <w:ind w:firstLine="560" w:firstLineChars="200"/>
        <w:rPr>
          <w:rFonts w:ascii="宋体"/>
          <w:bCs/>
          <w:sz w:val="28"/>
          <w:szCs w:val="28"/>
        </w:rPr>
      </w:pPr>
      <w:r>
        <w:rPr>
          <w:rFonts w:ascii="宋体" w:hAnsi="宋体"/>
          <w:bCs/>
          <w:sz w:val="28"/>
          <w:szCs w:val="28"/>
        </w:rPr>
        <w:t>1</w:t>
      </w:r>
      <w:r>
        <w:rPr>
          <w:rFonts w:hint="eastAsia" w:ascii="宋体" w:hAnsi="宋体"/>
          <w:bCs/>
          <w:sz w:val="28"/>
          <w:szCs w:val="28"/>
        </w:rPr>
        <w:t>、疑似污染区域土壤污染补充调查</w:t>
      </w:r>
    </w:p>
    <w:p>
      <w:pPr>
        <w:ind w:firstLine="560" w:firstLineChars="200"/>
        <w:rPr>
          <w:rFonts w:ascii="宋体"/>
          <w:sz w:val="28"/>
          <w:szCs w:val="28"/>
        </w:rPr>
      </w:pPr>
      <w:r>
        <w:rPr>
          <w:rFonts w:hint="eastAsia" w:ascii="宋体" w:hAnsi="宋体"/>
          <w:sz w:val="28"/>
          <w:szCs w:val="28"/>
        </w:rPr>
        <w:t>在现有土壤调查基础和例行监测的基础上，以农用地和重点行业企业用地为重点，对照农业地质、土壤污染调查结果，补充对粮食种植基地、蔬菜种植基地、水果种植基地、矿产资源开发影响区和垃圾填埋场及其周围区域疑似污染地块，加密调查。选择典型的土壤资源，根据土壤污染、土地利用方式的不同，进行重点地区的加密调查。特别是对耕地、重点行业企业土壤重金属污染进行大比例尺度调查，优先摸清农田（耕地）土壤、工矿企业周边、污灌区和城镇郊区等重点区域耕地土壤重金属污染底数，更加明确地界定土壤污染物种类、污染程度、污染面积及分布等，进一步摸清全区土壤资源数量和质量状况，为制定土壤污染治理与修复规划提供科学依据。（县环保局牵头，县农业局、国土资源局、财政局、林业局、卫生计生委等参与，</w:t>
      </w:r>
      <w:r>
        <w:rPr>
          <w:rFonts w:hint="eastAsia"/>
          <w:sz w:val="28"/>
          <w:szCs w:val="28"/>
        </w:rPr>
        <w:t>各乡（镇）人民政府负责落实。</w:t>
      </w:r>
      <w:r>
        <w:rPr>
          <w:rFonts w:hint="eastAsia" w:ascii="宋体" w:hAnsi="宋体"/>
          <w:sz w:val="28"/>
          <w:szCs w:val="28"/>
        </w:rPr>
        <w:t>）</w:t>
      </w:r>
    </w:p>
    <w:p>
      <w:pPr>
        <w:ind w:firstLine="560" w:firstLineChars="200"/>
        <w:rPr>
          <w:rFonts w:ascii="宋体"/>
          <w:sz w:val="28"/>
          <w:szCs w:val="28"/>
        </w:rPr>
      </w:pPr>
      <w:r>
        <w:rPr>
          <w:rFonts w:ascii="宋体" w:hAnsi="宋体"/>
          <w:sz w:val="28"/>
          <w:szCs w:val="28"/>
        </w:rPr>
        <w:t>2.</w:t>
      </w:r>
      <w:r>
        <w:rPr>
          <w:rFonts w:hint="eastAsia" w:ascii="宋体" w:hAnsi="宋体"/>
          <w:sz w:val="28"/>
          <w:szCs w:val="28"/>
        </w:rPr>
        <w:t>建设土壤环境质量监测网络</w:t>
      </w:r>
    </w:p>
    <w:p>
      <w:pPr>
        <w:ind w:firstLine="560" w:firstLineChars="200"/>
        <w:rPr>
          <w:sz w:val="28"/>
          <w:szCs w:val="28"/>
        </w:rPr>
      </w:pPr>
      <w:r>
        <w:rPr>
          <w:rFonts w:hint="eastAsia" w:ascii="宋体" w:hAnsi="宋体"/>
          <w:sz w:val="28"/>
          <w:szCs w:val="28"/>
        </w:rPr>
        <w:t>按照相关法规政策要求，统一规划、整合优化土壤环境质量监测点位，到</w:t>
      </w:r>
      <w:r>
        <w:rPr>
          <w:rFonts w:ascii="宋体" w:hAnsi="宋体"/>
          <w:sz w:val="28"/>
          <w:szCs w:val="28"/>
        </w:rPr>
        <w:t>2017</w:t>
      </w:r>
      <w:r>
        <w:rPr>
          <w:rFonts w:hint="eastAsia" w:ascii="宋体" w:hAnsi="宋体"/>
          <w:sz w:val="28"/>
          <w:szCs w:val="28"/>
        </w:rPr>
        <w:t>年底，</w:t>
      </w:r>
      <w:r>
        <w:rPr>
          <w:rFonts w:hint="eastAsia"/>
          <w:sz w:val="28"/>
          <w:szCs w:val="28"/>
        </w:rPr>
        <w:t>完成我县土壤环境质量国控监测点位和市级监测点位设置，</w:t>
      </w:r>
      <w:r>
        <w:rPr>
          <w:rFonts w:hint="eastAsia" w:ascii="宋体" w:hAnsi="宋体"/>
          <w:sz w:val="28"/>
          <w:szCs w:val="28"/>
        </w:rPr>
        <w:t>建成我县土壤环境质量监测网络，充分发挥行业监测网作用，基本形成土壤环境监测能力。</w:t>
      </w:r>
      <w:r>
        <w:rPr>
          <w:rFonts w:hint="eastAsia"/>
          <w:sz w:val="28"/>
          <w:szCs w:val="28"/>
        </w:rPr>
        <w:t>根据我县工作实际需要，在</w:t>
      </w:r>
      <w:r>
        <w:rPr>
          <w:rFonts w:hint="eastAsia" w:ascii="宋体" w:hAnsi="宋体"/>
          <w:sz w:val="28"/>
          <w:szCs w:val="28"/>
        </w:rPr>
        <w:t>有色金属冶炼企业及其周围、</w:t>
      </w:r>
      <w:r>
        <w:rPr>
          <w:rFonts w:hint="eastAsia" w:ascii="宋体" w:hAnsi="宋体" w:cs="宋体"/>
          <w:sz w:val="28"/>
          <w:szCs w:val="28"/>
        </w:rPr>
        <w:t>在矿产资源开发活动集中的区域</w:t>
      </w:r>
      <w:r>
        <w:rPr>
          <w:rFonts w:hint="eastAsia" w:ascii="宋体" w:hAnsi="宋体"/>
          <w:sz w:val="28"/>
          <w:szCs w:val="28"/>
        </w:rPr>
        <w:t>、污水处理厂、生活垃圾填埋场等土壤污染的重点关注区</w:t>
      </w:r>
      <w:r>
        <w:rPr>
          <w:rFonts w:hint="eastAsia"/>
          <w:sz w:val="28"/>
          <w:szCs w:val="28"/>
        </w:rPr>
        <w:t>补充设置监测点位，增加特征污染物监测项目，提高监测频次。</w:t>
      </w:r>
      <w:r>
        <w:rPr>
          <w:rFonts w:ascii="宋体" w:hAnsi="宋体" w:cs="宋体"/>
          <w:sz w:val="28"/>
          <w:szCs w:val="28"/>
        </w:rPr>
        <w:t>2020</w:t>
      </w:r>
      <w:r>
        <w:rPr>
          <w:rFonts w:hint="eastAsia" w:ascii="宋体" w:hAnsi="宋体" w:cs="宋体"/>
          <w:sz w:val="28"/>
          <w:szCs w:val="28"/>
        </w:rPr>
        <w:t>年底前，实现土壤环境质量监测点位全覆盖，</w:t>
      </w:r>
      <w:r>
        <w:rPr>
          <w:rFonts w:hint="eastAsia"/>
          <w:sz w:val="28"/>
          <w:szCs w:val="28"/>
        </w:rPr>
        <w:t>掌握重点行业企业用地中的污染地块分布及其环境风险情况</w:t>
      </w:r>
      <w:r>
        <w:rPr>
          <w:rFonts w:hint="eastAsia" w:ascii="宋体" w:hAnsi="宋体" w:cs="宋体"/>
          <w:sz w:val="28"/>
          <w:szCs w:val="28"/>
        </w:rPr>
        <w:t>。</w:t>
      </w:r>
      <w:r>
        <w:rPr>
          <w:rFonts w:hint="eastAsia" w:ascii="宋体" w:hAnsi="宋体"/>
          <w:sz w:val="28"/>
          <w:szCs w:val="28"/>
        </w:rPr>
        <w:t>（县环保局牵头，县发改局、工信局、国土资源局、农业局等参与，</w:t>
      </w:r>
      <w:r>
        <w:rPr>
          <w:rFonts w:hint="eastAsia"/>
          <w:sz w:val="28"/>
          <w:szCs w:val="28"/>
        </w:rPr>
        <w:t>各乡（镇）人民政府负责落实。</w:t>
      </w:r>
      <w:r>
        <w:rPr>
          <w:rFonts w:hint="eastAsia" w:ascii="宋体" w:hAnsi="宋体"/>
          <w:sz w:val="28"/>
          <w:szCs w:val="28"/>
        </w:rPr>
        <w:t>）</w:t>
      </w:r>
    </w:p>
    <w:p>
      <w:pPr>
        <w:ind w:firstLine="560" w:firstLineChars="200"/>
        <w:rPr>
          <w:rFonts w:ascii="宋体"/>
          <w:sz w:val="28"/>
          <w:szCs w:val="28"/>
        </w:rPr>
      </w:pPr>
      <w:r>
        <w:rPr>
          <w:rFonts w:ascii="宋体" w:hAnsi="宋体"/>
          <w:sz w:val="28"/>
          <w:szCs w:val="28"/>
        </w:rPr>
        <w:t>3.</w:t>
      </w:r>
      <w:r>
        <w:rPr>
          <w:rFonts w:hint="eastAsia" w:ascii="宋体" w:hAnsi="宋体"/>
          <w:sz w:val="28"/>
          <w:szCs w:val="28"/>
        </w:rPr>
        <w:t>提升土壤环境信息化管理水平</w:t>
      </w:r>
    </w:p>
    <w:p>
      <w:pPr>
        <w:ind w:firstLine="560" w:firstLineChars="200"/>
        <w:rPr>
          <w:rFonts w:ascii="宋体"/>
          <w:sz w:val="28"/>
          <w:szCs w:val="28"/>
        </w:rPr>
      </w:pPr>
      <w:r>
        <w:rPr>
          <w:rFonts w:hint="eastAsia" w:ascii="宋体" w:hAnsi="宋体"/>
          <w:sz w:val="28"/>
          <w:szCs w:val="28"/>
        </w:rPr>
        <w:t>在全县土壤环境质量调查的基础上，开展耕地土壤环境质量评价和安全性评估；并联合农业部门农田重金属检测数据，掌握我县土壤资源数量、质量动态变化状况和突出环境问题，从重点区域入手，建立并逐步完善全县土壤污染档案和土壤环境基础数据库，实施动态信息管理，将国家分类管理的基本农田纳入保护区管理范围，发布政府公告，设立保护标识，建立和完善保护区防护设施，建立保护区档案。利用县环保局、国土资源局、农业局等部门相关数据，建立土壤环境基础数据库，构建全县土壤环境信息化管理平台，力争</w:t>
      </w:r>
      <w:r>
        <w:rPr>
          <w:rFonts w:ascii="宋体" w:hAnsi="宋体"/>
          <w:sz w:val="28"/>
          <w:szCs w:val="28"/>
        </w:rPr>
        <w:t>2018</w:t>
      </w:r>
      <w:r>
        <w:rPr>
          <w:rFonts w:hint="eastAsia" w:ascii="宋体" w:hAnsi="宋体"/>
          <w:sz w:val="28"/>
          <w:szCs w:val="28"/>
        </w:rPr>
        <w:t>年底前完成。借助移动互联网、物联网等技术，拓宽数据获取渠道，实现数据动态更新。加强数据共享，编制资源共享目录，明确共享权限和方式，发挥土壤环境大数据在污染防治、城乡规划、土地利用、农业生产中的作用。（县环保局牵头，县农业局、发改局、国土资源局、住建局、林业局等参与，</w:t>
      </w:r>
      <w:r>
        <w:rPr>
          <w:rFonts w:hint="eastAsia"/>
          <w:sz w:val="28"/>
          <w:szCs w:val="28"/>
        </w:rPr>
        <w:t>各乡（镇）人民政府负责落实。</w:t>
      </w:r>
      <w:r>
        <w:rPr>
          <w:rFonts w:hint="eastAsia" w:ascii="宋体" w:hAnsi="宋体"/>
          <w:sz w:val="28"/>
          <w:szCs w:val="28"/>
        </w:rPr>
        <w:t>）</w:t>
      </w:r>
    </w:p>
    <w:p>
      <w:pPr>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明确监管重点。重点监测土壤中镉、汞、砷、铅、铬等重金属和多环芳烃、石油烃等有机污染物。重点监管有色金属矿采选、有色金属冶炼、石油开采、石油加工、化工、焦化、电镀、制革等重点行业，以产粮（油）乡镇为重点区域。公布我县重点监管企业名单。（县环保局牵头，县工信局、国土资源局、住建局、农业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sz w:val="28"/>
          <w:szCs w:val="28"/>
        </w:rPr>
        <w:t>5.</w:t>
      </w:r>
      <w:r>
        <w:rPr>
          <w:rFonts w:hint="eastAsia" w:ascii="宋体" w:hAnsi="宋体"/>
          <w:sz w:val="28"/>
          <w:szCs w:val="28"/>
        </w:rPr>
        <w:t>制定土壤污染治理与修复规划（大纲）。以</w:t>
      </w:r>
      <w:r>
        <w:rPr>
          <w:rFonts w:hint="eastAsia" w:ascii="宋体" w:hAnsi="宋体" w:cs="宋体"/>
          <w:sz w:val="28"/>
          <w:szCs w:val="28"/>
        </w:rPr>
        <w:t>影响农产品质量和人居环境安全的突出土壤污染问题为重点，</w:t>
      </w:r>
      <w:r>
        <w:rPr>
          <w:rFonts w:hint="eastAsia" w:ascii="宋体" w:hAnsi="宋体" w:cs="宋体"/>
          <w:kern w:val="0"/>
          <w:sz w:val="28"/>
          <w:szCs w:val="28"/>
        </w:rPr>
        <w:t>按照先规划后实施、边调查边治理的原则，根据土壤污染状况制定实施土壤污染治理与修复规划（大纲），确定治理与修复目标、优先区域、主要任务和进度安排，建立项目库。规划大纲报市环境保护局备案，</w:t>
      </w:r>
      <w:r>
        <w:rPr>
          <w:rFonts w:ascii="宋体" w:hAnsi="宋体" w:cs="宋体"/>
          <w:kern w:val="0"/>
          <w:sz w:val="28"/>
          <w:szCs w:val="28"/>
        </w:rPr>
        <w:t>2017</w:t>
      </w:r>
      <w:r>
        <w:rPr>
          <w:rFonts w:hint="eastAsia" w:ascii="宋体" w:hAnsi="宋体" w:cs="宋体"/>
          <w:kern w:val="0"/>
          <w:sz w:val="28"/>
          <w:szCs w:val="28"/>
        </w:rPr>
        <w:t>年底前完成。</w:t>
      </w:r>
      <w:r>
        <w:rPr>
          <w:rFonts w:hint="eastAsia" w:ascii="宋体" w:hAnsi="宋体"/>
          <w:sz w:val="28"/>
          <w:szCs w:val="28"/>
        </w:rPr>
        <w:t>（县环保局牵头，县国土资源局、住建局、农业局等参与，</w:t>
      </w:r>
      <w:r>
        <w:rPr>
          <w:rFonts w:hint="eastAsia"/>
          <w:sz w:val="28"/>
          <w:szCs w:val="28"/>
        </w:rPr>
        <w:t>各乡（镇）人民政府负责落实。</w:t>
      </w:r>
      <w:r>
        <w:rPr>
          <w:rFonts w:hint="eastAsia" w:ascii="宋体" w:hAnsi="宋体"/>
          <w:sz w:val="28"/>
          <w:szCs w:val="28"/>
        </w:rPr>
        <w:t>）</w:t>
      </w:r>
    </w:p>
    <w:p>
      <w:pPr>
        <w:ind w:firstLine="560" w:firstLineChars="200"/>
        <w:rPr>
          <w:rFonts w:ascii="宋体" w:cs="宋体"/>
          <w:sz w:val="28"/>
          <w:szCs w:val="28"/>
        </w:rPr>
      </w:pPr>
      <w:r>
        <w:rPr>
          <w:rFonts w:hint="eastAsia" w:ascii="宋体" w:hAnsi="宋体" w:cs="宋体"/>
          <w:sz w:val="28"/>
          <w:szCs w:val="28"/>
        </w:rPr>
        <w:t>（二）实施土地分类别分用途管理，实现土地安全利用</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实施农用地分类管理，突出保护优先。</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以保障农产品质量安全为目标，优先保护耕地土壤环境。开展农用地分类划定工作，以土壤污染状况详查结果为依据，按污染程度将农用地划为三个类别，未污染和轻微污染的划为优先保护类，轻度和中度污染的划为安全利用类，重度污染的划为严格管控类</w:t>
      </w:r>
      <w:r>
        <w:rPr>
          <w:rFonts w:hint="eastAsia"/>
          <w:sz w:val="28"/>
          <w:szCs w:val="28"/>
        </w:rPr>
        <w:t>。</w:t>
      </w:r>
      <w:r>
        <w:rPr>
          <w:rFonts w:hint="eastAsia" w:ascii="宋体" w:hAnsi="宋体"/>
          <w:sz w:val="28"/>
          <w:szCs w:val="28"/>
        </w:rPr>
        <w:t>以耕地为重点，建立分类管理清单，分别采用相应管理措施，保障农产品质量安全。</w:t>
      </w:r>
      <w:r>
        <w:rPr>
          <w:rFonts w:ascii="宋体" w:hAnsi="宋体" w:cs="宋体"/>
          <w:sz w:val="28"/>
          <w:szCs w:val="28"/>
        </w:rPr>
        <w:t>2020</w:t>
      </w:r>
      <w:r>
        <w:rPr>
          <w:rFonts w:hint="eastAsia" w:ascii="宋体" w:hAnsi="宋体" w:cs="宋体"/>
          <w:sz w:val="28"/>
          <w:szCs w:val="28"/>
        </w:rPr>
        <w:t>年底前完成农用地类别划定工作，划定结果由县人民政府审核后报市人民政府审定，县环保局统一将数据上传全国土壤环境信息管理平台。</w:t>
      </w:r>
      <w:r>
        <w:rPr>
          <w:rFonts w:hint="eastAsia" w:ascii="宋体" w:hAnsi="宋体"/>
          <w:sz w:val="28"/>
          <w:szCs w:val="28"/>
        </w:rPr>
        <w:t>根据土地利用变更和土壤环境质量变化情况，定期对各类别耕地面积、分布等信息进行更新。逐步开展林地、草地、园地等其他农用地土壤环境质量类别划定等工作。</w:t>
      </w:r>
      <w:r>
        <w:rPr>
          <w:rFonts w:hint="eastAsia" w:ascii="宋体" w:hAnsi="宋体" w:cs="宋体"/>
          <w:sz w:val="28"/>
          <w:szCs w:val="28"/>
        </w:rPr>
        <w:t>（县农业局、环保局牵头，县国土资源局、林业局参与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tabs>
          <w:tab w:val="left" w:pos="735"/>
        </w:tabs>
        <w:spacing w:line="560" w:lineRule="exact"/>
        <w:ind w:right="-506" w:rightChars="-241"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）优先保护农用地。对未污染的农用地实行优先保护，将符合条件的优先保护类耕地划为永久基本农田，实行严格保护，确保其面积不减少、土壤环境质量不下降。</w:t>
      </w:r>
      <w:r>
        <w:rPr>
          <w:rFonts w:hint="eastAsia" w:ascii="宋体" w:hAnsi="宋体"/>
          <w:sz w:val="28"/>
          <w:szCs w:val="28"/>
        </w:rPr>
        <w:t>永久基本农田一经划定，除法律规定的重点建设项目选址确实无法避让外，其他任何建设不得占用。在界首镇、高尚镇、溶江镇、严关镇等乡镇，优先保护类耕地集中的地区开展高标准农田建设，</w:t>
      </w:r>
      <w:r>
        <w:rPr>
          <w:rFonts w:hint="eastAsia" w:ascii="宋体" w:hAnsi="宋体" w:cs="宋体"/>
          <w:sz w:val="28"/>
          <w:szCs w:val="28"/>
        </w:rPr>
        <w:t>高标准农田建设项目向优先保护类耕地集中的乡镇倾斜。</w:t>
      </w:r>
      <w:r>
        <w:rPr>
          <w:rFonts w:hint="eastAsia" w:ascii="宋体" w:hAnsi="宋体"/>
          <w:sz w:val="28"/>
          <w:szCs w:val="28"/>
        </w:rPr>
        <w:t>推行秸秆还田、增施有机肥、少耕免耕、粮豆轮作、农膜减量与回收利用等措施。农村土地流转的受让方要履行土壤保护的责任，</w:t>
      </w:r>
      <w:r>
        <w:rPr>
          <w:rFonts w:hint="eastAsia" w:ascii="宋体" w:hAnsi="宋体" w:cs="宋体"/>
          <w:sz w:val="28"/>
          <w:szCs w:val="28"/>
        </w:rPr>
        <w:t>严格控制耕地、林地、草地、园地的农药使用量，禁止使用高毒、高残留农药。</w:t>
      </w:r>
      <w:r>
        <w:rPr>
          <w:rFonts w:hint="eastAsia" w:ascii="宋体" w:hAnsi="宋体"/>
          <w:sz w:val="28"/>
          <w:szCs w:val="28"/>
        </w:rPr>
        <w:t>对本行政区域内优先保护类耕地面积减少或土壤环境质量下降的乡镇，进行预警提醒并依法采取有关环评限批等限制性措施。严格控制在优先保护类耕地集中区域新建有色金属矿采选、有色金属冶炼、石油加工、化工、农药、焦化、电镀、制革、印染、危险废物处置等行业企业。加强现有有关行业企业的环境监管，鼓励企业采用新技术、新工艺，提高生产技术污染治理水平，加快提标升级改造和深度治理，确定稳定达到排放标准。（县国土资源局、农业局牵头，县林业局、发改局、财政局、环保局参与，</w:t>
      </w:r>
      <w:r>
        <w:rPr>
          <w:rFonts w:hint="eastAsia"/>
          <w:sz w:val="28"/>
          <w:szCs w:val="28"/>
        </w:rPr>
        <w:t>各乡（镇）人民政府负责落实。</w:t>
      </w:r>
      <w:r>
        <w:rPr>
          <w:rFonts w:hint="eastAsia" w:ascii="宋体" w:hAnsi="宋体"/>
          <w:sz w:val="28"/>
          <w:szCs w:val="28"/>
        </w:rPr>
        <w:t>）</w:t>
      </w:r>
    </w:p>
    <w:p>
      <w:pPr>
        <w:spacing w:line="560" w:lineRule="exact"/>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）加强安全利用类耕地的用途管理。</w:t>
      </w:r>
      <w:r>
        <w:rPr>
          <w:rFonts w:hint="eastAsia" w:ascii="宋体" w:hAnsi="宋体"/>
          <w:sz w:val="28"/>
          <w:szCs w:val="28"/>
        </w:rPr>
        <w:t>安全利用类耕地集中区域，要开展土壤污染相关因子的监测分析，加强农产品质量检测。依托我县土壤环境质量详细调查数据，</w:t>
      </w:r>
      <w:r>
        <w:rPr>
          <w:rFonts w:hint="eastAsia" w:ascii="宋体" w:hAnsi="宋体" w:cs="宋体"/>
          <w:sz w:val="28"/>
          <w:szCs w:val="28"/>
        </w:rPr>
        <w:t>根据国家有关受污染耕地安全利用技术指南，以及土壤污染状况和农产品超标情况，安全利用类耕地集中的区域要结合当地主要作物品种和种植习惯，制定实施受污染耕地安全利用方案，加强耕地、林地、园地产出食用农（林）产品质量检测，特别是对于存在土壤重金属污染的区域要强化重金属指标的检测，发现超标的，要采取种植结构调整、农艺调控、替代种植等措施，最大限度降低农产品超标风险。到</w:t>
      </w:r>
      <w:r>
        <w:rPr>
          <w:rFonts w:ascii="宋体" w:hAnsi="宋体" w:cs="宋体"/>
          <w:sz w:val="28"/>
          <w:szCs w:val="28"/>
        </w:rPr>
        <w:t>2020</w:t>
      </w:r>
      <w:r>
        <w:rPr>
          <w:rFonts w:hint="eastAsia" w:ascii="宋体" w:hAnsi="宋体" w:cs="宋体"/>
          <w:sz w:val="28"/>
          <w:szCs w:val="28"/>
        </w:rPr>
        <w:t>年，完成桂林市下达的轻度和中度污染耕地安全利用指标。（县农业局、林业局牵头，县发改局、财政局、国土资源局、环保局、水利局参与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sz w:val="28"/>
          <w:szCs w:val="28"/>
        </w:rPr>
      </w:pPr>
      <w:r>
        <w:rPr>
          <w:rFonts w:hint="eastAsia" w:ascii="宋体" w:hAnsi="宋体"/>
          <w:sz w:val="28"/>
          <w:szCs w:val="28"/>
        </w:rPr>
        <w:t>（４）加强对严格管控类耕地的用途管理，依法划定特定农产品禁止生产区域，严禁种植食用农产品；对威胁地下水、饮用水水源安全的，制定环境风险管控方案，并落实有关措施。以土壤污染状况详查结果为依据，开展耕地土壤和农产品协同监测与评价，在试点基础上有序推进耕地土壤环境质量类别划定，逐步建立分类清单，制定实施重度污染耕地种植结构调整或退耕还林还草计划，将严格管控类耕地纳入退耕还林还草实施范围，开展耕地轮作休耕制度试点。到</w:t>
      </w:r>
      <w:r>
        <w:rPr>
          <w:rFonts w:ascii="宋体" w:hAnsi="宋体"/>
          <w:sz w:val="28"/>
          <w:szCs w:val="28"/>
        </w:rPr>
        <w:t>2020</w:t>
      </w:r>
      <w:r>
        <w:rPr>
          <w:rFonts w:hint="eastAsia" w:ascii="宋体" w:hAnsi="宋体"/>
          <w:sz w:val="28"/>
          <w:szCs w:val="28"/>
        </w:rPr>
        <w:t>年，完成桂林市下达的重度污染耕地种植结构调整或退耕还林还草面积指标。</w:t>
      </w:r>
      <w:r>
        <w:rPr>
          <w:rFonts w:hint="eastAsia" w:ascii="宋体" w:hAnsi="宋体" w:cs="宋体"/>
          <w:sz w:val="28"/>
          <w:szCs w:val="28"/>
        </w:rPr>
        <w:t>（县农业局、林业局牵头，县发改局、财政局、国土资源局、环保局、水利局参与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严格建设用地准入标准，保障人居环境。</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w:t>
      </w:r>
      <w:r>
        <w:rPr>
          <w:rFonts w:hint="eastAsia" w:ascii="宋体" w:hAnsi="宋体"/>
          <w:sz w:val="28"/>
          <w:szCs w:val="28"/>
        </w:rPr>
        <w:t>分用途明确管理措施，建立调查评估制度。</w:t>
      </w:r>
      <w:r>
        <w:rPr>
          <w:rFonts w:ascii="宋体" w:hAnsi="宋体" w:cs="宋体"/>
          <w:sz w:val="28"/>
          <w:szCs w:val="28"/>
        </w:rPr>
        <w:t>2018</w:t>
      </w:r>
      <w:r>
        <w:rPr>
          <w:rFonts w:hint="eastAsia" w:ascii="宋体" w:hAnsi="宋体" w:cs="宋体"/>
          <w:sz w:val="28"/>
          <w:szCs w:val="28"/>
        </w:rPr>
        <w:t>年起，根据环境保护部发布的建设用地土壤环境调查评估技术规定，启动建设用地土壤环境状况调查评估。</w:t>
      </w:r>
      <w:r>
        <w:rPr>
          <w:rFonts w:hint="eastAsia"/>
          <w:sz w:val="28"/>
          <w:szCs w:val="28"/>
        </w:rPr>
        <w:t>拟收回土地使用权的有色金属冶炼、石油加工、制药、化工、电镀、制革等行业企业用地，</w:t>
      </w:r>
      <w:r>
        <w:rPr>
          <w:rFonts w:hint="eastAsia" w:ascii="宋体" w:hAnsi="宋体" w:cs="宋体"/>
          <w:sz w:val="28"/>
          <w:szCs w:val="28"/>
        </w:rPr>
        <w:t>以及用途拟变更为居住和商业、学校、医疗、养老机构等公共设施的上述企业用地，由土地使用权人负责开展土壤环境状况调查评估；已经收回的，由县人民政府负责开展调查评估。自</w:t>
      </w:r>
      <w:r>
        <w:rPr>
          <w:rFonts w:ascii="宋体" w:hAnsi="宋体" w:cs="宋体"/>
          <w:sz w:val="28"/>
          <w:szCs w:val="28"/>
        </w:rPr>
        <w:t>2018</w:t>
      </w:r>
      <w:r>
        <w:rPr>
          <w:rFonts w:hint="eastAsia" w:ascii="宋体" w:hAnsi="宋体" w:cs="宋体"/>
          <w:sz w:val="28"/>
          <w:szCs w:val="28"/>
        </w:rPr>
        <w:t>年起，重度污染农用地转为城镇建设用地的，县人民政府负责组织开展调查评估。调查评估结果向市环保、国土、住建部门备案。（县环保局牵头，县国土资源局、住建局、规划局参与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）分用途明确建设用地管理要求。严格建设用地准入，</w:t>
      </w:r>
      <w:r>
        <w:rPr>
          <w:rFonts w:hint="eastAsia"/>
          <w:sz w:val="28"/>
          <w:szCs w:val="28"/>
        </w:rPr>
        <w:t>城乡规划、国土资源管理</w:t>
      </w:r>
      <w:r>
        <w:rPr>
          <w:rFonts w:hint="eastAsia" w:ascii="宋体" w:hAnsi="宋体" w:cs="宋体"/>
          <w:sz w:val="28"/>
          <w:szCs w:val="28"/>
        </w:rPr>
        <w:t>部门</w:t>
      </w:r>
      <w:r>
        <w:rPr>
          <w:rFonts w:hint="eastAsia"/>
          <w:sz w:val="28"/>
          <w:szCs w:val="28"/>
        </w:rPr>
        <w:t>将建设用地土壤环境管理要求纳入城市规划和供地管理，土地开发利用必须符合土壤环境质量要求</w:t>
      </w:r>
      <w:r>
        <w:rPr>
          <w:rFonts w:hint="eastAsia" w:ascii="宋体" w:hAnsi="宋体" w:cs="宋体"/>
          <w:sz w:val="28"/>
          <w:szCs w:val="28"/>
        </w:rPr>
        <w:t>，加强土地征收、收回、收购以及转让、改变用途等环节的监管。</w:t>
      </w:r>
      <w:r>
        <w:rPr>
          <w:rFonts w:hint="eastAsia"/>
          <w:sz w:val="28"/>
          <w:szCs w:val="28"/>
        </w:rPr>
        <w:t>国土资源管理、城乡规划等部门在编制</w:t>
      </w:r>
      <w:r>
        <w:rPr>
          <w:rFonts w:hint="eastAsia" w:ascii="宋体" w:hAnsi="宋体" w:cs="宋体"/>
          <w:sz w:val="28"/>
          <w:szCs w:val="28"/>
        </w:rPr>
        <w:t>土地利用总体规划、城市总体规划、控制性详细规划等相关规划</w:t>
      </w:r>
      <w:r>
        <w:rPr>
          <w:rFonts w:hint="eastAsia"/>
          <w:sz w:val="28"/>
          <w:szCs w:val="28"/>
        </w:rPr>
        <w:t>，应充分考虑污染地块的环境风险，合理确定土地用途。城乡规划部门</w:t>
      </w:r>
      <w:r>
        <w:rPr>
          <w:rFonts w:hint="eastAsia" w:ascii="宋体" w:hAnsi="宋体" w:cs="宋体"/>
          <w:sz w:val="28"/>
          <w:szCs w:val="28"/>
        </w:rPr>
        <w:t>要结合土壤环境质量状况，加强</w:t>
      </w:r>
      <w:r>
        <w:rPr>
          <w:rFonts w:hint="eastAsia"/>
          <w:sz w:val="28"/>
          <w:szCs w:val="28"/>
        </w:rPr>
        <w:t>城乡规划</w:t>
      </w:r>
      <w:r>
        <w:rPr>
          <w:rFonts w:hint="eastAsia" w:ascii="宋体" w:hAnsi="宋体" w:cs="宋体"/>
          <w:sz w:val="28"/>
          <w:szCs w:val="28"/>
        </w:rPr>
        <w:t>认证和审批管理。环保部门要加强对建设用地土壤环境状况调查、风险评估和污染地块治理与修复活动的监管，对相关建设项目，在环评中增加土壤污染防治要求。充分利用土壤环境基础数据库平台，对建设用地实行联动监管。自</w:t>
      </w:r>
      <w:r>
        <w:rPr>
          <w:rFonts w:ascii="宋体" w:hAnsi="宋体" w:cs="宋体"/>
          <w:sz w:val="28"/>
          <w:szCs w:val="28"/>
        </w:rPr>
        <w:t>2018</w:t>
      </w:r>
      <w:r>
        <w:rPr>
          <w:rFonts w:hint="eastAsia" w:ascii="宋体" w:hAnsi="宋体" w:cs="宋体"/>
          <w:sz w:val="28"/>
          <w:szCs w:val="28"/>
        </w:rPr>
        <w:t>年起，国土部门要结合土壤污染状况详查情况，根据建设用地土壤环境调查评估结果，逐步建立污染地块名录及开发利用负面清单，合理确定土地用途。暂不开发利用或现阶段不具备治理修复条件的污染地块，由县人民政府组织划定管控区域，设立标识，发布公告，</w:t>
      </w:r>
      <w:r>
        <w:rPr>
          <w:rFonts w:hint="eastAsia" w:ascii="宋体" w:hAnsi="宋体"/>
          <w:sz w:val="28"/>
          <w:szCs w:val="28"/>
        </w:rPr>
        <w:t>开展土壤、地表水、地下水、空气环境监测；发现污染扩散的，有关责任主体要及时采取污染物隔离、阻断等环境风险管控措施。</w:t>
      </w:r>
      <w:r>
        <w:rPr>
          <w:rFonts w:hint="eastAsia" w:ascii="宋体" w:hAnsi="宋体" w:cs="宋体"/>
          <w:sz w:val="28"/>
          <w:szCs w:val="28"/>
        </w:rPr>
        <w:t>（县国土资源局、住建局、规划局、环保局分别负责</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加强未污染土壤保护，严控新增污染。</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）加强未利用地环境管理，</w:t>
      </w:r>
      <w:r>
        <w:rPr>
          <w:rFonts w:hint="eastAsia" w:ascii="宋体" w:hAnsi="宋体"/>
          <w:sz w:val="28"/>
          <w:szCs w:val="28"/>
        </w:rPr>
        <w:t>防范新增污染。</w:t>
      </w:r>
      <w:r>
        <w:rPr>
          <w:rFonts w:hint="eastAsia"/>
          <w:sz w:val="28"/>
          <w:szCs w:val="28"/>
        </w:rPr>
        <w:t>加强未利用地环境管理，</w:t>
      </w:r>
      <w:r>
        <w:rPr>
          <w:rFonts w:hint="eastAsia" w:ascii="宋体" w:hAnsi="宋体" w:cs="宋体"/>
          <w:sz w:val="28"/>
          <w:szCs w:val="28"/>
        </w:rPr>
        <w:t>按照科学有序原则开发利用未利用地，加强纳入耕地后备资源的未利用地保护，</w:t>
      </w:r>
      <w:r>
        <w:rPr>
          <w:rFonts w:hint="eastAsia" w:ascii="宋体" w:hAnsi="宋体"/>
          <w:sz w:val="28"/>
          <w:szCs w:val="28"/>
        </w:rPr>
        <w:t>防止造成土壤污染。</w:t>
      </w:r>
      <w:r>
        <w:rPr>
          <w:rFonts w:hint="eastAsia" w:ascii="宋体" w:hAnsi="宋体" w:cs="宋体"/>
          <w:sz w:val="28"/>
          <w:szCs w:val="28"/>
        </w:rPr>
        <w:t>拟开发为农用地的，要进行土壤环境质量状况评估；不符合相应标准的，不得种植食用农产品；</w:t>
      </w:r>
      <w:r>
        <w:rPr>
          <w:rFonts w:hint="eastAsia" w:ascii="宋体" w:hAnsi="宋体"/>
          <w:sz w:val="28"/>
          <w:szCs w:val="28"/>
        </w:rPr>
        <w:t>并定期开展对纳入耕地后备资源的未利用地巡查。</w:t>
      </w:r>
      <w:r>
        <w:rPr>
          <w:rFonts w:hint="eastAsia" w:ascii="宋体" w:hAnsi="宋体" w:cs="宋体"/>
          <w:sz w:val="28"/>
          <w:szCs w:val="28"/>
        </w:rPr>
        <w:t>建设项目占用优先保护类耕地的，应当对耕地层剥离再利用，剥离的耕作层土壤用于补充耕地质量提升、土壤改良、土地整治、城乡建设用地增减挂钩拆旧城区复垦和工矿废弃地复垦、地质环境恢复治理及复垦等。严禁向沙地、滩涂、盐碱地、沼泽地等非法排污、倾倒有毒有害物质，严格查处向未利用地非法排污等环境违法行为。（县环保局、国土资源局、农业局牵头，县发改局、公安局、水利局、林业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sz w:val="28"/>
          <w:szCs w:val="28"/>
        </w:rPr>
        <w:t>强化空间布局管控，划定重点调查区。</w:t>
      </w:r>
      <w:r>
        <w:rPr>
          <w:rFonts w:hint="eastAsia" w:ascii="宋体" w:hAnsi="宋体" w:cs="宋体"/>
          <w:sz w:val="28"/>
          <w:szCs w:val="28"/>
        </w:rPr>
        <w:t>根据土壤等环境承载能力，合理确定区域功能定位、空间布局。鼓励工业企业集聚发展，提高土地节约集约利用水平，减少土壤污染。严格执行相关行业企业布局选址要求，结合推进新型城镇化、产业结构调整和化解过剩产能等，有序搬迁或依法关闭对土壤造成严重污染的现有企业。禁止在居民区、学校、医疗和养老机构等周边新建有色金属冶炼、化工等行业企业；结合区域功能定位和土壤污染防治需要，科学布局生活垃圾处理、危险废物处置、废旧资源再生利用等设施和场所，合理确定畜禽养殖布局和规模。（县发改局牵头，县工信局、国土资源局、环保局、住建局、水利局、农业局、林业局、水产畜牧兽医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hint="eastAsia" w:ascii="宋体" w:hAnsi="宋体" w:cs="宋体"/>
          <w:sz w:val="28"/>
          <w:szCs w:val="28"/>
        </w:rPr>
        <w:t>（四）加强重点污染源监管，控制土壤污染源头</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加强重点行业污染源监管。加强涉重金属行业污染防控，按照</w:t>
      </w:r>
      <w:r>
        <w:rPr>
          <w:rFonts w:hint="eastAsia"/>
          <w:sz w:val="28"/>
          <w:szCs w:val="28"/>
        </w:rPr>
        <w:t>《桂林市“十三五”重金属污染防治规划》要求，</w:t>
      </w:r>
      <w:r>
        <w:rPr>
          <w:rFonts w:hint="eastAsia" w:ascii="宋体" w:hAnsi="宋体" w:cs="宋体"/>
          <w:sz w:val="28"/>
          <w:szCs w:val="28"/>
        </w:rPr>
        <w:t>全面开展重金属污染防治；严格执行重金属污染排放标准并落实相关总量控制指标，加大监督检查力度，对整改后仍不达标的企业，依法责令其停业、关闭，</w:t>
      </w:r>
      <w:r>
        <w:rPr>
          <w:rFonts w:ascii="宋体" w:hAnsi="宋体" w:cs="宋体"/>
          <w:sz w:val="28"/>
          <w:szCs w:val="28"/>
        </w:rPr>
        <w:t xml:space="preserve"> </w:t>
      </w:r>
      <w:r>
        <w:rPr>
          <w:rFonts w:hint="eastAsia" w:ascii="宋体" w:hAnsi="宋体" w:cs="宋体"/>
          <w:sz w:val="28"/>
          <w:szCs w:val="28"/>
        </w:rPr>
        <w:t>建立重点监管企业名单并向社会公开。继续淘汰涉重金属重点行业落后产能，完善重金属相关行业准入条件，禁止新建落后产能或产能严重过剩行业的建设项目。提高铅酸蓄电池等行业落后产能淘汰标准，逐步退出落后产能。制定涉重金属重点工业行业清洁生产技术推行方案，鼓励企业采用先进适用生产工艺和技术。</w:t>
      </w:r>
      <w:r>
        <w:rPr>
          <w:rFonts w:ascii="宋体" w:hAnsi="宋体" w:cs="宋体"/>
          <w:sz w:val="28"/>
          <w:szCs w:val="28"/>
        </w:rPr>
        <w:t>2020</w:t>
      </w:r>
      <w:r>
        <w:rPr>
          <w:rFonts w:hint="eastAsia" w:ascii="宋体" w:hAnsi="宋体" w:cs="宋体"/>
          <w:sz w:val="28"/>
          <w:szCs w:val="28"/>
        </w:rPr>
        <w:t>年重点行业的重点重金属排放量要比</w:t>
      </w:r>
      <w:r>
        <w:rPr>
          <w:rFonts w:ascii="宋体" w:hAnsi="宋体" w:cs="宋体"/>
          <w:sz w:val="28"/>
          <w:szCs w:val="28"/>
        </w:rPr>
        <w:t>2013</w:t>
      </w:r>
      <w:r>
        <w:rPr>
          <w:rFonts w:hint="eastAsia" w:ascii="宋体" w:hAnsi="宋体" w:cs="宋体"/>
          <w:sz w:val="28"/>
          <w:szCs w:val="28"/>
        </w:rPr>
        <w:t>年下降</w:t>
      </w:r>
      <w:r>
        <w:rPr>
          <w:rFonts w:ascii="宋体" w:hAnsi="宋体" w:cs="宋体"/>
          <w:sz w:val="28"/>
          <w:szCs w:val="28"/>
        </w:rPr>
        <w:t>12%</w:t>
      </w:r>
      <w:r>
        <w:rPr>
          <w:rFonts w:hint="eastAsia" w:ascii="宋体" w:hAnsi="宋体" w:cs="宋体"/>
          <w:sz w:val="28"/>
          <w:szCs w:val="28"/>
        </w:rPr>
        <w:t>。加强土壤有机污染防控，对化工、电子制造业、制药业进行重点防控，现有相关行业企业要采用新技术、新工艺，加快提升升级改造步伐。排放重点污染物</w:t>
      </w:r>
      <w:r>
        <w:rPr>
          <w:rFonts w:hint="eastAsia" w:ascii="宋体" w:hAnsi="宋体"/>
          <w:sz w:val="28"/>
          <w:szCs w:val="28"/>
        </w:rPr>
        <w:t>（镉、汞、砷、铅、铬等重金属和多环芳烃、石油烃等有机污染物）</w:t>
      </w:r>
      <w:r>
        <w:rPr>
          <w:rFonts w:hint="eastAsia" w:ascii="宋体" w:hAnsi="宋体" w:cs="宋体"/>
          <w:sz w:val="28"/>
          <w:szCs w:val="28"/>
        </w:rPr>
        <w:t>的建设项目，环境影响评价要增加对土壤环境影响的评价内容，并提出防范土壤污染的具体措施。需要建设的土壤污染防治设施，要与主体工程同时设计、同时施工、同时投产使用。自</w:t>
      </w:r>
      <w:r>
        <w:rPr>
          <w:rFonts w:ascii="宋体" w:hAnsi="宋体" w:cs="宋体"/>
          <w:sz w:val="28"/>
          <w:szCs w:val="28"/>
        </w:rPr>
        <w:t>2018</w:t>
      </w:r>
      <w:r>
        <w:rPr>
          <w:rFonts w:hint="eastAsia" w:ascii="宋体" w:hAnsi="宋体" w:cs="宋体"/>
          <w:sz w:val="28"/>
          <w:szCs w:val="28"/>
        </w:rPr>
        <w:t>年起，县人民政府要与重点行业企业签订土壤污染防治责任书，明确相关措施和责任，并向社会公开。（县环保局、工信局牵头，县发改局参与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加强工业废物处理。面整治工业副产石膏、粉煤灰</w:t>
      </w:r>
      <w:r>
        <w:rPr>
          <w:rFonts w:hint="eastAsia" w:ascii="宋体" w:hAnsi="宋体" w:cs="宋体"/>
          <w:sz w:val="28"/>
          <w:szCs w:val="28"/>
          <w:lang w:eastAsia="zh-CN"/>
        </w:rPr>
        <w:t>以及</w:t>
      </w:r>
      <w:r>
        <w:rPr>
          <w:rFonts w:hint="eastAsia" w:ascii="宋体" w:hAnsi="宋体" w:cs="宋体"/>
          <w:sz w:val="28"/>
          <w:szCs w:val="28"/>
        </w:rPr>
        <w:t>脱硫、脱硝、除尘产生固体废物的堆存场所，完善防扬散、防流失、防渗漏等设施，相关企业制定整治方案并有序实施。加强工业固体废物综合利用，对电子废物、废轮胎、废塑料等再生利用活动进行清理整顿，引导有关企业采用先进适用加工工艺、集聚发展，集中建设和运营污染治理设施，防止污染土壤和地下水。有色金属冶炼、化工、电镀等行业企业拆除生产设施设备、构筑物和污染治理设施，要事先制定残留污染物清理和安全处置方案，严格按照有关规定实施安全处理处置，防范拆除活动污染土壤，并报县环保局、工信局备案。（县环保局、发改局牵头，县工信局、国土资源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提高生活污染无害化处理水平。科学规范处置城镇生活垃圾，建立政府、社区、企业和居民协调机制，通过分类投放收集、综合循环利用，促进垃圾减量化、资源化、无害化。加强对非正规垃圾填埋场整治，开展水泥窑协同处置生活垃圾试点。规范污水处理厂污泥处理，鼓励将处理达标后的污水处理厂的污泥用于园林绿化。严禁将城镇生活垃圾、污泥、工业废物直接用作肥料。开展利用建筑垃圾生产建材产品等资源化利用示范。推动废氧化汞电池、镍镉电池、铅酸蓄电池和含汞荧光灯管、温度计等含重金属废物的安全处置。继续深入开展“美丽全州”乡村建设活动，推动农村生活垃圾分类处理，深入实施“以奖促治”政策，扩大农村环境连片整治范围，健全村庄保洁制度，建立农村生活污染处置长效机制。（县市容局、住建局牵头，县发改局、工信局、财政局、环保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hint="eastAsia" w:ascii="宋体" w:hAnsi="宋体" w:cs="宋体"/>
          <w:sz w:val="28"/>
          <w:szCs w:val="28"/>
        </w:rPr>
        <w:t>（五）严防矿产资源开发污染土壤，推进矿区生态恢复利用。</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加强矿产资源开发污染防控。提高多金属伴生矿的采、选、冶和回收能力，提高废渣综合利用处置和工业固体废物综合利用水平，</w:t>
      </w:r>
      <w:r>
        <w:rPr>
          <w:rFonts w:hint="eastAsia"/>
          <w:sz w:val="28"/>
          <w:szCs w:val="28"/>
        </w:rPr>
        <w:t>促进矿山企业节约与综合利用，提高主要矿种“三率”（开采回采率、选矿回收率、综合利用率）水平。</w:t>
      </w:r>
      <w:r>
        <w:rPr>
          <w:rFonts w:hint="eastAsia" w:ascii="宋体" w:hAnsi="宋体" w:cs="宋体"/>
          <w:sz w:val="28"/>
          <w:szCs w:val="28"/>
        </w:rPr>
        <w:t>年固体废弃物排放量达</w:t>
      </w:r>
      <w:r>
        <w:rPr>
          <w:rFonts w:ascii="宋体" w:hAnsi="宋体" w:cs="宋体"/>
          <w:sz w:val="28"/>
          <w:szCs w:val="28"/>
        </w:rPr>
        <w:t>50</w:t>
      </w:r>
      <w:r>
        <w:rPr>
          <w:rFonts w:hint="eastAsia" w:ascii="宋体" w:hAnsi="宋体" w:cs="宋体"/>
          <w:sz w:val="28"/>
          <w:szCs w:val="28"/>
        </w:rPr>
        <w:t>万吨和产生有毒有害废弃物的采矿企业，必须制定废弃物处置利用方案。严格要求采矿企业按设计排放采矿废石和选矿尾矿，鼓励采矿企业将废石在采空区作就地填埋无害化等处理。自</w:t>
      </w:r>
      <w:r>
        <w:rPr>
          <w:rFonts w:ascii="宋体" w:hAnsi="宋体" w:cs="宋体"/>
          <w:sz w:val="28"/>
          <w:szCs w:val="28"/>
        </w:rPr>
        <w:t>2018</w:t>
      </w:r>
      <w:r>
        <w:rPr>
          <w:rFonts w:hint="eastAsia" w:ascii="宋体" w:hAnsi="宋体" w:cs="宋体"/>
          <w:sz w:val="28"/>
          <w:szCs w:val="28"/>
        </w:rPr>
        <w:t>年起，在我县矿产资源开发活动集中区域，执行重点污染物特别排放限值，加强对矿产资源开发利用活动的辐射安全防治</w:t>
      </w:r>
      <w:r>
        <w:rPr>
          <w:rFonts w:hint="eastAsia" w:ascii="宋体" w:hAnsi="宋体"/>
          <w:sz w:val="28"/>
          <w:szCs w:val="28"/>
        </w:rPr>
        <w:t>，发现土壤污染问题的，要及时督促有关企业采取防治措施。</w:t>
      </w:r>
      <w:r>
        <w:rPr>
          <w:rFonts w:hint="eastAsia" w:ascii="宋体" w:hAnsi="宋体" w:cs="宋体"/>
          <w:sz w:val="28"/>
          <w:szCs w:val="28"/>
        </w:rPr>
        <w:t>（县国土资源局、环保局牵头，县工信局参与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促进矿山土地生态环境恢复。坚持矿山建设和地质环境保护与恢复治理工程“三同时”，落实矿山地质环境恢复治理保证金制度和土地复垦履约制度。强化露天矿采空区复垦工作，创新矿山剥离</w:t>
      </w:r>
      <w:r>
        <w:rPr>
          <w:rFonts w:ascii="宋体" w:hAnsi="宋体" w:cs="宋体"/>
          <w:sz w:val="28"/>
          <w:szCs w:val="28"/>
        </w:rPr>
        <w:t>—</w:t>
      </w:r>
      <w:r>
        <w:rPr>
          <w:rFonts w:hint="eastAsia" w:ascii="宋体" w:hAnsi="宋体" w:cs="宋体"/>
          <w:sz w:val="28"/>
          <w:szCs w:val="28"/>
        </w:rPr>
        <w:t>采矿</w:t>
      </w:r>
      <w:r>
        <w:rPr>
          <w:rFonts w:ascii="宋体" w:hAnsi="宋体" w:cs="宋体"/>
          <w:sz w:val="28"/>
          <w:szCs w:val="28"/>
        </w:rPr>
        <w:t>—</w:t>
      </w:r>
      <w:r>
        <w:rPr>
          <w:rFonts w:hint="eastAsia" w:ascii="宋体" w:hAnsi="宋体" w:cs="宋体"/>
          <w:sz w:val="28"/>
          <w:szCs w:val="28"/>
        </w:rPr>
        <w:t>复垦一体化模式，促进土地复垦和生态环境重建。加强对矿产资源开采活动影响区域内未利用地的环境监管，发现土壤污染问题的，要及时督促有关企业采取防治措施。按照“宜农则农，宜林则林，宜建则建”的原则，加大对地质环境问题突出的老矿山治理，有效增加治理区内的林地、耕地、建设用地面积，消除地质灾害导致污染隐患，恢复矿山生态环境。（县国土资源局、环保局牵头，县林业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强化尾矿库综合管理。全面强化尾矿库的综合管理，落实安全生产和环境保护措施要求。按照隐患严重程度和环境敏感度，确定重点治理区域及重点治理项目，分步实施，整体推进，提高尾矿库安全标准化等级，生产运行的尾矿库全部达到安全标准化三级以上水平，三等及以上尾矿库全部达到安全标准化二级以上水平。对停用废弃尾矿（砂）库、废渣库，按照安全、环保等法规强制闭库。无主尾矿库治理全面完成，已达到闭库条件的尾矿库闭库验收。严格治理尾矿库排洪系统不畅通、安全超高与干滩长度达不到规定要求等隐患；对不具有安全生产条件和超设计能力排放、超量储存的尾矿库要责令停止使用、限期治理，未按期完成治理的要依法关停。依法取缔、关闭非法开采的矿井和非法设立的尾矿库。重点治理“头顶库”，“三边库”全部完成升级加固改造搬走库内尾矿（砂）。三等及以上尾矿库和对下游村庄、河流等特殊位置和库内尾矿（砂）毒性较强的尾矿库，强制安装在线监测系统。严禁向废弃坑井、渗坑渗井、溶洞等非法排污、倾倒有毒有害物质的环境违法行为。（县安全监管局牵头，县国土资源局、环保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hint="eastAsia" w:ascii="宋体" w:hAnsi="宋体" w:cs="宋体"/>
          <w:sz w:val="28"/>
          <w:szCs w:val="28"/>
        </w:rPr>
        <w:t>（六）加强农业污染防治，保障农业生态环境安全</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控制农业面源污染。按照《广西到</w:t>
      </w:r>
      <w:r>
        <w:rPr>
          <w:rFonts w:ascii="宋体" w:hAnsi="宋体" w:cs="宋体"/>
          <w:sz w:val="28"/>
          <w:szCs w:val="28"/>
        </w:rPr>
        <w:t>2020</w:t>
      </w:r>
      <w:r>
        <w:rPr>
          <w:rFonts w:hint="eastAsia" w:ascii="宋体" w:hAnsi="宋体" w:cs="宋体"/>
          <w:sz w:val="28"/>
          <w:szCs w:val="28"/>
        </w:rPr>
        <w:t>年化肥使用量零增长行动方案》的要求，围绕“稳粮增收调结构，提质增效转方式”的工作主线，到</w:t>
      </w:r>
      <w:r>
        <w:rPr>
          <w:rFonts w:ascii="宋体" w:hAnsi="宋体" w:cs="宋体"/>
          <w:sz w:val="28"/>
          <w:szCs w:val="28"/>
        </w:rPr>
        <w:t>2020</w:t>
      </w:r>
      <w:r>
        <w:rPr>
          <w:rFonts w:hint="eastAsia" w:ascii="宋体" w:hAnsi="宋体" w:cs="宋体"/>
          <w:sz w:val="28"/>
          <w:szCs w:val="28"/>
        </w:rPr>
        <w:t>年，测土配方</w:t>
      </w:r>
      <w:r>
        <w:rPr>
          <w:rFonts w:hint="eastAsia"/>
          <w:sz w:val="28"/>
          <w:szCs w:val="28"/>
        </w:rPr>
        <w:t>施肥技术到户率达到</w:t>
      </w:r>
      <w:r>
        <w:rPr>
          <w:rFonts w:ascii="宋体" w:hAnsi="宋体" w:cs="宋体"/>
          <w:sz w:val="28"/>
          <w:szCs w:val="28"/>
        </w:rPr>
        <w:t>90%</w:t>
      </w:r>
      <w:r>
        <w:rPr>
          <w:rFonts w:hint="eastAsia" w:ascii="宋体" w:hAnsi="宋体" w:cs="宋体"/>
          <w:sz w:val="28"/>
          <w:szCs w:val="28"/>
        </w:rPr>
        <w:t>，畜禽规模化养殖场粪便肥料化还田率达到</w:t>
      </w:r>
      <w:r>
        <w:rPr>
          <w:rFonts w:ascii="宋体" w:hAnsi="宋体" w:cs="宋体"/>
          <w:sz w:val="28"/>
          <w:szCs w:val="28"/>
        </w:rPr>
        <w:t>60%</w:t>
      </w:r>
      <w:r>
        <w:rPr>
          <w:rFonts w:hint="eastAsia" w:ascii="宋体" w:hAnsi="宋体" w:cs="宋体"/>
          <w:sz w:val="28"/>
          <w:szCs w:val="28"/>
        </w:rPr>
        <w:t>，</w:t>
      </w:r>
      <w:r>
        <w:rPr>
          <w:rFonts w:hint="eastAsia" w:ascii="宋体" w:hAnsi="宋体"/>
          <w:sz w:val="28"/>
          <w:szCs w:val="28"/>
        </w:rPr>
        <w:t>农作物秸秆养分还田率达到</w:t>
      </w:r>
      <w:r>
        <w:rPr>
          <w:rFonts w:ascii="宋体" w:hAnsi="宋体"/>
          <w:sz w:val="28"/>
          <w:szCs w:val="28"/>
        </w:rPr>
        <w:t>60%</w:t>
      </w:r>
      <w:r>
        <w:rPr>
          <w:rFonts w:hint="eastAsia" w:ascii="宋体" w:hAnsi="宋体" w:cs="宋体"/>
          <w:sz w:val="28"/>
          <w:szCs w:val="28"/>
        </w:rPr>
        <w:t>，农作物肥料利用率达到</w:t>
      </w:r>
      <w:r>
        <w:rPr>
          <w:rFonts w:ascii="宋体" w:hAnsi="宋体" w:cs="宋体"/>
          <w:sz w:val="28"/>
          <w:szCs w:val="28"/>
        </w:rPr>
        <w:t>40%</w:t>
      </w:r>
      <w:r>
        <w:rPr>
          <w:rFonts w:hint="eastAsia" w:ascii="宋体" w:hAnsi="宋体" w:cs="宋体"/>
          <w:sz w:val="28"/>
          <w:szCs w:val="28"/>
        </w:rPr>
        <w:t>左右，实现农作物化肥用量零增长。在我县柑桔、葡萄主产区开展果树优势产区化肥减量增效试点。（县农业局牵头，县</w:t>
      </w:r>
      <w:r>
        <w:rPr>
          <w:rFonts w:hint="eastAsia"/>
          <w:sz w:val="28"/>
          <w:szCs w:val="28"/>
        </w:rPr>
        <w:t>水产畜牧兽医局</w:t>
      </w:r>
      <w:r>
        <w:rPr>
          <w:rFonts w:hint="eastAsia" w:ascii="宋体" w:hAnsi="宋体" w:cs="宋体"/>
          <w:sz w:val="28"/>
          <w:szCs w:val="28"/>
        </w:rPr>
        <w:t>、供销社参与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科学使用农药。在保障粮食安全的前提下，遵循生态学、生态经济学规律，依靠科技进步，大力推进生态农业、绿色防控、统防统治和无公害标准化生产，</w:t>
      </w:r>
      <w:r>
        <w:rPr>
          <w:rFonts w:hint="eastAsia"/>
          <w:sz w:val="28"/>
          <w:szCs w:val="28"/>
        </w:rPr>
        <w:t>确保全县主要农产品中有机、绿色、无公害种植面积的比重稳步上升。</w:t>
      </w:r>
      <w:r>
        <w:rPr>
          <w:rFonts w:hint="eastAsia" w:ascii="宋体" w:hAnsi="宋体" w:cs="宋体"/>
          <w:sz w:val="28"/>
          <w:szCs w:val="28"/>
        </w:rPr>
        <w:t>到</w:t>
      </w:r>
      <w:r>
        <w:rPr>
          <w:rFonts w:ascii="宋体" w:hAnsi="宋体" w:cs="宋体"/>
          <w:sz w:val="28"/>
          <w:szCs w:val="28"/>
        </w:rPr>
        <w:t>2020</w:t>
      </w:r>
      <w:r>
        <w:rPr>
          <w:rFonts w:hint="eastAsia" w:ascii="宋体" w:hAnsi="宋体" w:cs="宋体"/>
          <w:sz w:val="28"/>
          <w:szCs w:val="28"/>
        </w:rPr>
        <w:t>年，主要农作物病虫害生物、物理防治覆盖率达到</w:t>
      </w:r>
      <w:r>
        <w:rPr>
          <w:rFonts w:ascii="宋体" w:hAnsi="宋体" w:cs="宋体"/>
          <w:sz w:val="28"/>
          <w:szCs w:val="28"/>
        </w:rPr>
        <w:t>30%</w:t>
      </w:r>
      <w:r>
        <w:rPr>
          <w:rFonts w:hint="eastAsia" w:ascii="宋体" w:hAnsi="宋体" w:cs="宋体"/>
          <w:sz w:val="28"/>
          <w:szCs w:val="28"/>
        </w:rPr>
        <w:t>以上，主要农作物病虫害专业化统防统治覆盖率达到</w:t>
      </w:r>
      <w:r>
        <w:rPr>
          <w:rFonts w:ascii="宋体" w:hAnsi="宋体" w:cs="宋体"/>
          <w:sz w:val="28"/>
          <w:szCs w:val="28"/>
        </w:rPr>
        <w:t>40%</w:t>
      </w:r>
      <w:r>
        <w:rPr>
          <w:rFonts w:hint="eastAsia" w:ascii="宋体" w:hAnsi="宋体" w:cs="宋体"/>
          <w:sz w:val="28"/>
          <w:szCs w:val="28"/>
        </w:rPr>
        <w:t>以上，农药利用率达到</w:t>
      </w:r>
      <w:r>
        <w:rPr>
          <w:rFonts w:ascii="宋体" w:hAnsi="宋体" w:cs="宋体"/>
          <w:sz w:val="28"/>
          <w:szCs w:val="28"/>
        </w:rPr>
        <w:t>40%</w:t>
      </w:r>
      <w:r>
        <w:rPr>
          <w:rFonts w:hint="eastAsia" w:ascii="宋体" w:hAnsi="宋体" w:cs="宋体"/>
          <w:sz w:val="28"/>
          <w:szCs w:val="28"/>
        </w:rPr>
        <w:t>以上，</w:t>
      </w:r>
      <w:r>
        <w:rPr>
          <w:rFonts w:hint="eastAsia"/>
          <w:sz w:val="28"/>
          <w:szCs w:val="28"/>
        </w:rPr>
        <w:t>科学用药水平明显提升，</w:t>
      </w:r>
      <w:r>
        <w:rPr>
          <w:rFonts w:hint="eastAsia" w:ascii="宋体" w:hAnsi="宋体" w:cs="宋体"/>
          <w:sz w:val="28"/>
          <w:szCs w:val="28"/>
        </w:rPr>
        <w:t>农药使用总量实现零增长。（县农业局、林业局牵头，县供销社参与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加强废弃农膜回收利用、农药包装废弃物回收利用和处理。摸清各乡（镇）农膜用量，加快推广使用加厚地膜和可降解农膜，严厉打击违法生产和使用厚度小于</w:t>
      </w:r>
      <w:r>
        <w:rPr>
          <w:rFonts w:ascii="宋体" w:hAnsi="宋体" w:cs="宋体"/>
          <w:sz w:val="28"/>
          <w:szCs w:val="28"/>
        </w:rPr>
        <w:t>0.01</w:t>
      </w:r>
      <w:r>
        <w:rPr>
          <w:rFonts w:hint="eastAsia" w:ascii="宋体" w:hAnsi="宋体" w:cs="宋体"/>
          <w:sz w:val="28"/>
          <w:szCs w:val="28"/>
        </w:rPr>
        <w:t>毫米的地膜的行为。</w:t>
      </w:r>
      <w:r>
        <w:rPr>
          <w:rFonts w:hint="eastAsia"/>
          <w:sz w:val="28"/>
          <w:szCs w:val="28"/>
        </w:rPr>
        <w:t>开展废弃农膜回收利用试点</w:t>
      </w:r>
      <w:r>
        <w:rPr>
          <w:rFonts w:hint="eastAsia" w:ascii="宋体" w:hAnsi="宋体" w:cs="宋体"/>
          <w:sz w:val="28"/>
          <w:szCs w:val="28"/>
        </w:rPr>
        <w:t>，逐步建立废弃农膜回收贮运和综合利用网络。建立农药包装废弃物回收处理机制和体系，逐步实现农药包装废弃物的减量化、资源化、无害化。到</w:t>
      </w:r>
      <w:r>
        <w:rPr>
          <w:rFonts w:ascii="宋体" w:hAnsi="宋体" w:cs="宋体"/>
          <w:sz w:val="28"/>
          <w:szCs w:val="28"/>
        </w:rPr>
        <w:t>2020</w:t>
      </w:r>
      <w:r>
        <w:rPr>
          <w:rFonts w:hint="eastAsia" w:ascii="宋体" w:hAnsi="宋体" w:cs="宋体"/>
          <w:sz w:val="28"/>
          <w:szCs w:val="28"/>
        </w:rPr>
        <w:t>年，当季农田残膜回收率达</w:t>
      </w:r>
      <w:r>
        <w:rPr>
          <w:rFonts w:ascii="宋体" w:hAnsi="宋体" w:cs="宋体"/>
          <w:sz w:val="28"/>
          <w:szCs w:val="28"/>
        </w:rPr>
        <w:t>70%</w:t>
      </w:r>
      <w:r>
        <w:rPr>
          <w:rFonts w:hint="eastAsia" w:ascii="宋体" w:hAnsi="宋体" w:cs="宋体"/>
          <w:sz w:val="28"/>
          <w:szCs w:val="28"/>
        </w:rPr>
        <w:t>以上。（县农业局牵头，县工商局、供销社参与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4.</w:t>
      </w:r>
      <w:r>
        <w:rPr>
          <w:rFonts w:hint="eastAsia" w:ascii="宋体" w:hAnsi="宋体"/>
          <w:sz w:val="28"/>
          <w:szCs w:val="28"/>
        </w:rPr>
        <w:t>推进种植、养殖污染综合治理和综合利用。持续推进生态养殖，因地制宜大力推广“微生物</w:t>
      </w:r>
      <w:r>
        <w:rPr>
          <w:rFonts w:ascii="宋体" w:hAnsi="宋体"/>
          <w:sz w:val="28"/>
          <w:szCs w:val="28"/>
        </w:rPr>
        <w:t>+</w:t>
      </w:r>
      <w:r>
        <w:rPr>
          <w:rFonts w:hint="eastAsia" w:ascii="宋体" w:hAnsi="宋体"/>
          <w:sz w:val="28"/>
          <w:szCs w:val="28"/>
        </w:rPr>
        <w:t>”生态养殖多种模式，加强节水控污。</w:t>
      </w:r>
      <w:r>
        <w:rPr>
          <w:rFonts w:hint="eastAsia"/>
          <w:sz w:val="28"/>
          <w:szCs w:val="28"/>
        </w:rPr>
        <w:t>严格规范兽药、饲料添加剂的生产和使用，促进源头减量，防止过量使用。</w:t>
      </w:r>
      <w:r>
        <w:rPr>
          <w:rFonts w:ascii="宋体" w:hAnsi="宋体" w:cs="宋体"/>
          <w:sz w:val="28"/>
          <w:szCs w:val="28"/>
        </w:rPr>
        <w:t>2018</w:t>
      </w:r>
      <w:r>
        <w:rPr>
          <w:rFonts w:hint="eastAsia" w:ascii="宋体" w:hAnsi="宋体" w:cs="宋体"/>
          <w:sz w:val="28"/>
          <w:szCs w:val="28"/>
        </w:rPr>
        <w:t>年底前，全面完成全县禁养区的地理标注和发布工作，并依法推进分区管理，确保</w:t>
      </w:r>
      <w:r>
        <w:rPr>
          <w:rFonts w:ascii="宋体" w:hAnsi="宋体" w:cs="宋体"/>
          <w:sz w:val="28"/>
          <w:szCs w:val="28"/>
        </w:rPr>
        <w:t>2019</w:t>
      </w:r>
      <w:r>
        <w:rPr>
          <w:rFonts w:hint="eastAsia" w:ascii="宋体" w:hAnsi="宋体" w:cs="宋体"/>
          <w:sz w:val="28"/>
          <w:szCs w:val="28"/>
        </w:rPr>
        <w:t>年底前禁养区内的所有养殖场全部关闭或拆除。鼓励支持畜禽粪便处理利用设施建设，促进畜禽粪便在种植业上实现轻便化、简便化、商品化利用。到</w:t>
      </w:r>
      <w:r>
        <w:rPr>
          <w:rFonts w:ascii="宋体" w:hAnsi="宋体" w:cs="宋体"/>
          <w:sz w:val="28"/>
          <w:szCs w:val="28"/>
        </w:rPr>
        <w:t>2020</w:t>
      </w:r>
      <w:r>
        <w:rPr>
          <w:rFonts w:hint="eastAsia" w:ascii="宋体" w:hAnsi="宋体" w:cs="宋体"/>
          <w:sz w:val="28"/>
          <w:szCs w:val="28"/>
        </w:rPr>
        <w:t>年，我县规模化养殖场、养殖小区配套建设废弃物处理设施比例达到</w:t>
      </w:r>
      <w:r>
        <w:rPr>
          <w:rFonts w:ascii="宋体" w:hAnsi="宋体" w:cs="宋体"/>
          <w:sz w:val="28"/>
          <w:szCs w:val="28"/>
        </w:rPr>
        <w:t>80%</w:t>
      </w:r>
      <w:r>
        <w:rPr>
          <w:rFonts w:hint="eastAsia" w:ascii="宋体" w:hAnsi="宋体" w:cs="宋体"/>
          <w:sz w:val="28"/>
          <w:szCs w:val="28"/>
        </w:rPr>
        <w:t>以上，粪污综合利用率达到</w:t>
      </w:r>
      <w:r>
        <w:rPr>
          <w:rFonts w:ascii="宋体" w:hAnsi="宋体" w:cs="宋体"/>
          <w:sz w:val="28"/>
          <w:szCs w:val="28"/>
        </w:rPr>
        <w:t>90%</w:t>
      </w:r>
      <w:r>
        <w:rPr>
          <w:rFonts w:hint="eastAsia" w:ascii="宋体" w:hAnsi="宋体" w:cs="宋体"/>
          <w:sz w:val="28"/>
          <w:szCs w:val="28"/>
        </w:rPr>
        <w:t>。积极推进畜禽粪便、秸秆肥料化利用，同时优先开展种养业有机结合、循环发展试点，</w:t>
      </w:r>
      <w:r>
        <w:rPr>
          <w:rFonts w:hint="eastAsia"/>
          <w:sz w:val="28"/>
          <w:szCs w:val="28"/>
        </w:rPr>
        <w:t>按照能源、农业、环保三位一体格局，整体推进，建设生物天然气循环经济示范区。</w:t>
      </w:r>
      <w:r>
        <w:rPr>
          <w:rFonts w:hint="eastAsia" w:ascii="宋体" w:hAnsi="宋体" w:cs="宋体"/>
          <w:sz w:val="28"/>
          <w:szCs w:val="28"/>
        </w:rPr>
        <w:t>鼓励、扶持农业专业合作社、家庭农场、种植大户等新型农业经营主体结合秸秆回收利用，重点抓好秸秆机械化还田、腐熟还田、商品化有机肥还田和过腹还田等。（县</w:t>
      </w:r>
      <w:r>
        <w:rPr>
          <w:rFonts w:hint="eastAsia"/>
          <w:sz w:val="28"/>
          <w:szCs w:val="28"/>
        </w:rPr>
        <w:t>水产畜牧兽医局、</w:t>
      </w:r>
      <w:r>
        <w:rPr>
          <w:rFonts w:hint="eastAsia" w:ascii="宋体" w:hAnsi="宋体" w:cs="宋体"/>
          <w:sz w:val="28"/>
          <w:szCs w:val="28"/>
        </w:rPr>
        <w:t>农业局牵头，县林业局、环保局、供销社等参与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加强灌溉水水质管理。定期开展</w:t>
      </w:r>
      <w:r>
        <w:rPr>
          <w:rFonts w:hint="eastAsia"/>
          <w:sz w:val="28"/>
          <w:szCs w:val="28"/>
        </w:rPr>
        <w:t>全县灌溉用水情况和重点灌区</w:t>
      </w:r>
      <w:r>
        <w:rPr>
          <w:rFonts w:hint="eastAsia" w:ascii="宋体" w:hAnsi="宋体" w:cs="宋体"/>
          <w:sz w:val="28"/>
          <w:szCs w:val="28"/>
        </w:rPr>
        <w:t>灌溉水水质监测，灌溉用水应符合农田灌溉水水质标准。对因长期使用不符合农田灌溉水水质标准的灌溉用水导致土壤污染严重、威胁农产品质量安全的，要及时调整种植结构。（县水利局牵头，县农业局参与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hint="eastAsia" w:ascii="宋体" w:hAnsi="宋体" w:cs="宋体"/>
          <w:sz w:val="28"/>
          <w:szCs w:val="28"/>
        </w:rPr>
        <w:t>（七）开展土壤污染综合防治示范，改善区域土壤环境质量</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明确治理与修复主体。按照“谁污染谁治理，先修复后开发”原则，造成土壤污染的单位或个人要承担治理与修复的主体责任。责任主体发生变更的，由变更后继承其债权、债务的单位或个人承担相关责任；土地使用权依法转让的，由土地使用权受让人或双方约定的责任人承担相关责任。责任主体灭失或责任主体不明确的，由县人民政府依法承担相关责任。土地转让合同中未约定治理修复责任的，由县人民政府和企业主管部门共同召集企业与土地受让单位进行协商，落实治理修复责任。（县环保局牵头，县住建局、国土资源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有序实施治理与修复工程。</w:t>
      </w:r>
      <w:r>
        <w:rPr>
          <w:rFonts w:hint="eastAsia" w:ascii="宋体" w:hAnsi="宋体"/>
          <w:sz w:val="28"/>
          <w:szCs w:val="28"/>
        </w:rPr>
        <w:t>以</w:t>
      </w:r>
      <w:r>
        <w:rPr>
          <w:rFonts w:hint="eastAsia" w:ascii="宋体" w:hAnsi="宋体" w:cs="宋体"/>
          <w:sz w:val="28"/>
          <w:szCs w:val="28"/>
        </w:rPr>
        <w:t>影响农产品质量和人居环境安全的突出土壤污染问题为重点，</w:t>
      </w:r>
      <w:r>
        <w:rPr>
          <w:rFonts w:hint="eastAsia" w:ascii="宋体" w:hAnsi="宋体" w:cs="宋体"/>
          <w:kern w:val="0"/>
          <w:sz w:val="28"/>
          <w:szCs w:val="28"/>
        </w:rPr>
        <w:t>按照先规划后实施、边调查边治理的原则，</w:t>
      </w:r>
      <w:r>
        <w:rPr>
          <w:rFonts w:hint="eastAsia" w:ascii="宋体" w:hAnsi="宋体" w:cs="宋体"/>
          <w:sz w:val="28"/>
          <w:szCs w:val="28"/>
        </w:rPr>
        <w:t>结合城市环境质量提升和发展布局，以拟开发建设居住、商业、学校、医疗和养老机构等项目的污染地块、耕地土壤污染程度高、环境风险及其影响较大的区域为重点，按照防污染、控风险、治突出的“防</w:t>
      </w:r>
      <w:r>
        <w:rPr>
          <w:rFonts w:ascii="宋体" w:hAnsi="宋体" w:cs="宋体"/>
          <w:sz w:val="28"/>
          <w:szCs w:val="28"/>
        </w:rPr>
        <w:t>—</w:t>
      </w:r>
      <w:r>
        <w:rPr>
          <w:rFonts w:hint="eastAsia" w:ascii="宋体" w:hAnsi="宋体" w:cs="宋体"/>
          <w:sz w:val="28"/>
          <w:szCs w:val="28"/>
        </w:rPr>
        <w:t>控</w:t>
      </w:r>
      <w:r>
        <w:rPr>
          <w:rFonts w:ascii="宋体" w:hAnsi="宋体" w:cs="宋体"/>
          <w:sz w:val="28"/>
          <w:szCs w:val="28"/>
        </w:rPr>
        <w:t>—</w:t>
      </w:r>
      <w:r>
        <w:rPr>
          <w:rFonts w:hint="eastAsia" w:ascii="宋体" w:hAnsi="宋体" w:cs="宋体"/>
          <w:sz w:val="28"/>
          <w:szCs w:val="28"/>
        </w:rPr>
        <w:t>治”指导思想，实施土壤治理和修复工程建设，</w:t>
      </w:r>
      <w:r>
        <w:rPr>
          <w:rFonts w:hint="eastAsia"/>
          <w:sz w:val="28"/>
          <w:szCs w:val="28"/>
        </w:rPr>
        <w:t>在土壤污染源头预防、风险管控、治理与修复、监管能力建设等方面进行探索和试点示范。到</w:t>
      </w:r>
      <w:r>
        <w:rPr>
          <w:rFonts w:ascii="宋体" w:hAnsi="宋体" w:cs="宋体"/>
          <w:sz w:val="28"/>
          <w:szCs w:val="28"/>
        </w:rPr>
        <w:t>2020</w:t>
      </w:r>
      <w:r>
        <w:rPr>
          <w:rFonts w:hint="eastAsia"/>
          <w:sz w:val="28"/>
          <w:szCs w:val="28"/>
        </w:rPr>
        <w:t>年，全县土壤污染面积不增加、土壤环境质量不退化，土壤主要污染来源得到有效控制，区域土壤环境质量得到明显改善</w:t>
      </w:r>
      <w:r>
        <w:rPr>
          <w:rFonts w:hint="eastAsia" w:ascii="宋体" w:hAnsi="宋体" w:cs="宋体"/>
          <w:sz w:val="28"/>
          <w:szCs w:val="28"/>
        </w:rPr>
        <w:t>，完成桂林市下达受污染耕地治理与修复面积。（县国土资源局、农业局、环保局负责，县住建局参与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加强治理与修复工程监管。治理与修复工程原则上在原址进行，并采取必要措施防止污染土壤挖掘、堆存等造成二次污染；需要转运污染土壤的，有关责任单位要将运输时间、方式、线路和污染土壤数量、去向、最终处置措施等，提前向所在地和接收地环境保护部门报告。工程施工期间，责任单位要设立公告牌，公开工程基本情况、环境影响及其防范措施；环保部门要对各项环境保护措施落实情况进行检查。工程完工后，责任单位要委托第三方机构对治理与修复效果进行评估，结果向社会公开。实行土壤污染治理与修复终身责任制。</w:t>
      </w:r>
      <w:r>
        <w:rPr>
          <w:rFonts w:ascii="宋体" w:hAnsi="宋体" w:cs="宋体"/>
          <w:sz w:val="28"/>
          <w:szCs w:val="28"/>
        </w:rPr>
        <w:t>2018</w:t>
      </w:r>
      <w:r>
        <w:rPr>
          <w:rFonts w:hint="eastAsia" w:ascii="宋体" w:hAnsi="宋体" w:cs="宋体"/>
          <w:sz w:val="28"/>
          <w:szCs w:val="28"/>
        </w:rPr>
        <w:t>年起，根据国家土壤污染治理与修复成效评估办法，逐步开展治理与修复土地的成效评估。（县环保局牵头，县住建局、国土资源局、农业局参与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2" w:firstLineChars="200"/>
        <w:rPr>
          <w:rFonts w:ascii="宋体" w:cs="宋体"/>
          <w:b/>
          <w:sz w:val="28"/>
          <w:szCs w:val="28"/>
        </w:rPr>
      </w:pPr>
      <w:r>
        <w:rPr>
          <w:rFonts w:hint="eastAsia" w:ascii="宋体" w:hAnsi="宋体" w:cs="宋体"/>
          <w:b/>
          <w:sz w:val="28"/>
          <w:szCs w:val="28"/>
        </w:rPr>
        <w:t>四、措施保障</w:t>
      </w:r>
    </w:p>
    <w:p>
      <w:pPr>
        <w:ind w:firstLine="560" w:firstLineChars="200"/>
        <w:rPr>
          <w:rFonts w:ascii="宋体" w:cs="宋体"/>
          <w:sz w:val="28"/>
          <w:szCs w:val="28"/>
        </w:rPr>
      </w:pPr>
      <w:r>
        <w:rPr>
          <w:rFonts w:hint="eastAsia" w:ascii="宋体" w:hAnsi="宋体" w:cs="宋体"/>
          <w:sz w:val="28"/>
          <w:szCs w:val="28"/>
        </w:rPr>
        <w:t>（一）加强组织领导，健全工作机制，落实主体责任</w:t>
      </w:r>
    </w:p>
    <w:p>
      <w:pPr>
        <w:ind w:firstLine="560" w:firstLineChars="200"/>
        <w:rPr>
          <w:rFonts w:ascii="宋体" w:cs="宋体"/>
          <w:sz w:val="28"/>
          <w:szCs w:val="28"/>
        </w:rPr>
      </w:pPr>
      <w:r>
        <w:rPr>
          <w:rFonts w:hint="eastAsia" w:ascii="宋体" w:hAnsi="宋体" w:cs="宋体"/>
          <w:sz w:val="28"/>
          <w:szCs w:val="28"/>
        </w:rPr>
        <w:t>县</w:t>
      </w:r>
      <w:r>
        <w:rPr>
          <w:rFonts w:hint="eastAsia"/>
          <w:sz w:val="28"/>
          <w:szCs w:val="28"/>
        </w:rPr>
        <w:t>人民政府是实施本方案的主体，政府主要负责人为第一责任人。县环保局要制定并公布本辖区土壤环境保护方案，确定辖区内土壤环境保护工作的重点任务和工作目标，并将保护方案报县人民政府备案。把土壤环境保护工作纳入国民经济和社会发展规划，全面落实土壤污染防治属地责任。按照“谁污染，谁治理”原则，造成土壤污染的单位或个人要承担损害评估治理与修复的主体责任。存在土壤污染风险的企业要加强内部管理，将土壤污染防治纳入环境风险防控体系，严格依法依规建设和运营污染治理设施；对于承包农用地从事农业生产的个人或集体，要求其履行土壤保护义务；国有企业要带头落实土壤环境保护工作职责。</w:t>
      </w:r>
      <w:r>
        <w:rPr>
          <w:rFonts w:hint="eastAsia" w:ascii="宋体" w:hAnsi="宋体" w:cs="宋体"/>
          <w:sz w:val="28"/>
          <w:szCs w:val="28"/>
        </w:rPr>
        <w:t>（县环保局牵头，县工信局、农业局、林业局、水产畜牧兽医局等参与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hint="eastAsia" w:ascii="宋体" w:hAnsi="宋体" w:cs="宋体"/>
          <w:sz w:val="28"/>
          <w:szCs w:val="28"/>
        </w:rPr>
        <w:t>（二）提升队伍能力，强化监管执法</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加强执法队伍建设。加强土壤环境监测人员、环境执法人员技术培训，严格落实监测、执法人员持证上岗制。加强执法装备配备和环境应急管理、技术支撑、处置救援能力建设，提升基层环境执法能力。（县环保局牵头，县工信局、住建局、国土资源局、农业局、林业局、安监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加强土壤环境日常监管。</w:t>
      </w:r>
      <w:r>
        <w:rPr>
          <w:rFonts w:hint="eastAsia"/>
          <w:sz w:val="28"/>
          <w:szCs w:val="28"/>
        </w:rPr>
        <w:t>环境监测机构</w:t>
      </w:r>
      <w:r>
        <w:rPr>
          <w:rFonts w:hint="eastAsia" w:ascii="宋体" w:hAnsi="宋体" w:cs="宋体"/>
          <w:sz w:val="28"/>
          <w:szCs w:val="28"/>
        </w:rPr>
        <w:t>要定期对重点监管企业和工业园区周边开展监测：在涉重金属行业企业、矿山等附近，以镉、汞、砷、铅、铬等重金属作为重点污染物开展监测；在石化、化工企业等附近，以多环芳烃、石油烃等有机污染物作为重点污染物开展监测。监测数据应及时上报市环保局，并作为环境执法和风险预警的重要依据。加强对工业企业关停、搬迁、原场地再开发利用过程中场地土壤环境监管，要求企业开展场地土壤环境调查和风险评估工作，经调查评估有环境风险的被污染场地必须进行治理修复并达到相关环保标准。（县环保局负责</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加强土壤环境保护执法。分行业、分区域确定监管工作任务和目标，以有色金属矿采选、化工、金属冶炼、制药等行业作为重点监管行业，以产粮大乡镇和粮源基地、产蔬菜重点区以及重点监管尾矿库区、工业集中区等作为重点监管区域，开展土地环境监管工作。要根据企业分布和污染排放情况，确定土壤环境重点监管企业名单，实行动态更新，并向社会公布。列入名单的企业每年要对其用地进行土壤环境监测，监测结果向社会公开。将土壤污染防治作为环境执法的重要内容，充分利用环境监管网络，严厉打击私设暗管或利用渗井等非法排放、倾倒有毒有害污染物、违法违规存放危险化学品、非法处置危险废物、不正常使用污染治理设施、监测数据作假等环境违法行为，构成犯罪的，依法追究责任。对造成生态损害的责任人严格落实损害赔偿制度。严肃查处建设项目环境影响评价领域未批先建、边批边建、久试不验等违法违规行为。加大重点行业企业专项环境执法力度，对严重污染土壤环境、群众反映强烈的企业挂牌督办。（县环保局牵头，县工信局、</w:t>
      </w:r>
      <w:r>
        <w:rPr>
          <w:rFonts w:hint="eastAsia"/>
          <w:sz w:val="28"/>
          <w:szCs w:val="28"/>
        </w:rPr>
        <w:t>国土资源局、住建局、农业局、林业局、公安局、安全监管局参与</w:t>
      </w:r>
      <w:r>
        <w:rPr>
          <w:rFonts w:hint="eastAsia" w:ascii="宋体" w:hAnsi="宋体"/>
          <w:sz w:val="28"/>
          <w:szCs w:val="28"/>
        </w:rPr>
        <w:t>，</w:t>
      </w:r>
      <w:r>
        <w:rPr>
          <w:rFonts w:hint="eastAsia"/>
          <w:sz w:val="28"/>
          <w:szCs w:val="28"/>
        </w:rPr>
        <w:t>各乡（镇）人民政府负责落实。</w:t>
      </w:r>
      <w:r>
        <w:rPr>
          <w:rFonts w:hint="eastAsia"/>
        </w:rPr>
        <w:t>）</w:t>
      </w:r>
    </w:p>
    <w:p>
      <w:pPr>
        <w:ind w:firstLine="560" w:firstLineChars="200"/>
        <w:rPr>
          <w:rFonts w:ascii="宋体"/>
          <w:sz w:val="28"/>
          <w:szCs w:val="28"/>
        </w:rPr>
      </w:pPr>
      <w:r>
        <w:rPr>
          <w:rFonts w:ascii="宋体" w:hAnsi="宋体"/>
          <w:sz w:val="28"/>
          <w:szCs w:val="28"/>
        </w:rPr>
        <w:t xml:space="preserve">4. </w:t>
      </w:r>
      <w:r>
        <w:rPr>
          <w:rFonts w:hint="eastAsia" w:ascii="宋体" w:hAnsi="宋体"/>
          <w:sz w:val="28"/>
          <w:szCs w:val="28"/>
        </w:rPr>
        <w:t>加强土壤污染应急能力建设</w:t>
      </w:r>
    </w:p>
    <w:p>
      <w:pPr>
        <w:ind w:firstLine="560" w:firstLineChars="200"/>
        <w:rPr>
          <w:rFonts w:ascii="宋体"/>
          <w:sz w:val="28"/>
          <w:szCs w:val="28"/>
        </w:rPr>
      </w:pPr>
      <w:r>
        <w:rPr>
          <w:rFonts w:hint="eastAsia" w:ascii="宋体" w:hAnsi="宋体"/>
          <w:sz w:val="28"/>
          <w:szCs w:val="28"/>
        </w:rPr>
        <w:t>加强事故性应急监测和监督性监测工作，结合区域环境监测中心建设，以重点调查企业及周边、蔬菜、水果种植基地、粮食种植基地、污水处理厂、垃圾填埋场等为重点，组建若干环境污染事故应急监测小组，制定应急计划，配备适用、便携和快速自动的应急监测仪器设备，逐步健全监测应急体系，提高应急装备和技术水平。（县环保局牵头，县工信局、国土资源局、住建局、农业局、安全监管局、林业局等参与，</w:t>
      </w:r>
      <w:r>
        <w:rPr>
          <w:rFonts w:hint="eastAsia"/>
          <w:sz w:val="28"/>
          <w:szCs w:val="28"/>
        </w:rPr>
        <w:t>各乡（镇）人民政府负责落实。</w:t>
      </w:r>
      <w:r>
        <w:rPr>
          <w:rFonts w:hint="eastAsia" w:ascii="宋体" w:hAnsi="宋体"/>
          <w:sz w:val="28"/>
          <w:szCs w:val="28"/>
        </w:rPr>
        <w:t>）</w:t>
      </w:r>
    </w:p>
    <w:p>
      <w:pPr>
        <w:ind w:firstLine="560" w:firstLineChars="200"/>
        <w:rPr>
          <w:rFonts w:ascii="宋体" w:cs="宋体"/>
          <w:sz w:val="28"/>
          <w:szCs w:val="28"/>
        </w:rPr>
      </w:pPr>
      <w:r>
        <w:rPr>
          <w:rFonts w:hint="eastAsia" w:ascii="宋体" w:hAnsi="宋体" w:cs="宋体"/>
          <w:sz w:val="28"/>
          <w:szCs w:val="28"/>
        </w:rPr>
        <w:t>（三）加大资金投入，加强科技支撑</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加大财政投入。积极争取上级财政资金，加大对土壤环境保护工作的支持力度，</w:t>
      </w:r>
      <w:r>
        <w:rPr>
          <w:rFonts w:hint="eastAsia"/>
          <w:sz w:val="28"/>
          <w:szCs w:val="28"/>
        </w:rPr>
        <w:t>将土壤环境保护相关经费列入每年相关部门预算的环保专项资金中，</w:t>
      </w:r>
      <w:r>
        <w:rPr>
          <w:rFonts w:hint="eastAsia" w:ascii="宋体" w:hAnsi="宋体" w:cs="宋体"/>
          <w:sz w:val="28"/>
          <w:szCs w:val="28"/>
        </w:rPr>
        <w:t>整合重金属污染防治专项资金等，用于土壤环境调查、监测评估、监督管理以及治理修复等工作。统筹相关财政资金，将农业综合开发、高标准农田建设、农田水利建设、耕地保护与质量提升、测土配方施肥等涉农资金更多用于优先保护耕地集中区。统筹安排专项建设基金，支持企业对涉重金属落后生产工艺和设备进行技术改造。（县财政局牵头，县发改局、工信局、市容局、国土资源局、环保局、水利局、农业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建立激励政策。建立相应政策激励环保行业企业参与土壤污染治理与修复、废弃物综合处置等。</w:t>
      </w:r>
      <w:r>
        <w:rPr>
          <w:rFonts w:hint="eastAsia"/>
          <w:sz w:val="28"/>
          <w:szCs w:val="28"/>
        </w:rPr>
        <w:t>研究制定扶持利用畜禽养殖废弃物、秸秆制作生物天然气和有机肥等企业的激励政策，以及在有机废弃物丰富的种植养殖区域发展生物天然气和有机肥的奖励办法。</w:t>
      </w:r>
      <w:r>
        <w:rPr>
          <w:rFonts w:hint="eastAsia" w:ascii="宋体" w:hAnsi="宋体" w:cs="宋体"/>
          <w:sz w:val="28"/>
          <w:szCs w:val="28"/>
        </w:rPr>
        <w:t>按照“谁购买谁交回、谁销售谁收集、谁生产谁处理”的原则，探索基于市场机制的回收处理机制，试点开展废弃农药包装物押金制度，对废弃农药包装物实施无害化处理和资源化利用。研究制定在养殖区开展利用畜禽养殖废弃物制作有机肥的奖励办法。研究制定激励政策推行生活垃圾分类收集。（县发改局、财政局，环保局、农业局、水产畜牧兽医局、供销社、地税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加大技术推广力度。综合土壤污染类型、程度和区域代表性，针对典型受污染农用地、污染地块，分批实施土壤污染治理与修复技术应用试点项目。根据试点情况，比选形成一批易推广、成本低、效果好的使用技术。完善土壤污染防治科技成果转化机制，建成以环保为主导产业的高新技术产业集中区等一批成果转化平台。（县环保局、财政局牵头，县科技局、国土资源局、住建局、农业局、林业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推动土壤治理修复产业发展。放开服务性监测市场，鼓励社会机构参与土壤环境监测评估等活动，建立污染场地评估咨询和治理修复单位名录制度，规范污染场地调查、风险评估和治理修复工作，推动土壤修复产业发展。通过政策推动，加快完善覆盖土壤环境调查、分析测试、风险评估、治理与修复工程设计和施工等环节的成熟产业链，培育一批行业示范性企业，推动建设产业化示范基地。规范土壤污染治理与修复从业单位和人员管理，建立健全监督机制，构建从业单位信用体系，建立负面清单制度。实行土壤污染治理与修复终身责任制。发挥“互联网</w:t>
      </w:r>
      <w:r>
        <w:rPr>
          <w:rFonts w:ascii="宋体" w:hAnsi="宋体" w:cs="宋体"/>
          <w:sz w:val="28"/>
          <w:szCs w:val="28"/>
        </w:rPr>
        <w:t>+</w:t>
      </w:r>
      <w:r>
        <w:rPr>
          <w:rFonts w:hint="eastAsia" w:ascii="宋体" w:hAnsi="宋体" w:cs="宋体"/>
          <w:sz w:val="28"/>
          <w:szCs w:val="28"/>
        </w:rPr>
        <w:t>”在土壤污染治理与修复全产业链中的作用，推动大众创新、万众创新。（县环保局牵头，县发改局、科技局、工信局、国土资源局、住建局、农业局、林业局等参与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创新投融资模式。发挥市场作用，通过政府购买服务、第三方治理、政府和社会资本合作（</w:t>
      </w:r>
      <w:r>
        <w:rPr>
          <w:rFonts w:ascii="宋体" w:hAnsi="宋体" w:cs="宋体"/>
          <w:sz w:val="28"/>
          <w:szCs w:val="28"/>
        </w:rPr>
        <w:t>PPP</w:t>
      </w:r>
      <w:r>
        <w:rPr>
          <w:rFonts w:hint="eastAsia" w:ascii="宋体" w:hAnsi="宋体" w:cs="宋体"/>
          <w:sz w:val="28"/>
          <w:szCs w:val="28"/>
        </w:rPr>
        <w:t>）等方式，推动商业模式创新，带动更多的社会资本参与土壤环境保护，加大政府购买服务力度，推动受污染耕地和政府为责任主体的污染地块治理修复。积极发展绿色金融，鼓励金融机构为重大土壤环境保护项目推行绿色信贷，支持银行和土壤污染治理修复企业发行绿色债券，鼓励符合条件的土壤污染治理修复企业发行股票，积极探索在重点行业推行环境污染责任保险制度。（县发改局、环保局、县财政局牵头，人民银行全州县支行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hint="eastAsia" w:ascii="宋体" w:hAnsi="宋体" w:cs="宋体"/>
          <w:sz w:val="28"/>
          <w:szCs w:val="28"/>
        </w:rPr>
        <w:t>（四）加强宣传教育，推进公众参与</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加强宣传教育。各部门结合自身职能，制定土壤环境保护宣传教育方案，通过电视、广播、微信、微博、报纸杂志等多渠道、多方式、多平台，</w:t>
      </w:r>
      <w:r>
        <w:rPr>
          <w:rFonts w:hint="eastAsia"/>
          <w:sz w:val="28"/>
          <w:szCs w:val="28"/>
        </w:rPr>
        <w:t>依托广西壮族自治区乡村清洁条例集中宣传活动，</w:t>
      </w:r>
      <w:r>
        <w:rPr>
          <w:rFonts w:hint="eastAsia" w:ascii="宋体" w:hAnsi="宋体" w:cs="宋体"/>
          <w:sz w:val="28"/>
          <w:szCs w:val="28"/>
        </w:rPr>
        <w:t>结合普法工作，普及土壤环境保护和污染防治相关知识，加强相关法律法规政策宣传解读，营造保护土壤环境的良好社会氛围，树立土壤环境保护意识，推动形成绿色发展方式和生活方式。切实把土壤环境保护宣传教育融入党政机关、学校、企业、社区、农村等的环保宣传教育工作中。（县环保局牵头，县委宣传部、教育局、国土资源局、住建局、农业局、文新广局、粮食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2.</w:t>
      </w:r>
      <w:r>
        <w:rPr>
          <w:rFonts w:hint="eastAsia"/>
          <w:sz w:val="28"/>
          <w:szCs w:val="28"/>
        </w:rPr>
        <w:t>加强社会监督</w:t>
      </w:r>
      <w:r>
        <w:rPr>
          <w:rFonts w:hint="eastAsia" w:ascii="宋体" w:hAnsi="宋体" w:cs="宋体"/>
          <w:sz w:val="28"/>
          <w:szCs w:val="28"/>
        </w:rPr>
        <w:t>。根据土壤环境质量监测和调查结果，适时发布全县土壤环境状况，县人民政府定期公布本行政区域土壤环境质量状况。重点行业企业要依据有关规定，向社会公开其产生的污染物名称、污染物来源、排放方式、排放浓度、排放总量，以及污染防治设施建设和运行情况。依法依规公开关停搬迁工业企业原址场地调查评估与治理修复相关信息。（县环保局牵头，县国土资源局、住建局、农业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引导公众参与。积极引导公众、新闻媒体、民间环境保护机构等参与土壤环境保护工作，实行有奖举报，鼓励公众通过</w:t>
      </w:r>
      <w:r>
        <w:rPr>
          <w:rFonts w:ascii="宋体" w:hAnsi="宋体" w:cs="宋体"/>
          <w:sz w:val="28"/>
          <w:szCs w:val="28"/>
        </w:rPr>
        <w:t>12369</w:t>
      </w:r>
      <w:r>
        <w:rPr>
          <w:rFonts w:hint="eastAsia" w:ascii="宋体" w:hAnsi="宋体" w:cs="宋体"/>
          <w:sz w:val="28"/>
          <w:szCs w:val="28"/>
        </w:rPr>
        <w:t>环保举报热线、信函、电子邮件、政府网站、微信公众平台等途径，对乱排废水、废气，乱倒废渣、污泥等污染土壤、农田环境的违法行为进行监督；鼓励地方政府部门聘请环境保护义务监督员，参与现场环境执法、宣传土壤环境保护；鼓励新闻媒体曝光污染土壤环境的各类违法违规行为和土壤污染事件调查。鼓励种粮大户、家庭农场、农民合作社以及民间环境保护机构参与土壤环境保护工作。（县环保局牵头，县国土资源局、住建局、农业局、水产畜牧兽医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推进公益诉讼。鼓励依法对污染土壤等环境违法行为提起公益诉讼。</w:t>
      </w:r>
      <w:r>
        <w:rPr>
          <w:rFonts w:hint="eastAsia"/>
          <w:sz w:val="28"/>
          <w:szCs w:val="28"/>
        </w:rPr>
        <w:t>探索开展公益诉讼改革试点工作</w:t>
      </w:r>
      <w:r>
        <w:rPr>
          <w:rFonts w:hint="eastAsia" w:ascii="宋体" w:hAnsi="宋体" w:cs="宋体"/>
          <w:sz w:val="28"/>
          <w:szCs w:val="28"/>
        </w:rPr>
        <w:t>，污染土壤等损害社会公共利益的行为，法律规定的机关及相关组织可以提起环境民事诉讼，负有环境保护监督管理职责的部门、人民检察院督促有关机关提起诉讼，没有适合主体提起诉讼、社会公共利益仍处于受侵害状态的，由人民检察院以公诉人身份依法提起民事公益诉讼。对负有土壤污染防治职责的行政机关，因违法行使职权或者不作为造成国家和社会公共利益受到侵害的，人民检察院先行向相关行政机关发出督促其纠正违法行为或依法履职的检察建议，行政机关拒不纠正或履行的，国家和社会公共利益仍处于受侵害状态的，由人民检察院提起行政公益诉讼。有关部门应当积极配合司法机关的相关案件办理工作和检察机关的监督工作。（县人民检察院、人民法院牵头，县国土资源局、环保局、住建局、水利局、农业局、林业局等参与</w:t>
      </w:r>
      <w:r>
        <w:rPr>
          <w:rFonts w:hint="eastAsia" w:ascii="宋体" w:hAnsi="宋体"/>
          <w:sz w:val="28"/>
          <w:szCs w:val="28"/>
        </w:rPr>
        <w:t>，</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r>
        <w:rPr>
          <w:rFonts w:hint="eastAsia" w:ascii="宋体" w:hAnsi="宋体" w:cs="宋体"/>
          <w:sz w:val="28"/>
          <w:szCs w:val="28"/>
        </w:rPr>
        <w:t>（五）加强目标考核，严格责任追究</w:t>
      </w:r>
    </w:p>
    <w:p>
      <w:pPr>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加强目标责任考核。</w:t>
      </w:r>
      <w:r>
        <w:rPr>
          <w:rFonts w:hint="eastAsia"/>
          <w:sz w:val="28"/>
          <w:szCs w:val="28"/>
        </w:rPr>
        <w:t>县人民政府与各乡（镇）人民政府和有关部门</w:t>
      </w:r>
      <w:r>
        <w:rPr>
          <w:rFonts w:hint="eastAsia" w:ascii="宋体" w:hAnsi="宋体" w:cs="宋体"/>
          <w:sz w:val="28"/>
          <w:szCs w:val="28"/>
        </w:rPr>
        <w:t>签订土壤环境保护目标责任书，分解落实目标任务，切实落实“党政同责、一岗双责”。</w:t>
      </w:r>
      <w:r>
        <w:rPr>
          <w:rFonts w:hint="eastAsia"/>
          <w:sz w:val="28"/>
          <w:szCs w:val="28"/>
        </w:rPr>
        <w:t>各乡（镇）人民政府和县直有关部门</w:t>
      </w:r>
      <w:r>
        <w:rPr>
          <w:rFonts w:hint="eastAsia" w:ascii="宋体" w:hAnsi="宋体" w:cs="宋体"/>
          <w:sz w:val="28"/>
          <w:szCs w:val="28"/>
        </w:rPr>
        <w:t>要高度重视土壤环境保护工作，担负起土壤环境保护目标责任。</w:t>
      </w:r>
      <w:r>
        <w:rPr>
          <w:rFonts w:hint="eastAsia"/>
          <w:sz w:val="28"/>
          <w:szCs w:val="28"/>
        </w:rPr>
        <w:t>要建立考核制度，每年对各乡（镇）和县直部门土壤污染防治工作进展情况进行评估考核，</w:t>
      </w:r>
      <w:r>
        <w:rPr>
          <w:rFonts w:ascii="宋体" w:hAnsi="宋体" w:cs="宋体"/>
          <w:sz w:val="28"/>
          <w:szCs w:val="28"/>
        </w:rPr>
        <w:t>2020</w:t>
      </w:r>
      <w:r>
        <w:rPr>
          <w:rFonts w:hint="eastAsia" w:ascii="宋体" w:hAnsi="宋体" w:cs="宋体"/>
          <w:sz w:val="28"/>
          <w:szCs w:val="28"/>
        </w:rPr>
        <w:t>年对本保护方案实施情况进行考核，评估和考核结果作为土壤环境保护专项资金分配的重要参考依据，并作为对领导干部综合考核评价、自然资源资产离任审计的重要依据。（县环保局牵头，县委组织部、县财政局、审计局</w:t>
      </w:r>
      <w:r>
        <w:rPr>
          <w:rFonts w:hint="eastAsia"/>
        </w:rPr>
        <w:t>、</w:t>
      </w:r>
      <w:r>
        <w:rPr>
          <w:rFonts w:hint="eastAsia"/>
          <w:sz w:val="28"/>
          <w:szCs w:val="28"/>
        </w:rPr>
        <w:t>绩效办参与，各乡（镇）人民政府负责落实。</w:t>
      </w:r>
      <w:r>
        <w:rPr>
          <w:rFonts w:hint="eastAsia" w:ascii="宋体" w:hAnsi="宋体" w:cs="宋体"/>
          <w:sz w:val="28"/>
          <w:szCs w:val="28"/>
        </w:rPr>
        <w:t>）</w:t>
      </w:r>
    </w:p>
    <w:p>
      <w:pPr>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严格责任追究。对年度评估结果较差或未通过考核的</w:t>
      </w:r>
      <w:r>
        <w:rPr>
          <w:rFonts w:hint="eastAsia"/>
          <w:sz w:val="28"/>
          <w:szCs w:val="28"/>
        </w:rPr>
        <w:t>乡镇和县直有关部门</w:t>
      </w:r>
      <w:r>
        <w:rPr>
          <w:rFonts w:hint="eastAsia" w:ascii="宋体" w:hAnsi="宋体" w:cs="宋体"/>
          <w:sz w:val="28"/>
          <w:szCs w:val="28"/>
        </w:rPr>
        <w:t>，要提出限期整改意见。整改完成之前，对</w:t>
      </w:r>
      <w:r>
        <w:rPr>
          <w:rFonts w:hint="eastAsia"/>
          <w:sz w:val="28"/>
          <w:szCs w:val="28"/>
        </w:rPr>
        <w:t>相关区域</w:t>
      </w:r>
      <w:r>
        <w:rPr>
          <w:rFonts w:hint="eastAsia" w:ascii="宋体" w:hAnsi="宋体" w:cs="宋体"/>
          <w:sz w:val="28"/>
          <w:szCs w:val="28"/>
        </w:rPr>
        <w:t>实施建设项目环评限批。整改工作不到位的，以及土壤环境问题突出、区域土壤环境质量明显下降、防治工作不力、</w:t>
      </w:r>
      <w:r>
        <w:rPr>
          <w:rFonts w:hint="eastAsia" w:ascii="宋体" w:hAnsi="宋体" w:cs="宋体"/>
          <w:sz w:val="28"/>
          <w:szCs w:val="28"/>
          <w:lang w:eastAsia="zh-CN"/>
        </w:rPr>
        <w:t>群众反映</w:t>
      </w:r>
      <w:r>
        <w:rPr>
          <w:rFonts w:hint="eastAsia" w:ascii="宋体" w:hAnsi="宋体" w:cs="宋体"/>
          <w:sz w:val="28"/>
          <w:szCs w:val="28"/>
        </w:rPr>
        <w:t>强烈的地区，对有关乡（镇）人民政府及相关部门主要负责人进行约谈。对失职渎职、弄虚作假、不顾生态环境盲目决策导致土壤环境质量恶化或未有效应对土壤环境污染事件的，视情节轻重，给予组织处理或党纪政纪处分；构成犯罪的，要依法追究刑事责任；已经调离、提拔或离任者，也要终身追究责任。（县环保局牵头，县委组织部、县监察局参与</w:t>
      </w:r>
      <w:r>
        <w:rPr>
          <w:rFonts w:hint="eastAsia"/>
          <w:sz w:val="28"/>
          <w:szCs w:val="28"/>
        </w:rPr>
        <w:t>，各乡（镇）人民政府负责落实</w:t>
      </w:r>
      <w:r>
        <w:rPr>
          <w:rFonts w:hint="eastAsia" w:ascii="宋体" w:hAnsi="宋体" w:cs="宋体"/>
          <w:sz w:val="28"/>
          <w:szCs w:val="28"/>
        </w:rPr>
        <w:t>）</w:t>
      </w:r>
    </w:p>
    <w:p>
      <w:pPr>
        <w:ind w:firstLine="560" w:firstLineChars="200"/>
        <w:rPr>
          <w:rFonts w:ascii="宋体" w:cs="宋体"/>
          <w:sz w:val="28"/>
          <w:szCs w:val="28"/>
        </w:rPr>
      </w:pPr>
    </w:p>
    <w:p>
      <w:pPr>
        <w:adjustRightInd w:val="0"/>
        <w:snapToGrid w:val="0"/>
        <w:spacing w:line="288" w:lineRule="auto"/>
        <w:ind w:firstLine="560" w:firstLineChars="200"/>
        <w:rPr>
          <w:rFonts w:ascii="宋体" w:cs="宋体"/>
          <w:sz w:val="28"/>
          <w:szCs w:val="28"/>
        </w:rPr>
      </w:pPr>
      <w:r>
        <w:rPr>
          <w:rFonts w:hint="eastAsia" w:ascii="宋体" w:hAnsi="宋体" w:cs="宋体"/>
          <w:sz w:val="28"/>
          <w:szCs w:val="28"/>
        </w:rPr>
        <w:t>附件：</w:t>
      </w:r>
      <w:r>
        <w:rPr>
          <w:rFonts w:ascii="宋体" w:hAnsi="宋体" w:cs="宋体"/>
          <w:sz w:val="28"/>
          <w:szCs w:val="28"/>
        </w:rPr>
        <w:t>1.</w:t>
      </w:r>
      <w:r>
        <w:rPr>
          <w:rFonts w:hint="eastAsia"/>
          <w:sz w:val="28"/>
          <w:szCs w:val="28"/>
        </w:rPr>
        <w:t>全州县粮源基地重点乡镇名单</w:t>
      </w:r>
    </w:p>
    <w:p>
      <w:pPr>
        <w:ind w:firstLine="1400" w:firstLineChars="500"/>
        <w:rPr>
          <w:sz w:val="28"/>
          <w:szCs w:val="28"/>
        </w:rPr>
      </w:pPr>
      <w:r>
        <w:rPr>
          <w:rFonts w:ascii="宋体" w:hAnsi="宋体" w:cs="宋体"/>
          <w:sz w:val="28"/>
          <w:szCs w:val="28"/>
        </w:rPr>
        <w:t>2.</w:t>
      </w:r>
      <w:r>
        <w:rPr>
          <w:rFonts w:hint="eastAsia"/>
          <w:sz w:val="28"/>
          <w:szCs w:val="28"/>
        </w:rPr>
        <w:t>全州县蔬菜生产重点乡镇名单</w:t>
      </w:r>
    </w:p>
    <w:p>
      <w:pPr>
        <w:adjustRightInd w:val="0"/>
        <w:snapToGrid w:val="0"/>
        <w:spacing w:line="288" w:lineRule="auto"/>
        <w:ind w:firstLine="1400" w:firstLineChars="500"/>
        <w:rPr>
          <w:sz w:val="28"/>
          <w:szCs w:val="28"/>
        </w:rPr>
      </w:pPr>
      <w:r>
        <w:rPr>
          <w:rFonts w:ascii="宋体" w:hAnsi="宋体"/>
          <w:sz w:val="28"/>
          <w:szCs w:val="28"/>
        </w:rPr>
        <w:t>3.</w:t>
      </w:r>
      <w:r>
        <w:rPr>
          <w:rFonts w:hint="eastAsia"/>
          <w:sz w:val="28"/>
          <w:szCs w:val="28"/>
        </w:rPr>
        <w:t>全州县重点企业土壤污染治理监测点名单</w:t>
      </w:r>
    </w:p>
    <w:p>
      <w:pPr>
        <w:adjustRightInd w:val="0"/>
        <w:snapToGrid w:val="0"/>
        <w:spacing w:line="560" w:lineRule="exact"/>
        <w:ind w:firstLine="1400" w:firstLineChars="500"/>
        <w:rPr>
          <w:sz w:val="28"/>
          <w:szCs w:val="28"/>
        </w:rPr>
      </w:pPr>
      <w:r>
        <w:rPr>
          <w:rFonts w:ascii="宋体" w:hAnsi="宋体"/>
          <w:sz w:val="28"/>
          <w:szCs w:val="28"/>
        </w:rPr>
        <w:t>4.</w:t>
      </w:r>
      <w:r>
        <w:rPr>
          <w:rFonts w:hint="eastAsia"/>
          <w:sz w:val="28"/>
          <w:szCs w:val="28"/>
        </w:rPr>
        <w:t>全州县重点监管尾矿库清单</w:t>
      </w:r>
    </w:p>
    <w:p>
      <w:pPr>
        <w:spacing w:line="560" w:lineRule="exact"/>
        <w:ind w:firstLine="1400" w:firstLineChars="500"/>
        <w:rPr>
          <w:sz w:val="28"/>
          <w:szCs w:val="28"/>
        </w:rPr>
      </w:pPr>
      <w:r>
        <w:rPr>
          <w:rFonts w:ascii="宋体" w:hAnsi="宋体"/>
          <w:sz w:val="28"/>
          <w:szCs w:val="28"/>
        </w:rPr>
        <w:t>5.</w:t>
      </w:r>
      <w:r>
        <w:rPr>
          <w:rFonts w:hint="eastAsia"/>
          <w:sz w:val="28"/>
          <w:szCs w:val="28"/>
        </w:rPr>
        <w:t>全州县垃圾填埋场清单</w:t>
      </w:r>
    </w:p>
    <w:p>
      <w:pPr>
        <w:adjustRightInd w:val="0"/>
        <w:snapToGrid w:val="0"/>
        <w:spacing w:line="288" w:lineRule="auto"/>
        <w:ind w:firstLine="1400" w:firstLineChars="500"/>
        <w:rPr>
          <w:sz w:val="28"/>
          <w:szCs w:val="28"/>
        </w:rPr>
      </w:pPr>
      <w:r>
        <w:rPr>
          <w:rFonts w:ascii="宋体" w:hAnsi="宋体"/>
          <w:sz w:val="28"/>
          <w:szCs w:val="28"/>
        </w:rPr>
        <w:t>6.</w:t>
      </w:r>
      <w:r>
        <w:rPr>
          <w:rFonts w:hint="eastAsia"/>
          <w:sz w:val="28"/>
          <w:szCs w:val="28"/>
        </w:rPr>
        <w:t>全州县</w:t>
      </w:r>
      <w:r>
        <w:rPr>
          <w:rFonts w:hint="eastAsia" w:ascii="宋体" w:hAnsi="宋体" w:cs="仿3f宋3f_GB2312"/>
          <w:bCs/>
          <w:kern w:val="0"/>
          <w:sz w:val="28"/>
          <w:szCs w:val="28"/>
        </w:rPr>
        <w:t>重点管控的涉重金属产业园区</w:t>
      </w: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460" w:lineRule="exact"/>
        <w:ind w:left="-420" w:leftChars="-200" w:right="-506" w:rightChars="-241" w:firstLine="555"/>
        <w:rPr>
          <w:rFonts w:ascii="宋体"/>
          <w:sz w:val="24"/>
        </w:rPr>
      </w:pPr>
    </w:p>
    <w:p>
      <w:pPr>
        <w:spacing w:line="600" w:lineRule="exact"/>
        <w:rPr>
          <w:rFonts w:ascii="宋体"/>
          <w:b/>
          <w:sz w:val="28"/>
          <w:szCs w:val="28"/>
        </w:rPr>
      </w:pPr>
      <w:r>
        <w:pict>
          <v:line id="_x0000_s1028" o:spid="_x0000_s1028" o:spt="20" style="position:absolute;left:0pt;margin-left:-16.3pt;margin-top:26.65pt;height:0.2pt;width:467.65pt;z-index:251661312;mso-width-relative:page;mso-height-relative:page;" coordsize="21600,21600">
            <v:path arrowok="t"/>
            <v:fill focussize="0,0"/>
            <v:stroke/>
            <v:imagedata o:title=""/>
            <o:lock v:ext="edit"/>
          </v:line>
        </w:pict>
      </w:r>
    </w:p>
    <w:p>
      <w:pPr>
        <w:spacing w:line="460" w:lineRule="exact"/>
        <w:ind w:left="-420" w:leftChars="-200" w:right="-506" w:rightChars="-241" w:firstLine="555"/>
        <w:rPr>
          <w:rFonts w:ascii="宋体"/>
          <w:sz w:val="24"/>
        </w:rPr>
      </w:pPr>
      <w:r>
        <w:rPr>
          <w:rFonts w:hint="eastAsia" w:ascii="宋体" w:hAnsi="宋体"/>
          <w:sz w:val="24"/>
        </w:rPr>
        <w:t>抄送：县委各部门、各人民团体。</w:t>
      </w:r>
    </w:p>
    <w:p>
      <w:pPr>
        <w:spacing w:line="460" w:lineRule="exact"/>
        <w:ind w:left="-420" w:leftChars="-200" w:right="-506" w:rightChars="-241" w:firstLine="555"/>
        <w:rPr>
          <w:rFonts w:ascii="宋体"/>
          <w:sz w:val="24"/>
        </w:rPr>
      </w:pPr>
      <w:r>
        <w:rPr>
          <w:rFonts w:hint="eastAsia" w:ascii="宋体" w:hAnsi="宋体"/>
          <w:sz w:val="24"/>
        </w:rPr>
        <w:t>　　　县人大常委会办公室，县政协办公室，县人民法院，县人民检察院。</w:t>
      </w:r>
    </w:p>
    <w:p>
      <w:pPr>
        <w:spacing w:line="460" w:lineRule="exact"/>
        <w:ind w:left="-420" w:leftChars="-200" w:right="-506" w:rightChars="-241"/>
        <w:rPr>
          <w:rFonts w:ascii="宋体"/>
          <w:sz w:val="24"/>
        </w:rPr>
      </w:pPr>
      <w:r>
        <w:pict>
          <v:line id="_x0000_s1029" o:spid="_x0000_s1029" o:spt="20" style="position:absolute;left:0pt;margin-left:-16.3pt;margin-top:1.4pt;height:0.2pt;width:467.65pt;z-index:251662336;mso-width-relative:page;mso-height-relative:page;" coordsize="21600,21600">
            <v:path arrowok="t"/>
            <v:fill focussize="0,0"/>
            <v:stroke/>
            <v:imagedata o:title=""/>
            <o:lock v:ext="edit"/>
          </v:line>
        </w:pict>
      </w:r>
      <w:r>
        <w:rPr>
          <w:rFonts w:ascii="宋体" w:hAnsi="宋体"/>
          <w:sz w:val="24"/>
        </w:rPr>
        <w:t xml:space="preserve">   </w:t>
      </w:r>
      <w:r>
        <w:rPr>
          <w:rFonts w:hint="eastAsia" w:ascii="宋体" w:hAnsi="宋体"/>
          <w:sz w:val="24"/>
        </w:rPr>
        <w:t>　全州县人民政府办公室</w:t>
      </w:r>
      <w:r>
        <w:rPr>
          <w:rFonts w:ascii="宋体"/>
          <w:sz w:val="24"/>
        </w:rPr>
        <w:tab/>
      </w:r>
      <w:r>
        <w:rPr>
          <w:rFonts w:ascii="宋体"/>
          <w:sz w:val="24"/>
        </w:rPr>
        <w:tab/>
      </w:r>
      <w:r>
        <w:rPr>
          <w:rFonts w:hint="eastAsia" w:ascii="宋体" w:hAnsi="宋体"/>
          <w:sz w:val="24"/>
        </w:rPr>
        <w:t>　　　　　　　　</w:t>
      </w:r>
      <w:r>
        <w:rPr>
          <w:rFonts w:ascii="宋体" w:hAnsi="宋体"/>
          <w:sz w:val="24"/>
        </w:rPr>
        <w:t xml:space="preserve"> 2017</w:t>
      </w:r>
      <w:r>
        <w:rPr>
          <w:rFonts w:hint="eastAsia" w:ascii="宋体" w:hAnsi="宋体"/>
          <w:sz w:val="24"/>
        </w:rPr>
        <w:t>年</w:t>
      </w:r>
      <w:r>
        <w:rPr>
          <w:rFonts w:ascii="宋体" w:hAnsi="宋体"/>
          <w:sz w:val="24"/>
        </w:rPr>
        <w:t>11</w:t>
      </w:r>
      <w:r>
        <w:rPr>
          <w:rFonts w:hint="eastAsia" w:ascii="宋体" w:hAnsi="宋体"/>
          <w:sz w:val="24"/>
        </w:rPr>
        <w:t>月</w:t>
      </w:r>
      <w:r>
        <w:rPr>
          <w:rFonts w:ascii="宋体" w:hAnsi="宋体"/>
          <w:sz w:val="24"/>
        </w:rPr>
        <w:t>20</w:t>
      </w:r>
      <w:r>
        <w:rPr>
          <w:rFonts w:hint="eastAsia" w:ascii="宋体" w:hAnsi="宋体"/>
          <w:sz w:val="24"/>
        </w:rPr>
        <w:t>日印发</w:t>
      </w:r>
    </w:p>
    <w:p>
      <w:pPr>
        <w:tabs>
          <w:tab w:val="left" w:pos="735"/>
        </w:tabs>
        <w:spacing w:line="460" w:lineRule="exact"/>
        <w:ind w:left="-420" w:leftChars="-200" w:right="-506" w:rightChars="-241"/>
        <w:rPr>
          <w:rFonts w:ascii="宋体"/>
          <w:sz w:val="28"/>
          <w:szCs w:val="28"/>
        </w:rPr>
      </w:pPr>
      <w:r>
        <w:pict>
          <v:line id="_x0000_s1030" o:spid="_x0000_s1030" o:spt="20" style="position:absolute;left:0pt;flip:y;margin-left:-15.25pt;margin-top:3.35pt;height:0.45pt;width:465.65pt;z-index:251660288;mso-width-relative:page;mso-height-relative:page;" coordsize="21600,21600">
            <v:path arrowok="t"/>
            <v:fill focussize="0,0"/>
            <v:stroke/>
            <v:imagedata o:title=""/>
            <o:lock v:ext="edit"/>
          </v:line>
        </w:pict>
      </w:r>
    </w:p>
    <w:p>
      <w:pPr>
        <w:adjustRightInd w:val="0"/>
        <w:snapToGrid w:val="0"/>
        <w:spacing w:line="288" w:lineRule="auto"/>
        <w:rPr>
          <w:b/>
          <w:sz w:val="32"/>
          <w:szCs w:val="32"/>
        </w:rPr>
      </w:pPr>
      <w:r>
        <w:rPr>
          <w:rFonts w:hint="eastAsia"/>
          <w:b/>
          <w:sz w:val="28"/>
          <w:szCs w:val="28"/>
        </w:rPr>
        <w:t>附件１：</w:t>
      </w:r>
      <w:r>
        <w:rPr>
          <w:rFonts w:hint="eastAsia"/>
          <w:b/>
          <w:sz w:val="32"/>
          <w:szCs w:val="32"/>
        </w:rPr>
        <w:t>全州县粮源基地重点乡镇名单</w:t>
      </w:r>
    </w:p>
    <w:p>
      <w:pPr>
        <w:tabs>
          <w:tab w:val="left" w:pos="735"/>
        </w:tabs>
        <w:spacing w:line="460" w:lineRule="exact"/>
        <w:ind w:left="-420" w:leftChars="-200" w:right="-506" w:rightChars="-241"/>
        <w:rPr>
          <w:rFonts w:ascii="宋体"/>
          <w:b/>
          <w:sz w:val="32"/>
          <w:szCs w:val="32"/>
        </w:rPr>
      </w:pPr>
    </w:p>
    <w:tbl>
      <w:tblPr>
        <w:tblStyle w:val="4"/>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5039"/>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095" w:type="dxa"/>
            <w:vAlign w:val="center"/>
          </w:tcPr>
          <w:p>
            <w:pPr>
              <w:tabs>
                <w:tab w:val="left" w:pos="735"/>
              </w:tabs>
              <w:spacing w:line="460" w:lineRule="exact"/>
              <w:ind w:right="-506" w:rightChars="-241"/>
              <w:rPr>
                <w:rFonts w:ascii="宋体"/>
                <w:b/>
                <w:sz w:val="28"/>
                <w:szCs w:val="28"/>
              </w:rPr>
            </w:pPr>
            <w:r>
              <w:rPr>
                <w:rFonts w:hint="eastAsia" w:ascii="宋体" w:hAnsi="宋体"/>
                <w:b/>
                <w:sz w:val="28"/>
                <w:szCs w:val="28"/>
              </w:rPr>
              <w:t>县区</w:t>
            </w:r>
          </w:p>
        </w:tc>
        <w:tc>
          <w:tcPr>
            <w:tcW w:w="5039" w:type="dxa"/>
            <w:vAlign w:val="center"/>
          </w:tcPr>
          <w:p>
            <w:pPr>
              <w:tabs>
                <w:tab w:val="left" w:pos="735"/>
              </w:tabs>
              <w:spacing w:line="460" w:lineRule="exact"/>
              <w:ind w:right="-506" w:rightChars="-241" w:firstLine="843" w:firstLineChars="300"/>
              <w:rPr>
                <w:rFonts w:ascii="宋体"/>
                <w:b/>
                <w:sz w:val="28"/>
                <w:szCs w:val="28"/>
              </w:rPr>
            </w:pPr>
            <w:r>
              <w:rPr>
                <w:rFonts w:hint="eastAsia" w:ascii="宋体" w:hAnsi="宋体"/>
                <w:b/>
                <w:sz w:val="28"/>
                <w:szCs w:val="28"/>
              </w:rPr>
              <w:t>产粮大乡镇</w:t>
            </w:r>
          </w:p>
        </w:tc>
        <w:tc>
          <w:tcPr>
            <w:tcW w:w="2164" w:type="dxa"/>
            <w:vAlign w:val="center"/>
          </w:tcPr>
          <w:p>
            <w:pPr>
              <w:tabs>
                <w:tab w:val="left" w:pos="735"/>
              </w:tabs>
              <w:spacing w:line="460" w:lineRule="exact"/>
              <w:ind w:right="-506" w:rightChars="-241"/>
              <w:jc w:val="center"/>
              <w:rPr>
                <w:rFonts w:ascii="宋体"/>
                <w:b/>
                <w:sz w:val="28"/>
                <w:szCs w:val="28"/>
              </w:rPr>
            </w:pPr>
            <w:r>
              <w:rPr>
                <w:rFonts w:hint="eastAsia" w:ascii="宋体" w:hAnsi="宋体"/>
                <w:b/>
                <w:sz w:val="28"/>
                <w:szCs w:val="28"/>
              </w:rPr>
              <w:t>乡镇数小计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095" w:type="dxa"/>
            <w:vAlign w:val="center"/>
          </w:tcPr>
          <w:p>
            <w:pPr>
              <w:tabs>
                <w:tab w:val="left" w:pos="735"/>
              </w:tabs>
              <w:spacing w:line="460" w:lineRule="exact"/>
              <w:ind w:right="-506" w:rightChars="-241"/>
              <w:rPr>
                <w:rFonts w:ascii="宋体"/>
                <w:sz w:val="28"/>
                <w:szCs w:val="28"/>
              </w:rPr>
            </w:pPr>
            <w:r>
              <w:rPr>
                <w:rFonts w:hint="eastAsia" w:ascii="宋体" w:hAnsi="宋体"/>
                <w:sz w:val="28"/>
                <w:szCs w:val="28"/>
              </w:rPr>
              <w:t>全州县</w:t>
            </w:r>
          </w:p>
        </w:tc>
        <w:tc>
          <w:tcPr>
            <w:tcW w:w="5039" w:type="dxa"/>
            <w:vAlign w:val="center"/>
          </w:tcPr>
          <w:p>
            <w:pPr>
              <w:tabs>
                <w:tab w:val="left" w:pos="735"/>
              </w:tabs>
              <w:spacing w:line="460" w:lineRule="exact"/>
              <w:ind w:right="-506" w:rightChars="-241"/>
              <w:rPr>
                <w:rFonts w:ascii="宋体"/>
                <w:sz w:val="28"/>
                <w:szCs w:val="28"/>
              </w:rPr>
            </w:pPr>
            <w:r>
              <w:rPr>
                <w:rFonts w:hint="eastAsia" w:ascii="宋体" w:hAnsi="宋体"/>
                <w:sz w:val="28"/>
                <w:szCs w:val="28"/>
              </w:rPr>
              <w:t>绍水镇、才湾镇、咸水</w:t>
            </w:r>
            <w:r>
              <w:rPr>
                <w:rFonts w:hint="eastAsia" w:ascii="宋体" w:hAnsi="宋体"/>
                <w:sz w:val="28"/>
                <w:szCs w:val="28"/>
                <w:lang w:eastAsia="zh-CN"/>
              </w:rPr>
              <w:t>镇</w:t>
            </w:r>
            <w:r>
              <w:rPr>
                <w:rFonts w:hint="eastAsia" w:ascii="宋体" w:hAnsi="宋体"/>
                <w:sz w:val="28"/>
                <w:szCs w:val="28"/>
              </w:rPr>
              <w:t>、龙水镇、</w:t>
            </w:r>
          </w:p>
          <w:p>
            <w:pPr>
              <w:tabs>
                <w:tab w:val="left" w:pos="735"/>
              </w:tabs>
              <w:spacing w:line="460" w:lineRule="exact"/>
              <w:ind w:right="-506" w:rightChars="-241"/>
              <w:rPr>
                <w:rFonts w:ascii="宋体"/>
                <w:sz w:val="28"/>
                <w:szCs w:val="28"/>
              </w:rPr>
            </w:pPr>
            <w:r>
              <w:rPr>
                <w:rFonts w:hint="eastAsia" w:ascii="宋体" w:hAnsi="宋体"/>
                <w:sz w:val="28"/>
                <w:szCs w:val="28"/>
              </w:rPr>
              <w:t>石塘镇、凤凰</w:t>
            </w:r>
            <w:r>
              <w:rPr>
                <w:rFonts w:hint="eastAsia" w:ascii="宋体" w:hAnsi="宋体"/>
                <w:sz w:val="28"/>
                <w:szCs w:val="28"/>
                <w:lang w:eastAsia="zh-CN"/>
              </w:rPr>
              <w:t>镇</w:t>
            </w:r>
            <w:r>
              <w:rPr>
                <w:rFonts w:hint="eastAsia" w:ascii="宋体" w:hAnsi="宋体"/>
                <w:sz w:val="28"/>
                <w:szCs w:val="28"/>
              </w:rPr>
              <w:t>、两河</w:t>
            </w:r>
            <w:r>
              <w:rPr>
                <w:rFonts w:hint="eastAsia" w:ascii="宋体" w:hAnsi="宋体"/>
                <w:sz w:val="28"/>
                <w:szCs w:val="28"/>
                <w:lang w:eastAsia="zh-CN"/>
              </w:rPr>
              <w:t>镇</w:t>
            </w:r>
            <w:r>
              <w:rPr>
                <w:rFonts w:hint="eastAsia" w:ascii="宋体" w:hAnsi="宋体"/>
                <w:sz w:val="28"/>
                <w:szCs w:val="28"/>
              </w:rPr>
              <w:t>、安和</w:t>
            </w:r>
            <w:r>
              <w:rPr>
                <w:rFonts w:hint="eastAsia" w:ascii="宋体" w:hAnsi="宋体"/>
                <w:sz w:val="28"/>
                <w:szCs w:val="28"/>
                <w:lang w:eastAsia="zh-CN"/>
              </w:rPr>
              <w:t>镇</w:t>
            </w:r>
            <w:r>
              <w:rPr>
                <w:rFonts w:hint="eastAsia" w:ascii="宋体" w:hAnsi="宋体"/>
                <w:sz w:val="28"/>
                <w:szCs w:val="28"/>
              </w:rPr>
              <w:t>、</w:t>
            </w:r>
          </w:p>
          <w:p>
            <w:pPr>
              <w:tabs>
                <w:tab w:val="left" w:pos="735"/>
              </w:tabs>
              <w:spacing w:line="460" w:lineRule="exact"/>
              <w:ind w:right="-506" w:rightChars="-241"/>
              <w:rPr>
                <w:rFonts w:ascii="宋体"/>
                <w:sz w:val="28"/>
                <w:szCs w:val="28"/>
              </w:rPr>
            </w:pPr>
            <w:r>
              <w:rPr>
                <w:rFonts w:hint="eastAsia" w:ascii="宋体" w:hAnsi="宋体"/>
                <w:sz w:val="28"/>
                <w:szCs w:val="28"/>
              </w:rPr>
              <w:t>文桥镇、全州镇</w:t>
            </w:r>
          </w:p>
        </w:tc>
        <w:tc>
          <w:tcPr>
            <w:tcW w:w="2164" w:type="dxa"/>
            <w:vAlign w:val="center"/>
          </w:tcPr>
          <w:p>
            <w:pPr>
              <w:tabs>
                <w:tab w:val="left" w:pos="735"/>
              </w:tabs>
              <w:spacing w:line="460" w:lineRule="exact"/>
              <w:ind w:right="-506" w:rightChars="-241"/>
              <w:jc w:val="center"/>
              <w:rPr>
                <w:rFonts w:ascii="宋体" w:hAnsi="宋体"/>
                <w:sz w:val="28"/>
                <w:szCs w:val="28"/>
              </w:rPr>
            </w:pPr>
            <w:r>
              <w:rPr>
                <w:rFonts w:ascii="宋体" w:hAnsi="宋体"/>
                <w:sz w:val="28"/>
                <w:szCs w:val="28"/>
              </w:rPr>
              <w:t>10</w:t>
            </w:r>
          </w:p>
        </w:tc>
      </w:tr>
    </w:tbl>
    <w:p>
      <w:pPr>
        <w:tabs>
          <w:tab w:val="left" w:pos="735"/>
        </w:tabs>
        <w:spacing w:line="460" w:lineRule="exact"/>
        <w:ind w:left="-420" w:leftChars="-200" w:right="-506" w:rightChars="-241"/>
        <w:rPr>
          <w:rFonts w:ascii="宋体"/>
          <w:b/>
          <w:sz w:val="32"/>
          <w:szCs w:val="32"/>
        </w:rPr>
      </w:pPr>
    </w:p>
    <w:p>
      <w:pPr>
        <w:adjustRightInd w:val="0"/>
        <w:snapToGrid w:val="0"/>
        <w:spacing w:line="288" w:lineRule="auto"/>
        <w:rPr>
          <w:b/>
          <w:sz w:val="32"/>
          <w:szCs w:val="32"/>
        </w:rPr>
      </w:pPr>
      <w:r>
        <w:rPr>
          <w:rFonts w:hint="eastAsia"/>
          <w:b/>
          <w:sz w:val="32"/>
          <w:szCs w:val="32"/>
        </w:rPr>
        <w:t>附件</w:t>
      </w:r>
      <w:r>
        <w:rPr>
          <w:b/>
          <w:sz w:val="32"/>
          <w:szCs w:val="32"/>
        </w:rPr>
        <w:t>2</w:t>
      </w:r>
      <w:r>
        <w:rPr>
          <w:rFonts w:hint="eastAsia"/>
          <w:b/>
          <w:sz w:val="32"/>
          <w:szCs w:val="32"/>
        </w:rPr>
        <w:t>：全州县蔬菜生产重点乡镇名单</w:t>
      </w:r>
    </w:p>
    <w:tbl>
      <w:tblPr>
        <w:tblStyle w:val="4"/>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4621"/>
        <w:gridCol w:w="1479"/>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63" w:type="dxa"/>
            <w:vAlign w:val="center"/>
          </w:tcPr>
          <w:p>
            <w:pPr>
              <w:jc w:val="center"/>
              <w:rPr>
                <w:rFonts w:ascii="宋体" w:cs="宋体"/>
                <w:b/>
                <w:sz w:val="28"/>
                <w:szCs w:val="28"/>
              </w:rPr>
            </w:pPr>
            <w:r>
              <w:rPr>
                <w:rFonts w:hint="eastAsia" w:ascii="宋体" w:hAnsi="宋体" w:cs="宋体"/>
                <w:b/>
                <w:sz w:val="28"/>
                <w:szCs w:val="28"/>
              </w:rPr>
              <w:t>县区</w:t>
            </w:r>
          </w:p>
        </w:tc>
        <w:tc>
          <w:tcPr>
            <w:tcW w:w="4621" w:type="dxa"/>
            <w:vAlign w:val="center"/>
          </w:tcPr>
          <w:p>
            <w:pPr>
              <w:jc w:val="center"/>
              <w:rPr>
                <w:rFonts w:ascii="宋体" w:cs="宋体"/>
                <w:b/>
                <w:sz w:val="28"/>
                <w:szCs w:val="28"/>
              </w:rPr>
            </w:pPr>
            <w:r>
              <w:rPr>
                <w:rFonts w:hint="eastAsia" w:ascii="宋体" w:hAnsi="宋体" w:cs="宋体"/>
                <w:b/>
                <w:sz w:val="28"/>
                <w:szCs w:val="28"/>
              </w:rPr>
              <w:t>果蔬生产基地乡镇</w:t>
            </w:r>
          </w:p>
        </w:tc>
        <w:tc>
          <w:tcPr>
            <w:tcW w:w="1479" w:type="dxa"/>
            <w:vAlign w:val="center"/>
          </w:tcPr>
          <w:p>
            <w:pPr>
              <w:jc w:val="center"/>
              <w:rPr>
                <w:rFonts w:ascii="宋体" w:cs="宋体"/>
                <w:b/>
                <w:sz w:val="28"/>
                <w:szCs w:val="28"/>
              </w:rPr>
            </w:pPr>
            <w:r>
              <w:rPr>
                <w:rFonts w:hint="eastAsia" w:ascii="宋体" w:hAnsi="宋体" w:cs="宋体"/>
                <w:b/>
                <w:sz w:val="28"/>
                <w:szCs w:val="28"/>
              </w:rPr>
              <w:t>产业带</w:t>
            </w:r>
          </w:p>
        </w:tc>
        <w:tc>
          <w:tcPr>
            <w:tcW w:w="1896" w:type="dxa"/>
            <w:vAlign w:val="center"/>
          </w:tcPr>
          <w:p>
            <w:pPr>
              <w:jc w:val="center"/>
              <w:rPr>
                <w:rFonts w:ascii="宋体" w:cs="宋体"/>
                <w:b/>
                <w:sz w:val="28"/>
                <w:szCs w:val="28"/>
              </w:rPr>
            </w:pPr>
            <w:r>
              <w:rPr>
                <w:rFonts w:hint="eastAsia" w:ascii="宋体" w:hAnsi="宋体" w:cs="宋体"/>
                <w:b/>
                <w:sz w:val="28"/>
                <w:szCs w:val="28"/>
              </w:rPr>
              <w:t>基地数小计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263" w:type="dxa"/>
            <w:vAlign w:val="center"/>
          </w:tcPr>
          <w:p>
            <w:pPr>
              <w:jc w:val="center"/>
              <w:rPr>
                <w:rFonts w:ascii="宋体" w:cs="宋体"/>
                <w:sz w:val="28"/>
                <w:szCs w:val="28"/>
              </w:rPr>
            </w:pPr>
            <w:r>
              <w:rPr>
                <w:rFonts w:hint="eastAsia" w:ascii="宋体" w:hAnsi="宋体" w:cs="宋体"/>
                <w:sz w:val="28"/>
                <w:szCs w:val="28"/>
              </w:rPr>
              <w:t>全州县</w:t>
            </w:r>
          </w:p>
        </w:tc>
        <w:tc>
          <w:tcPr>
            <w:tcW w:w="4621" w:type="dxa"/>
            <w:vAlign w:val="center"/>
          </w:tcPr>
          <w:p>
            <w:pPr>
              <w:tabs>
                <w:tab w:val="left" w:pos="735"/>
              </w:tabs>
              <w:spacing w:line="460" w:lineRule="exact"/>
              <w:ind w:right="-506" w:rightChars="-241"/>
              <w:rPr>
                <w:rFonts w:ascii="宋体"/>
                <w:sz w:val="28"/>
                <w:szCs w:val="28"/>
              </w:rPr>
            </w:pPr>
            <w:r>
              <w:rPr>
                <w:rFonts w:hint="eastAsia" w:ascii="宋体" w:hAnsi="宋体"/>
                <w:sz w:val="28"/>
                <w:szCs w:val="28"/>
              </w:rPr>
              <w:t>白宝乡、两河</w:t>
            </w:r>
            <w:r>
              <w:rPr>
                <w:rFonts w:hint="eastAsia" w:ascii="宋体" w:hAnsi="宋体"/>
                <w:sz w:val="28"/>
                <w:szCs w:val="28"/>
                <w:lang w:eastAsia="zh-CN"/>
              </w:rPr>
              <w:t>镇</w:t>
            </w:r>
            <w:r>
              <w:rPr>
                <w:rFonts w:hint="eastAsia" w:ascii="宋体" w:hAnsi="宋体"/>
                <w:sz w:val="28"/>
                <w:szCs w:val="28"/>
              </w:rPr>
              <w:t>、东山瑶族乡、</w:t>
            </w:r>
          </w:p>
          <w:p>
            <w:pPr>
              <w:tabs>
                <w:tab w:val="left" w:pos="735"/>
              </w:tabs>
              <w:spacing w:line="460" w:lineRule="exact"/>
              <w:ind w:right="-506" w:rightChars="-241"/>
              <w:rPr>
                <w:rFonts w:ascii="宋体"/>
                <w:sz w:val="28"/>
                <w:szCs w:val="28"/>
              </w:rPr>
            </w:pPr>
            <w:r>
              <w:rPr>
                <w:rFonts w:hint="eastAsia" w:ascii="宋体" w:hAnsi="宋体"/>
                <w:sz w:val="28"/>
                <w:szCs w:val="28"/>
              </w:rPr>
              <w:t>枧塘</w:t>
            </w:r>
            <w:r>
              <w:rPr>
                <w:rFonts w:hint="eastAsia" w:ascii="宋体" w:hAnsi="宋体"/>
                <w:sz w:val="28"/>
                <w:szCs w:val="28"/>
                <w:lang w:eastAsia="zh-CN"/>
              </w:rPr>
              <w:t>镇</w:t>
            </w:r>
            <w:r>
              <w:rPr>
                <w:rFonts w:hint="eastAsia" w:ascii="宋体" w:hAnsi="宋体"/>
                <w:sz w:val="28"/>
                <w:szCs w:val="28"/>
              </w:rPr>
              <w:t>、才湾镇、全州镇、石塘镇、</w:t>
            </w:r>
          </w:p>
          <w:p>
            <w:pPr>
              <w:tabs>
                <w:tab w:val="left" w:pos="735"/>
              </w:tabs>
              <w:spacing w:line="460" w:lineRule="exact"/>
              <w:ind w:right="-506" w:rightChars="-241"/>
              <w:rPr>
                <w:rFonts w:ascii="宋体" w:cs="宋体"/>
                <w:sz w:val="28"/>
                <w:szCs w:val="28"/>
              </w:rPr>
            </w:pPr>
            <w:r>
              <w:rPr>
                <w:rFonts w:hint="eastAsia" w:ascii="宋体" w:hAnsi="宋体"/>
                <w:sz w:val="28"/>
                <w:szCs w:val="28"/>
              </w:rPr>
              <w:t>安和</w:t>
            </w:r>
            <w:r>
              <w:rPr>
                <w:rFonts w:hint="eastAsia" w:ascii="宋体" w:hAnsi="宋体"/>
                <w:sz w:val="28"/>
                <w:szCs w:val="28"/>
                <w:lang w:eastAsia="zh-CN"/>
              </w:rPr>
              <w:t>镇</w:t>
            </w:r>
            <w:r>
              <w:rPr>
                <w:rFonts w:hint="eastAsia" w:ascii="宋体" w:hAnsi="宋体"/>
                <w:sz w:val="28"/>
                <w:szCs w:val="28"/>
              </w:rPr>
              <w:t>、大西江</w:t>
            </w:r>
            <w:r>
              <w:rPr>
                <w:rFonts w:hint="eastAsia" w:ascii="宋体" w:hAnsi="宋体"/>
                <w:sz w:val="28"/>
                <w:szCs w:val="28"/>
                <w:lang w:eastAsia="zh-CN"/>
              </w:rPr>
              <w:t>镇</w:t>
            </w:r>
            <w:r>
              <w:rPr>
                <w:rFonts w:hint="eastAsia" w:ascii="宋体" w:hAnsi="宋体"/>
                <w:sz w:val="28"/>
                <w:szCs w:val="28"/>
              </w:rPr>
              <w:t>、绍水镇</w:t>
            </w:r>
          </w:p>
        </w:tc>
        <w:tc>
          <w:tcPr>
            <w:tcW w:w="1479" w:type="dxa"/>
            <w:vAlign w:val="center"/>
          </w:tcPr>
          <w:p>
            <w:pPr>
              <w:jc w:val="center"/>
              <w:rPr>
                <w:rFonts w:ascii="宋体" w:cs="宋体"/>
                <w:sz w:val="28"/>
                <w:szCs w:val="28"/>
              </w:rPr>
            </w:pPr>
            <w:r>
              <w:rPr>
                <w:rFonts w:hint="eastAsia" w:ascii="宋体" w:hAnsi="宋体" w:cs="宋体"/>
                <w:sz w:val="28"/>
                <w:szCs w:val="28"/>
              </w:rPr>
              <w:t>湘桂通道产业带</w:t>
            </w:r>
          </w:p>
        </w:tc>
        <w:tc>
          <w:tcPr>
            <w:tcW w:w="1896" w:type="dxa"/>
            <w:vAlign w:val="center"/>
          </w:tcPr>
          <w:p>
            <w:pPr>
              <w:jc w:val="center"/>
              <w:rPr>
                <w:rFonts w:ascii="宋体" w:hAnsi="宋体" w:cs="宋体"/>
                <w:sz w:val="28"/>
                <w:szCs w:val="28"/>
              </w:rPr>
            </w:pPr>
            <w:r>
              <w:rPr>
                <w:rFonts w:ascii="宋体" w:hAnsi="宋体" w:cs="宋体"/>
                <w:sz w:val="28"/>
                <w:szCs w:val="28"/>
              </w:rPr>
              <w:t>10</w:t>
            </w:r>
          </w:p>
        </w:tc>
      </w:tr>
    </w:tbl>
    <w:p>
      <w:pPr>
        <w:adjustRightInd w:val="0"/>
        <w:snapToGrid w:val="0"/>
        <w:spacing w:line="288" w:lineRule="auto"/>
        <w:jc w:val="center"/>
        <w:rPr>
          <w:b/>
          <w:sz w:val="32"/>
          <w:szCs w:val="32"/>
        </w:rPr>
      </w:pPr>
    </w:p>
    <w:p>
      <w:pPr>
        <w:adjustRightInd w:val="0"/>
        <w:snapToGrid w:val="0"/>
        <w:spacing w:line="288" w:lineRule="auto"/>
        <w:jc w:val="center"/>
        <w:rPr>
          <w:b/>
          <w:sz w:val="32"/>
          <w:szCs w:val="32"/>
        </w:rPr>
      </w:pPr>
    </w:p>
    <w:p>
      <w:pPr>
        <w:adjustRightInd w:val="0"/>
        <w:snapToGrid w:val="0"/>
        <w:spacing w:line="288" w:lineRule="auto"/>
        <w:jc w:val="center"/>
        <w:rPr>
          <w:b/>
          <w:sz w:val="32"/>
          <w:szCs w:val="32"/>
        </w:rPr>
      </w:pPr>
    </w:p>
    <w:p>
      <w:pPr>
        <w:adjustRightInd w:val="0"/>
        <w:snapToGrid w:val="0"/>
        <w:spacing w:line="288" w:lineRule="auto"/>
        <w:jc w:val="center"/>
        <w:rPr>
          <w:b/>
          <w:sz w:val="32"/>
          <w:szCs w:val="32"/>
        </w:rPr>
      </w:pPr>
    </w:p>
    <w:p>
      <w:pPr>
        <w:adjustRightInd w:val="0"/>
        <w:snapToGrid w:val="0"/>
        <w:spacing w:line="288" w:lineRule="auto"/>
        <w:jc w:val="center"/>
        <w:rPr>
          <w:b/>
          <w:sz w:val="32"/>
          <w:szCs w:val="32"/>
        </w:rPr>
      </w:pPr>
    </w:p>
    <w:p>
      <w:pPr>
        <w:adjustRightInd w:val="0"/>
        <w:snapToGrid w:val="0"/>
        <w:spacing w:line="288" w:lineRule="auto"/>
        <w:jc w:val="center"/>
        <w:rPr>
          <w:b/>
          <w:sz w:val="32"/>
          <w:szCs w:val="32"/>
        </w:rPr>
      </w:pPr>
    </w:p>
    <w:p>
      <w:pPr>
        <w:adjustRightInd w:val="0"/>
        <w:snapToGrid w:val="0"/>
        <w:spacing w:line="288" w:lineRule="auto"/>
        <w:jc w:val="center"/>
        <w:rPr>
          <w:b/>
          <w:sz w:val="32"/>
          <w:szCs w:val="32"/>
        </w:rPr>
      </w:pPr>
    </w:p>
    <w:p>
      <w:pPr>
        <w:adjustRightInd w:val="0"/>
        <w:snapToGrid w:val="0"/>
        <w:spacing w:line="288" w:lineRule="auto"/>
        <w:jc w:val="center"/>
        <w:rPr>
          <w:b/>
          <w:sz w:val="32"/>
          <w:szCs w:val="32"/>
        </w:rPr>
      </w:pPr>
    </w:p>
    <w:p>
      <w:pPr>
        <w:adjustRightInd w:val="0"/>
        <w:snapToGrid w:val="0"/>
        <w:spacing w:line="288" w:lineRule="auto"/>
        <w:rPr>
          <w:b/>
          <w:sz w:val="32"/>
          <w:szCs w:val="32"/>
        </w:rPr>
        <w:sectPr>
          <w:footerReference r:id="rId3" w:type="default"/>
          <w:pgSz w:w="11906" w:h="16838"/>
          <w:pgMar w:top="1440" w:right="1701" w:bottom="1247" w:left="1701" w:header="851" w:footer="992" w:gutter="0"/>
          <w:cols w:space="425" w:num="1"/>
          <w:docGrid w:type="lines" w:linePitch="312" w:charSpace="0"/>
        </w:sectPr>
      </w:pPr>
    </w:p>
    <w:p>
      <w:pPr>
        <w:adjustRightInd w:val="0"/>
        <w:snapToGrid w:val="0"/>
        <w:spacing w:line="288" w:lineRule="auto"/>
        <w:rPr>
          <w:b/>
          <w:sz w:val="28"/>
          <w:szCs w:val="28"/>
        </w:rPr>
      </w:pPr>
      <w:r>
        <w:rPr>
          <w:rFonts w:hint="eastAsia"/>
          <w:b/>
          <w:sz w:val="28"/>
          <w:szCs w:val="28"/>
        </w:rPr>
        <w:t>附表</w:t>
      </w:r>
      <w:r>
        <w:rPr>
          <w:b/>
          <w:sz w:val="28"/>
          <w:szCs w:val="28"/>
        </w:rPr>
        <w:t>3</w:t>
      </w:r>
      <w:r>
        <w:rPr>
          <w:rFonts w:hint="eastAsia"/>
          <w:b/>
          <w:sz w:val="28"/>
          <w:szCs w:val="28"/>
        </w:rPr>
        <w:t>：全州县重点企业土壤污染治理监测点名单</w:t>
      </w:r>
    </w:p>
    <w:tbl>
      <w:tblPr>
        <w:tblStyle w:val="4"/>
        <w:tblW w:w="14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2981"/>
        <w:gridCol w:w="1438"/>
        <w:gridCol w:w="1150"/>
        <w:gridCol w:w="2011"/>
        <w:gridCol w:w="718"/>
        <w:gridCol w:w="71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3021" w:type="dxa"/>
            <w:vAlign w:val="center"/>
          </w:tcPr>
          <w:p>
            <w:pPr>
              <w:jc w:val="center"/>
              <w:rPr>
                <w:b/>
                <w:szCs w:val="21"/>
              </w:rPr>
            </w:pPr>
            <w:r>
              <w:rPr>
                <w:rFonts w:hint="eastAsia"/>
                <w:b/>
                <w:szCs w:val="21"/>
              </w:rPr>
              <w:t>企业名</w:t>
            </w:r>
          </w:p>
        </w:tc>
        <w:tc>
          <w:tcPr>
            <w:tcW w:w="2981" w:type="dxa"/>
            <w:vAlign w:val="center"/>
          </w:tcPr>
          <w:p>
            <w:pPr>
              <w:jc w:val="center"/>
              <w:rPr>
                <w:b/>
                <w:szCs w:val="21"/>
              </w:rPr>
            </w:pPr>
            <w:r>
              <w:rPr>
                <w:rFonts w:hint="eastAsia"/>
                <w:b/>
                <w:szCs w:val="21"/>
              </w:rPr>
              <w:t>行业大类</w:t>
            </w:r>
          </w:p>
        </w:tc>
        <w:tc>
          <w:tcPr>
            <w:tcW w:w="1438" w:type="dxa"/>
            <w:vAlign w:val="center"/>
          </w:tcPr>
          <w:p>
            <w:pPr>
              <w:jc w:val="center"/>
              <w:rPr>
                <w:b/>
                <w:szCs w:val="21"/>
              </w:rPr>
            </w:pPr>
            <w:r>
              <w:rPr>
                <w:rFonts w:hint="eastAsia"/>
                <w:b/>
                <w:szCs w:val="21"/>
              </w:rPr>
              <w:t>行业类别</w:t>
            </w:r>
          </w:p>
        </w:tc>
        <w:tc>
          <w:tcPr>
            <w:tcW w:w="1150" w:type="dxa"/>
            <w:vAlign w:val="center"/>
          </w:tcPr>
          <w:p>
            <w:pPr>
              <w:jc w:val="center"/>
              <w:rPr>
                <w:b/>
                <w:szCs w:val="21"/>
              </w:rPr>
            </w:pPr>
            <w:r>
              <w:rPr>
                <w:rFonts w:hint="eastAsia"/>
                <w:b/>
                <w:szCs w:val="21"/>
              </w:rPr>
              <w:t>乡</w:t>
            </w:r>
          </w:p>
        </w:tc>
        <w:tc>
          <w:tcPr>
            <w:tcW w:w="2011" w:type="dxa"/>
            <w:vAlign w:val="center"/>
          </w:tcPr>
          <w:p>
            <w:pPr>
              <w:jc w:val="center"/>
              <w:rPr>
                <w:b/>
                <w:szCs w:val="21"/>
              </w:rPr>
            </w:pPr>
            <w:r>
              <w:rPr>
                <w:rFonts w:hint="eastAsia"/>
                <w:b/>
                <w:szCs w:val="21"/>
              </w:rPr>
              <w:t>村</w:t>
            </w:r>
          </w:p>
        </w:tc>
        <w:tc>
          <w:tcPr>
            <w:tcW w:w="718" w:type="dxa"/>
            <w:vAlign w:val="center"/>
          </w:tcPr>
          <w:p>
            <w:pPr>
              <w:jc w:val="center"/>
              <w:rPr>
                <w:b/>
                <w:szCs w:val="21"/>
              </w:rPr>
            </w:pPr>
            <w:r>
              <w:rPr>
                <w:rFonts w:hint="eastAsia"/>
                <w:b/>
                <w:szCs w:val="21"/>
              </w:rPr>
              <w:t>来源</w:t>
            </w:r>
          </w:p>
        </w:tc>
        <w:tc>
          <w:tcPr>
            <w:tcW w:w="718" w:type="dxa"/>
            <w:vAlign w:val="center"/>
          </w:tcPr>
          <w:p>
            <w:pPr>
              <w:jc w:val="center"/>
              <w:rPr>
                <w:b/>
                <w:szCs w:val="21"/>
              </w:rPr>
            </w:pPr>
            <w:r>
              <w:rPr>
                <w:rFonts w:hint="eastAsia"/>
                <w:b/>
                <w:szCs w:val="21"/>
              </w:rPr>
              <w:t>影响半径</w:t>
            </w:r>
          </w:p>
        </w:tc>
        <w:tc>
          <w:tcPr>
            <w:tcW w:w="2330" w:type="dxa"/>
            <w:tcBorders>
              <w:right w:val="single" w:color="auto" w:sz="8" w:space="0"/>
            </w:tcBorders>
            <w:vAlign w:val="center"/>
          </w:tcPr>
          <w:p>
            <w:pPr>
              <w:jc w:val="center"/>
              <w:rPr>
                <w:b/>
                <w:szCs w:val="21"/>
              </w:rPr>
            </w:pPr>
            <w:r>
              <w:rPr>
                <w:rFonts w:hint="eastAsia"/>
                <w:b/>
                <w:szCs w:val="21"/>
              </w:rPr>
              <w:t>布点情况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广西全州县大新铁合金厂</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大新村委会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2300 </w:t>
            </w:r>
          </w:p>
        </w:tc>
        <w:tc>
          <w:tcPr>
            <w:tcW w:w="2330" w:type="dxa"/>
            <w:tcBorders>
              <w:right w:val="single" w:color="auto" w:sz="8" w:space="0"/>
            </w:tcBorders>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全州亨达冶炼有限责任公司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文桥镇</w:t>
            </w:r>
          </w:p>
        </w:tc>
        <w:tc>
          <w:tcPr>
            <w:tcW w:w="2011" w:type="dxa"/>
            <w:vAlign w:val="center"/>
          </w:tcPr>
          <w:p>
            <w:pPr>
              <w:rPr>
                <w:rFonts w:eastAsia="等线"/>
                <w:sz w:val="22"/>
                <w:szCs w:val="22"/>
              </w:rPr>
            </w:pPr>
            <w:r>
              <w:rPr>
                <w:rFonts w:hint="eastAsia" w:eastAsia="等线"/>
                <w:sz w:val="22"/>
                <w:szCs w:val="22"/>
              </w:rPr>
              <w:t>文桥村委会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2300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全州县灿金铁合金有限公司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龙水镇</w:t>
            </w:r>
          </w:p>
        </w:tc>
        <w:tc>
          <w:tcPr>
            <w:tcW w:w="2011" w:type="dxa"/>
            <w:vAlign w:val="center"/>
          </w:tcPr>
          <w:p>
            <w:pPr>
              <w:rPr>
                <w:rFonts w:eastAsia="等线"/>
                <w:sz w:val="22"/>
                <w:szCs w:val="22"/>
              </w:rPr>
            </w:pPr>
            <w:r>
              <w:rPr>
                <w:rFonts w:hint="eastAsia" w:eastAsia="等线"/>
                <w:sz w:val="22"/>
                <w:szCs w:val="22"/>
              </w:rPr>
              <w:t>坦口村委会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全州县东达铁合金有限责任公司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柘桥村委会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全州县峰鑫铁合金有限公司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龙水镇</w:t>
            </w:r>
          </w:p>
        </w:tc>
        <w:tc>
          <w:tcPr>
            <w:tcW w:w="2011" w:type="dxa"/>
            <w:vAlign w:val="center"/>
          </w:tcPr>
          <w:p>
            <w:pPr>
              <w:rPr>
                <w:rFonts w:eastAsia="等线"/>
                <w:sz w:val="22"/>
                <w:szCs w:val="22"/>
              </w:rPr>
            </w:pPr>
            <w:r>
              <w:rPr>
                <w:rFonts w:hint="eastAsia" w:eastAsia="等线"/>
                <w:sz w:val="22"/>
                <w:szCs w:val="22"/>
              </w:rPr>
              <w:t>亭子江村委会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全州县龙达铁合金厂</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枧塘乡</w:t>
            </w:r>
          </w:p>
        </w:tc>
        <w:tc>
          <w:tcPr>
            <w:tcW w:w="2011" w:type="dxa"/>
            <w:vAlign w:val="center"/>
          </w:tcPr>
          <w:p>
            <w:pPr>
              <w:rPr>
                <w:rFonts w:eastAsia="等线"/>
                <w:sz w:val="22"/>
                <w:szCs w:val="22"/>
              </w:rPr>
            </w:pPr>
            <w:r>
              <w:rPr>
                <w:rFonts w:hint="eastAsia" w:eastAsia="等线"/>
                <w:sz w:val="22"/>
                <w:szCs w:val="22"/>
              </w:rPr>
              <w:t>珠塘村委会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全州县龙华铁合金有限公司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前进村委会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全州县龙源铁合金有限责任公司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七一村委会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全州县世昌铁合金有限公司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绍水镇</w:t>
            </w:r>
          </w:p>
        </w:tc>
        <w:tc>
          <w:tcPr>
            <w:tcW w:w="2011" w:type="dxa"/>
            <w:vAlign w:val="center"/>
          </w:tcPr>
          <w:p>
            <w:pPr>
              <w:rPr>
                <w:rFonts w:eastAsia="等线"/>
                <w:sz w:val="22"/>
                <w:szCs w:val="22"/>
              </w:rPr>
            </w:pPr>
            <w:r>
              <w:rPr>
                <w:rFonts w:hint="eastAsia" w:eastAsia="等线"/>
                <w:sz w:val="22"/>
                <w:szCs w:val="22"/>
              </w:rPr>
              <w:t>市场社区居委会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2000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全州县天马合金有限公司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柘桥村委会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全州县鑫鑫铁合金有限责任公司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才湾镇</w:t>
            </w:r>
          </w:p>
        </w:tc>
        <w:tc>
          <w:tcPr>
            <w:tcW w:w="2011" w:type="dxa"/>
            <w:vAlign w:val="center"/>
          </w:tcPr>
          <w:p>
            <w:pPr>
              <w:rPr>
                <w:rFonts w:eastAsia="等线"/>
                <w:sz w:val="22"/>
                <w:szCs w:val="22"/>
              </w:rPr>
            </w:pPr>
            <w:r>
              <w:rPr>
                <w:rFonts w:hint="eastAsia" w:eastAsia="等线"/>
                <w:sz w:val="22"/>
                <w:szCs w:val="22"/>
              </w:rPr>
              <w:t>才湾村委会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全州县永鑫铁合金有限公司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柘桥村委会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全州县勇祥铁合金有限责任公司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柘桥村委会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全州县丰源铁合金有限责任公司</w:t>
            </w:r>
          </w:p>
        </w:tc>
        <w:tc>
          <w:tcPr>
            <w:tcW w:w="2981" w:type="dxa"/>
            <w:vAlign w:val="center"/>
          </w:tcPr>
          <w:p>
            <w:pPr>
              <w:rPr>
                <w:rFonts w:eastAsia="等线"/>
                <w:sz w:val="22"/>
                <w:szCs w:val="22"/>
              </w:rPr>
            </w:pPr>
            <w:r>
              <w:rPr>
                <w:rFonts w:hint="eastAsia" w:eastAsia="等线"/>
                <w:sz w:val="22"/>
                <w:szCs w:val="22"/>
              </w:rPr>
              <w:t>黑色金属冶炼和压延加工业</w:t>
            </w:r>
          </w:p>
        </w:tc>
        <w:tc>
          <w:tcPr>
            <w:tcW w:w="1438" w:type="dxa"/>
            <w:vAlign w:val="center"/>
          </w:tcPr>
          <w:p>
            <w:pPr>
              <w:rPr>
                <w:rFonts w:eastAsia="等线"/>
                <w:sz w:val="22"/>
                <w:szCs w:val="22"/>
              </w:rPr>
            </w:pPr>
            <w:r>
              <w:rPr>
                <w:rFonts w:hint="eastAsia" w:eastAsia="等线"/>
                <w:sz w:val="22"/>
                <w:szCs w:val="22"/>
              </w:rPr>
              <w:t>铁合金冶炼</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柘桥村委会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1800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全州县济旺有色金属冶炼厂</w:t>
            </w:r>
          </w:p>
        </w:tc>
        <w:tc>
          <w:tcPr>
            <w:tcW w:w="2981" w:type="dxa"/>
            <w:vAlign w:val="center"/>
          </w:tcPr>
          <w:p>
            <w:pPr>
              <w:rPr>
                <w:rFonts w:eastAsia="等线"/>
                <w:sz w:val="22"/>
                <w:szCs w:val="22"/>
              </w:rPr>
            </w:pPr>
            <w:r>
              <w:rPr>
                <w:rFonts w:hint="eastAsia" w:eastAsia="等线"/>
                <w:sz w:val="22"/>
                <w:szCs w:val="22"/>
              </w:rPr>
              <w:t>有色金属冶炼和压延加工业</w:t>
            </w:r>
          </w:p>
        </w:tc>
        <w:tc>
          <w:tcPr>
            <w:tcW w:w="1438" w:type="dxa"/>
            <w:vAlign w:val="center"/>
          </w:tcPr>
          <w:p>
            <w:pPr>
              <w:rPr>
                <w:rFonts w:eastAsia="等线"/>
                <w:sz w:val="22"/>
                <w:szCs w:val="22"/>
              </w:rPr>
            </w:pPr>
            <w:r>
              <w:rPr>
                <w:rFonts w:hint="eastAsia" w:eastAsia="等线"/>
                <w:sz w:val="22"/>
                <w:szCs w:val="22"/>
              </w:rPr>
              <w:t>锑冶炼</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全州镇</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3000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全州县环境卫生管理所</w:t>
            </w:r>
          </w:p>
        </w:tc>
        <w:tc>
          <w:tcPr>
            <w:tcW w:w="2981" w:type="dxa"/>
            <w:vAlign w:val="center"/>
          </w:tcPr>
          <w:p>
            <w:pPr>
              <w:rPr>
                <w:rFonts w:eastAsia="等线"/>
                <w:sz w:val="22"/>
                <w:szCs w:val="22"/>
              </w:rPr>
            </w:pPr>
            <w:r>
              <w:rPr>
                <w:rFonts w:hint="eastAsia" w:eastAsia="等线"/>
                <w:sz w:val="22"/>
                <w:szCs w:val="22"/>
              </w:rPr>
              <w:t>公共设施管理业</w:t>
            </w:r>
          </w:p>
        </w:tc>
        <w:tc>
          <w:tcPr>
            <w:tcW w:w="1438" w:type="dxa"/>
            <w:vAlign w:val="center"/>
          </w:tcPr>
          <w:p>
            <w:pPr>
              <w:rPr>
                <w:rFonts w:eastAsia="等线"/>
                <w:sz w:val="22"/>
                <w:szCs w:val="22"/>
              </w:rPr>
            </w:pPr>
            <w:r>
              <w:rPr>
                <w:rFonts w:hint="eastAsia" w:eastAsia="等线"/>
                <w:sz w:val="22"/>
                <w:szCs w:val="22"/>
              </w:rPr>
              <w:t>垃圾</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柘桥村委会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vAlign w:val="center"/>
          </w:tcPr>
          <w:p>
            <w:pPr>
              <w:rPr>
                <w:rFonts w:eastAsia="等线"/>
                <w:sz w:val="22"/>
                <w:szCs w:val="22"/>
              </w:rPr>
            </w:pPr>
            <w:r>
              <w:rPr>
                <w:rFonts w:hint="eastAsia" w:eastAsia="等线"/>
                <w:sz w:val="22"/>
                <w:szCs w:val="22"/>
              </w:rPr>
              <w:t>未布，但影响范围与超标区、重叠区网格相交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全州县两河白水锰矿</w:t>
            </w:r>
          </w:p>
        </w:tc>
        <w:tc>
          <w:tcPr>
            <w:tcW w:w="2981" w:type="dxa"/>
            <w:vAlign w:val="center"/>
          </w:tcPr>
          <w:p>
            <w:pPr>
              <w:rPr>
                <w:rFonts w:eastAsia="等线"/>
                <w:sz w:val="22"/>
                <w:szCs w:val="22"/>
              </w:rPr>
            </w:pPr>
            <w:r>
              <w:rPr>
                <w:rFonts w:hint="eastAsia" w:eastAsia="等线"/>
                <w:sz w:val="22"/>
                <w:szCs w:val="22"/>
              </w:rPr>
              <w:t>黑色金属矿采选业</w:t>
            </w:r>
          </w:p>
        </w:tc>
        <w:tc>
          <w:tcPr>
            <w:tcW w:w="1438" w:type="dxa"/>
            <w:vAlign w:val="center"/>
          </w:tcPr>
          <w:p>
            <w:pPr>
              <w:rPr>
                <w:rFonts w:eastAsia="等线"/>
                <w:sz w:val="22"/>
                <w:szCs w:val="22"/>
              </w:rPr>
            </w:pPr>
            <w:r>
              <w:rPr>
                <w:rFonts w:hint="eastAsia" w:eastAsia="等线"/>
                <w:sz w:val="22"/>
                <w:szCs w:val="22"/>
              </w:rPr>
              <w:t>其他黑色金属矿采选</w:t>
            </w:r>
          </w:p>
        </w:tc>
        <w:tc>
          <w:tcPr>
            <w:tcW w:w="1150" w:type="dxa"/>
            <w:vAlign w:val="center"/>
          </w:tcPr>
          <w:p>
            <w:pPr>
              <w:rPr>
                <w:rFonts w:eastAsia="等线"/>
                <w:sz w:val="22"/>
                <w:szCs w:val="22"/>
              </w:rPr>
            </w:pPr>
            <w:r>
              <w:rPr>
                <w:rFonts w:hint="eastAsia" w:eastAsia="等线"/>
                <w:sz w:val="22"/>
                <w:szCs w:val="22"/>
              </w:rPr>
              <w:t>两河乡</w:t>
            </w:r>
          </w:p>
        </w:tc>
        <w:tc>
          <w:tcPr>
            <w:tcW w:w="2011" w:type="dxa"/>
            <w:vAlign w:val="center"/>
          </w:tcPr>
          <w:p>
            <w:pPr>
              <w:rPr>
                <w:rFonts w:eastAsia="等线"/>
                <w:sz w:val="22"/>
                <w:szCs w:val="22"/>
              </w:rPr>
            </w:pPr>
            <w:r>
              <w:rPr>
                <w:rFonts w:hint="eastAsia" w:eastAsia="等线"/>
                <w:sz w:val="22"/>
                <w:szCs w:val="22"/>
              </w:rPr>
              <w:t>白水村委会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vAlign w:val="center"/>
          </w:tcPr>
          <w:p>
            <w:pPr>
              <w:rPr>
                <w:rFonts w:eastAsia="等线"/>
                <w:sz w:val="22"/>
                <w:szCs w:val="22"/>
              </w:rPr>
            </w:pPr>
            <w:r>
              <w:rPr>
                <w:rFonts w:hint="eastAsia" w:eastAsia="等线"/>
                <w:sz w:val="22"/>
                <w:szCs w:val="22"/>
              </w:rPr>
              <w:t>未布，但影响范围与超标区、重叠区网格相交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广西全州县振达选矿厂</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柘桥村委会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vAlign w:val="center"/>
          </w:tcPr>
          <w:p>
            <w:pP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全州县安和乡大古拉铅锌矿尹维智矿山</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安和乡</w:t>
            </w:r>
          </w:p>
        </w:tc>
        <w:tc>
          <w:tcPr>
            <w:tcW w:w="2011" w:type="dxa"/>
            <w:vAlign w:val="center"/>
          </w:tcPr>
          <w:p>
            <w:pPr>
              <w:rPr>
                <w:rFonts w:eastAsia="等线"/>
                <w:sz w:val="22"/>
                <w:szCs w:val="22"/>
              </w:rPr>
            </w:pPr>
            <w:r>
              <w:rPr>
                <w:rFonts w:hint="eastAsia" w:eastAsia="等线"/>
                <w:sz w:val="22"/>
                <w:szCs w:val="22"/>
              </w:rPr>
              <w:t>平岗头村委会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vAlign w:val="center"/>
          </w:tcPr>
          <w:p>
            <w:pPr>
              <w:rPr>
                <w:rFonts w:eastAsia="等线"/>
                <w:sz w:val="22"/>
                <w:szCs w:val="22"/>
              </w:rPr>
            </w:pPr>
            <w:r>
              <w:rPr>
                <w:rFonts w:hint="eastAsia" w:eastAsia="等线"/>
                <w:sz w:val="22"/>
                <w:szCs w:val="22"/>
              </w:rPr>
              <w:t>影响区范围内无农用地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全州县安和乡大古拉尹建飞铅锌矿</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安和乡</w:t>
            </w:r>
          </w:p>
        </w:tc>
        <w:tc>
          <w:tcPr>
            <w:tcW w:w="2011" w:type="dxa"/>
            <w:vAlign w:val="center"/>
          </w:tcPr>
          <w:p>
            <w:pPr>
              <w:rPr>
                <w:rFonts w:eastAsia="等线"/>
                <w:sz w:val="22"/>
                <w:szCs w:val="22"/>
              </w:rPr>
            </w:pPr>
            <w:r>
              <w:rPr>
                <w:rFonts w:hint="eastAsia" w:eastAsia="等线"/>
                <w:sz w:val="22"/>
                <w:szCs w:val="22"/>
              </w:rPr>
              <w:t>平岗头村委会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vAlign w:val="center"/>
          </w:tcPr>
          <w:p>
            <w:pPr>
              <w:rPr>
                <w:rFonts w:eastAsia="等线"/>
                <w:sz w:val="22"/>
                <w:szCs w:val="22"/>
              </w:rPr>
            </w:pPr>
            <w:r>
              <w:rPr>
                <w:rFonts w:hint="eastAsia" w:eastAsia="等线"/>
                <w:sz w:val="22"/>
                <w:szCs w:val="22"/>
              </w:rPr>
              <w:t>影响区范围内无农用地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全州县安和乡文塘铅锌矿</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安和乡</w:t>
            </w:r>
          </w:p>
        </w:tc>
        <w:tc>
          <w:tcPr>
            <w:tcW w:w="2011" w:type="dxa"/>
            <w:vAlign w:val="center"/>
          </w:tcPr>
          <w:p>
            <w:pPr>
              <w:rPr>
                <w:rFonts w:eastAsia="等线"/>
                <w:sz w:val="22"/>
                <w:szCs w:val="22"/>
              </w:rPr>
            </w:pPr>
            <w:r>
              <w:rPr>
                <w:rFonts w:hint="eastAsia" w:eastAsia="等线"/>
                <w:sz w:val="22"/>
                <w:szCs w:val="22"/>
              </w:rPr>
              <w:t>文塘村委会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vAlign w:val="center"/>
          </w:tcPr>
          <w:p>
            <w:pPr>
              <w:rPr>
                <w:rFonts w:eastAsia="等线"/>
                <w:sz w:val="22"/>
                <w:szCs w:val="22"/>
              </w:rPr>
            </w:pPr>
            <w:r>
              <w:rPr>
                <w:rFonts w:hint="eastAsia" w:eastAsia="等线"/>
                <w:sz w:val="22"/>
                <w:szCs w:val="22"/>
              </w:rPr>
              <w:t>影响区范围内无农用地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全州县城乡福利选矿厂</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七一村委会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vAlign w:val="center"/>
          </w:tcPr>
          <w:p>
            <w:pPr>
              <w:rPr>
                <w:rFonts w:eastAsia="等线"/>
                <w:sz w:val="22"/>
                <w:szCs w:val="22"/>
              </w:rPr>
            </w:pPr>
            <w:r>
              <w:rPr>
                <w:rFonts w:hint="eastAsia" w:eastAsia="等线"/>
                <w:sz w:val="22"/>
                <w:szCs w:val="22"/>
              </w:rPr>
              <w:t>未布，但影响范围与超标区、重叠区网格相交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全州县黄沙河日新铅锌选矿厂</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黄沙河镇</w:t>
            </w:r>
          </w:p>
        </w:tc>
        <w:tc>
          <w:tcPr>
            <w:tcW w:w="2011" w:type="dxa"/>
            <w:vAlign w:val="center"/>
          </w:tcPr>
          <w:p>
            <w:pPr>
              <w:rPr>
                <w:rFonts w:eastAsia="等线"/>
                <w:sz w:val="22"/>
                <w:szCs w:val="22"/>
              </w:rPr>
            </w:pPr>
            <w:r>
              <w:rPr>
                <w:rFonts w:hint="eastAsia" w:eastAsia="等线"/>
                <w:sz w:val="22"/>
                <w:szCs w:val="22"/>
              </w:rPr>
              <w:t>黄岗村委会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tcBorders>
              <w:right w:val="single" w:color="auto" w:sz="8" w:space="0"/>
            </w:tcBorders>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全州县汇通矿业开发有限公司</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东山瑶族乡</w:t>
            </w:r>
          </w:p>
        </w:tc>
        <w:tc>
          <w:tcPr>
            <w:tcW w:w="2011" w:type="dxa"/>
            <w:vAlign w:val="center"/>
          </w:tcPr>
          <w:p>
            <w:pPr>
              <w:rPr>
                <w:rFonts w:eastAsia="等线"/>
                <w:sz w:val="22"/>
                <w:szCs w:val="22"/>
              </w:rPr>
            </w:pPr>
            <w:r>
              <w:rPr>
                <w:rFonts w:hint="eastAsia" w:eastAsia="等线"/>
                <w:sz w:val="22"/>
                <w:szCs w:val="22"/>
              </w:rPr>
              <w:t>上塘村委会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tcBorders>
              <w:right w:val="single" w:color="auto" w:sz="8" w:space="0"/>
            </w:tcBorders>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全州县嘉靖选矿厂</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北门街社区居委会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tcBorders>
              <w:right w:val="single" w:color="auto" w:sz="8" w:space="0"/>
            </w:tcBorders>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全州县蕉江选矿厂</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蕉江瑶族乡</w:t>
            </w:r>
          </w:p>
        </w:tc>
        <w:tc>
          <w:tcPr>
            <w:tcW w:w="2011" w:type="dxa"/>
            <w:vAlign w:val="center"/>
          </w:tcPr>
          <w:p>
            <w:pPr>
              <w:rPr>
                <w:rFonts w:eastAsia="等线"/>
                <w:sz w:val="22"/>
                <w:szCs w:val="22"/>
              </w:rPr>
            </w:pPr>
            <w:r>
              <w:rPr>
                <w:rFonts w:hint="eastAsia" w:eastAsia="等线"/>
                <w:sz w:val="22"/>
                <w:szCs w:val="22"/>
              </w:rPr>
              <w:t>万板桥村委会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全州县蕉江瑶族乡经济开发公司</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蕉江瑶族乡</w:t>
            </w:r>
          </w:p>
        </w:tc>
        <w:tc>
          <w:tcPr>
            <w:tcW w:w="2011" w:type="dxa"/>
            <w:vAlign w:val="center"/>
          </w:tcPr>
          <w:p>
            <w:pPr>
              <w:rPr>
                <w:rFonts w:eastAsia="等线"/>
                <w:sz w:val="22"/>
                <w:szCs w:val="22"/>
              </w:rPr>
            </w:pPr>
            <w:r>
              <w:rPr>
                <w:rFonts w:hint="eastAsia" w:eastAsia="等线"/>
                <w:sz w:val="22"/>
                <w:szCs w:val="22"/>
              </w:rPr>
              <w:t>万板桥村委会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全州县全兴选矿厂</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铅锌矿采选</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青龙村委会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500 </w:t>
            </w:r>
          </w:p>
        </w:tc>
        <w:tc>
          <w:tcPr>
            <w:tcW w:w="2330" w:type="dxa"/>
            <w:tcBorders>
              <w:right w:val="single" w:color="auto" w:sz="8" w:space="0"/>
            </w:tcBorders>
            <w:vAlign w:val="center"/>
          </w:tcPr>
          <w:p>
            <w:pPr>
              <w:rPr>
                <w:rFonts w:eastAsia="等线"/>
                <w:sz w:val="22"/>
                <w:szCs w:val="22"/>
              </w:rPr>
            </w:pPr>
            <w:r>
              <w:rPr>
                <w:rFonts w:hint="eastAsia" w:eastAsia="等线"/>
                <w:sz w:val="22"/>
                <w:szCs w:val="22"/>
              </w:rPr>
              <w:t>未布，但影响范围与超标区、重叠区网格相交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广西全州县安农化工有限责任公司</w:t>
            </w:r>
          </w:p>
        </w:tc>
        <w:tc>
          <w:tcPr>
            <w:tcW w:w="2981" w:type="dxa"/>
            <w:vAlign w:val="center"/>
          </w:tcPr>
          <w:p>
            <w:pPr>
              <w:rPr>
                <w:rFonts w:eastAsia="等线"/>
                <w:sz w:val="22"/>
                <w:szCs w:val="22"/>
              </w:rPr>
            </w:pPr>
            <w:r>
              <w:rPr>
                <w:rFonts w:hint="eastAsia" w:eastAsia="等线"/>
                <w:sz w:val="22"/>
                <w:szCs w:val="22"/>
              </w:rPr>
              <w:t>医药制造业</w:t>
            </w:r>
          </w:p>
        </w:tc>
        <w:tc>
          <w:tcPr>
            <w:tcW w:w="1438" w:type="dxa"/>
            <w:vAlign w:val="center"/>
          </w:tcPr>
          <w:p>
            <w:pPr>
              <w:rPr>
                <w:rFonts w:eastAsia="等线"/>
                <w:sz w:val="22"/>
                <w:szCs w:val="22"/>
              </w:rPr>
            </w:pPr>
            <w:r>
              <w:rPr>
                <w:rFonts w:hint="eastAsia" w:eastAsia="等线"/>
                <w:sz w:val="22"/>
                <w:szCs w:val="22"/>
              </w:rPr>
              <w:t>化学农药制造</w:t>
            </w:r>
          </w:p>
        </w:tc>
        <w:tc>
          <w:tcPr>
            <w:tcW w:w="1150" w:type="dxa"/>
            <w:vAlign w:val="center"/>
          </w:tcPr>
          <w:p>
            <w:pPr>
              <w:rPr>
                <w:rFonts w:eastAsia="等线"/>
                <w:sz w:val="22"/>
                <w:szCs w:val="22"/>
              </w:rPr>
            </w:pPr>
            <w:r>
              <w:rPr>
                <w:rFonts w:hint="eastAsia" w:eastAsia="等线"/>
                <w:sz w:val="22"/>
                <w:szCs w:val="22"/>
              </w:rPr>
              <w:t>绍水镇</w:t>
            </w:r>
          </w:p>
        </w:tc>
        <w:tc>
          <w:tcPr>
            <w:tcW w:w="2011" w:type="dxa"/>
            <w:vAlign w:val="center"/>
          </w:tcPr>
          <w:p>
            <w:pPr>
              <w:rPr>
                <w:rFonts w:eastAsia="等线"/>
                <w:sz w:val="22"/>
                <w:szCs w:val="22"/>
              </w:rPr>
            </w:pPr>
            <w:r>
              <w:rPr>
                <w:rFonts w:hint="eastAsia" w:eastAsia="等线"/>
                <w:sz w:val="22"/>
                <w:szCs w:val="22"/>
              </w:rPr>
              <w:t>绍兰村委会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1200 </w:t>
            </w:r>
          </w:p>
        </w:tc>
        <w:tc>
          <w:tcPr>
            <w:tcW w:w="2330" w:type="dxa"/>
            <w:tcBorders>
              <w:right w:val="single" w:color="auto" w:sz="8" w:space="0"/>
            </w:tcBorders>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桂林市全州县佛光化工厂</w:t>
            </w:r>
          </w:p>
        </w:tc>
        <w:tc>
          <w:tcPr>
            <w:tcW w:w="2981" w:type="dxa"/>
            <w:vAlign w:val="center"/>
          </w:tcPr>
          <w:p>
            <w:pPr>
              <w:rPr>
                <w:rFonts w:eastAsia="等线"/>
                <w:sz w:val="22"/>
                <w:szCs w:val="22"/>
              </w:rPr>
            </w:pPr>
            <w:r>
              <w:rPr>
                <w:rFonts w:hint="eastAsia" w:eastAsia="等线"/>
                <w:sz w:val="22"/>
                <w:szCs w:val="22"/>
              </w:rPr>
              <w:t>化学原料和化学制品制造业</w:t>
            </w:r>
          </w:p>
        </w:tc>
        <w:tc>
          <w:tcPr>
            <w:tcW w:w="1438" w:type="dxa"/>
            <w:vAlign w:val="center"/>
          </w:tcPr>
          <w:p>
            <w:pPr>
              <w:rPr>
                <w:rFonts w:eastAsia="等线"/>
                <w:sz w:val="22"/>
                <w:szCs w:val="22"/>
              </w:rPr>
            </w:pPr>
            <w:r>
              <w:rPr>
                <w:rFonts w:hint="eastAsia" w:eastAsia="等线"/>
                <w:sz w:val="22"/>
                <w:szCs w:val="22"/>
              </w:rPr>
              <w:t>无机盐制造</w:t>
            </w:r>
          </w:p>
        </w:tc>
        <w:tc>
          <w:tcPr>
            <w:tcW w:w="1150" w:type="dxa"/>
            <w:vAlign w:val="center"/>
          </w:tcPr>
          <w:p>
            <w:pPr>
              <w:rPr>
                <w:rFonts w:eastAsia="等线"/>
                <w:sz w:val="22"/>
                <w:szCs w:val="22"/>
              </w:rPr>
            </w:pPr>
            <w:r>
              <w:rPr>
                <w:rFonts w:hint="eastAsia" w:eastAsia="等线"/>
                <w:sz w:val="22"/>
                <w:szCs w:val="22"/>
              </w:rPr>
              <w:t>全州镇</w:t>
            </w:r>
          </w:p>
        </w:tc>
        <w:tc>
          <w:tcPr>
            <w:tcW w:w="2011" w:type="dxa"/>
            <w:vAlign w:val="center"/>
          </w:tcPr>
          <w:p>
            <w:pPr>
              <w:rPr>
                <w:rFonts w:eastAsia="等线"/>
                <w:sz w:val="22"/>
                <w:szCs w:val="22"/>
              </w:rPr>
            </w:pPr>
            <w:r>
              <w:rPr>
                <w:rFonts w:hint="eastAsia" w:eastAsia="等线"/>
                <w:sz w:val="22"/>
                <w:szCs w:val="22"/>
              </w:rPr>
              <w:t>水南村委会</w:t>
            </w:r>
          </w:p>
        </w:tc>
        <w:tc>
          <w:tcPr>
            <w:tcW w:w="718" w:type="dxa"/>
            <w:vAlign w:val="center"/>
          </w:tcPr>
          <w:p>
            <w:pPr>
              <w:rPr>
                <w:rFonts w:eastAsia="等线"/>
                <w:sz w:val="22"/>
                <w:szCs w:val="22"/>
              </w:rPr>
            </w:pPr>
            <w:r>
              <w:rPr>
                <w:rFonts w:hint="eastAsia" w:eastAsia="等线"/>
                <w:sz w:val="22"/>
                <w:szCs w:val="22"/>
              </w:rPr>
              <w:t>污普</w:t>
            </w:r>
          </w:p>
        </w:tc>
        <w:tc>
          <w:tcPr>
            <w:tcW w:w="718" w:type="dxa"/>
            <w:vAlign w:val="center"/>
          </w:tcPr>
          <w:p>
            <w:pPr>
              <w:rPr>
                <w:rFonts w:eastAsia="等线"/>
                <w:sz w:val="22"/>
                <w:szCs w:val="22"/>
              </w:rPr>
            </w:pPr>
            <w:r>
              <w:rPr>
                <w:rFonts w:eastAsia="等线"/>
                <w:sz w:val="22"/>
                <w:szCs w:val="22"/>
              </w:rPr>
              <w:t xml:space="preserve">1000 </w:t>
            </w:r>
          </w:p>
        </w:tc>
        <w:tc>
          <w:tcPr>
            <w:tcW w:w="2330" w:type="dxa"/>
            <w:tcBorders>
              <w:right w:val="single" w:color="auto" w:sz="8" w:space="0"/>
            </w:tcBorders>
            <w:vAlign w:val="center"/>
          </w:tcPr>
          <w:p>
            <w:pPr>
              <w:jc w:val="center"/>
              <w:rPr>
                <w:rFonts w:eastAsia="等线"/>
                <w:sz w:val="22"/>
                <w:szCs w:val="22"/>
              </w:rPr>
            </w:pPr>
            <w:r>
              <w:rPr>
                <w:rFonts w:hint="eastAsia" w:eastAsia="等线"/>
                <w:sz w:val="22"/>
                <w:szCs w:val="22"/>
              </w:rPr>
              <w:t>已布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全州县鑫隆选矿厂</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银铅锌矿尾砂</w:t>
            </w:r>
          </w:p>
        </w:tc>
        <w:tc>
          <w:tcPr>
            <w:tcW w:w="1150" w:type="dxa"/>
            <w:vAlign w:val="center"/>
          </w:tcPr>
          <w:p>
            <w:pPr>
              <w:rPr>
                <w:rFonts w:eastAsia="等线"/>
                <w:sz w:val="22"/>
                <w:szCs w:val="22"/>
              </w:rPr>
            </w:pPr>
          </w:p>
        </w:tc>
        <w:tc>
          <w:tcPr>
            <w:tcW w:w="2011" w:type="dxa"/>
            <w:vAlign w:val="center"/>
          </w:tcPr>
          <w:p>
            <w:pPr>
              <w:rPr>
                <w:rFonts w:eastAsia="等线"/>
                <w:sz w:val="22"/>
                <w:szCs w:val="22"/>
              </w:rPr>
            </w:pPr>
            <w:r>
              <w:rPr>
                <w:rFonts w:hint="eastAsia" w:eastAsia="等线"/>
                <w:sz w:val="22"/>
                <w:szCs w:val="22"/>
              </w:rPr>
              <w:t>全州县蕉江乡吐紫塘村</w:t>
            </w:r>
          </w:p>
        </w:tc>
        <w:tc>
          <w:tcPr>
            <w:tcW w:w="718" w:type="dxa"/>
            <w:vAlign w:val="center"/>
          </w:tcPr>
          <w:p>
            <w:pPr>
              <w:rPr>
                <w:rFonts w:eastAsia="等线"/>
                <w:sz w:val="22"/>
                <w:szCs w:val="22"/>
              </w:rPr>
            </w:pPr>
            <w:r>
              <w:rPr>
                <w:rFonts w:hint="eastAsia" w:eastAsia="等线"/>
                <w:sz w:val="22"/>
                <w:szCs w:val="22"/>
              </w:rPr>
              <w:t>尾矿库</w:t>
            </w:r>
          </w:p>
        </w:tc>
        <w:tc>
          <w:tcPr>
            <w:tcW w:w="718" w:type="dxa"/>
            <w:vAlign w:val="center"/>
          </w:tcPr>
          <w:p>
            <w:pPr>
              <w:rPr>
                <w:rFonts w:eastAsia="等线"/>
                <w:sz w:val="22"/>
                <w:szCs w:val="22"/>
              </w:rPr>
            </w:pPr>
            <w:r>
              <w:rPr>
                <w:rFonts w:eastAsia="等线"/>
                <w:sz w:val="22"/>
                <w:szCs w:val="22"/>
              </w:rPr>
              <w:t xml:space="preserve">0 </w:t>
            </w:r>
          </w:p>
        </w:tc>
        <w:tc>
          <w:tcPr>
            <w:tcW w:w="2330" w:type="dxa"/>
            <w:vAlign w:val="center"/>
          </w:tcPr>
          <w:p>
            <w:pPr>
              <w:rPr>
                <w:rFonts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21" w:type="dxa"/>
            <w:vAlign w:val="center"/>
          </w:tcPr>
          <w:p>
            <w:pPr>
              <w:rPr>
                <w:rFonts w:eastAsia="等线"/>
                <w:sz w:val="22"/>
                <w:szCs w:val="22"/>
              </w:rPr>
            </w:pPr>
            <w:r>
              <w:rPr>
                <w:rFonts w:hint="eastAsia" w:eastAsia="等线"/>
                <w:sz w:val="22"/>
                <w:szCs w:val="22"/>
              </w:rPr>
              <w:t>全州鑫品矿业有限公司石枧铜矿尾矿库</w:t>
            </w:r>
          </w:p>
        </w:tc>
        <w:tc>
          <w:tcPr>
            <w:tcW w:w="2981" w:type="dxa"/>
            <w:vAlign w:val="center"/>
          </w:tcPr>
          <w:p>
            <w:pPr>
              <w:rPr>
                <w:rFonts w:eastAsia="等线"/>
                <w:sz w:val="22"/>
                <w:szCs w:val="22"/>
              </w:rPr>
            </w:pPr>
            <w:r>
              <w:rPr>
                <w:rFonts w:hint="eastAsia" w:eastAsia="等线"/>
                <w:sz w:val="22"/>
                <w:szCs w:val="22"/>
              </w:rPr>
              <w:t>有色金属矿采选业</w:t>
            </w:r>
          </w:p>
        </w:tc>
        <w:tc>
          <w:tcPr>
            <w:tcW w:w="1438" w:type="dxa"/>
            <w:vAlign w:val="center"/>
          </w:tcPr>
          <w:p>
            <w:pPr>
              <w:rPr>
                <w:rFonts w:eastAsia="等线"/>
                <w:sz w:val="22"/>
                <w:szCs w:val="22"/>
              </w:rPr>
            </w:pPr>
            <w:r>
              <w:rPr>
                <w:rFonts w:hint="eastAsia" w:eastAsia="等线"/>
                <w:sz w:val="22"/>
                <w:szCs w:val="22"/>
              </w:rPr>
              <w:t>铜矿尾砂</w:t>
            </w:r>
          </w:p>
        </w:tc>
        <w:tc>
          <w:tcPr>
            <w:tcW w:w="1150" w:type="dxa"/>
            <w:vAlign w:val="center"/>
          </w:tcPr>
          <w:p>
            <w:pPr>
              <w:rPr>
                <w:rFonts w:eastAsia="等线"/>
                <w:sz w:val="22"/>
                <w:szCs w:val="22"/>
              </w:rPr>
            </w:pPr>
          </w:p>
        </w:tc>
        <w:tc>
          <w:tcPr>
            <w:tcW w:w="2011" w:type="dxa"/>
            <w:vAlign w:val="center"/>
          </w:tcPr>
          <w:p>
            <w:pPr>
              <w:rPr>
                <w:rFonts w:eastAsia="等线"/>
                <w:sz w:val="22"/>
                <w:szCs w:val="22"/>
              </w:rPr>
            </w:pPr>
            <w:r>
              <w:rPr>
                <w:rFonts w:hint="eastAsia" w:eastAsia="等线"/>
                <w:sz w:val="22"/>
                <w:szCs w:val="22"/>
              </w:rPr>
              <w:t>全州县咸水乡蕉川村委</w:t>
            </w:r>
          </w:p>
        </w:tc>
        <w:tc>
          <w:tcPr>
            <w:tcW w:w="718" w:type="dxa"/>
            <w:vAlign w:val="center"/>
          </w:tcPr>
          <w:p>
            <w:pPr>
              <w:rPr>
                <w:rFonts w:eastAsia="等线"/>
                <w:sz w:val="22"/>
                <w:szCs w:val="22"/>
              </w:rPr>
            </w:pPr>
            <w:r>
              <w:rPr>
                <w:rFonts w:hint="eastAsia" w:eastAsia="等线"/>
                <w:sz w:val="22"/>
                <w:szCs w:val="22"/>
              </w:rPr>
              <w:t>尾矿库</w:t>
            </w:r>
          </w:p>
        </w:tc>
        <w:tc>
          <w:tcPr>
            <w:tcW w:w="718" w:type="dxa"/>
            <w:vAlign w:val="center"/>
          </w:tcPr>
          <w:p>
            <w:pPr>
              <w:rPr>
                <w:rFonts w:eastAsia="等线"/>
                <w:sz w:val="22"/>
                <w:szCs w:val="22"/>
              </w:rPr>
            </w:pPr>
            <w:r>
              <w:rPr>
                <w:rFonts w:eastAsia="等线"/>
                <w:sz w:val="22"/>
                <w:szCs w:val="22"/>
              </w:rPr>
              <w:t xml:space="preserve">0 </w:t>
            </w:r>
          </w:p>
        </w:tc>
        <w:tc>
          <w:tcPr>
            <w:tcW w:w="2330" w:type="dxa"/>
            <w:vAlign w:val="center"/>
          </w:tcPr>
          <w:p>
            <w:pPr>
              <w:rPr>
                <w:rFonts w:eastAsia="等线"/>
                <w:sz w:val="22"/>
                <w:szCs w:val="22"/>
              </w:rPr>
            </w:pPr>
          </w:p>
        </w:tc>
      </w:tr>
    </w:tbl>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adjustRightInd w:val="0"/>
        <w:snapToGrid w:val="0"/>
        <w:spacing w:line="288" w:lineRule="auto"/>
        <w:rPr>
          <w:b/>
          <w:sz w:val="32"/>
          <w:szCs w:val="32"/>
        </w:rPr>
      </w:pPr>
    </w:p>
    <w:p>
      <w:pPr>
        <w:tabs>
          <w:tab w:val="left" w:pos="735"/>
        </w:tabs>
        <w:spacing w:line="460" w:lineRule="exact"/>
        <w:ind w:left="-420" w:leftChars="-200" w:right="-506" w:rightChars="-241"/>
        <w:rPr>
          <w:rFonts w:ascii="宋体"/>
          <w:sz w:val="32"/>
          <w:szCs w:val="32"/>
        </w:rPr>
      </w:pPr>
      <w:r>
        <w:rPr>
          <w:b/>
          <w:sz w:val="28"/>
          <w:szCs w:val="28"/>
        </w:rPr>
        <w:t xml:space="preserve">          </w:t>
      </w:r>
      <w:r>
        <w:rPr>
          <w:rFonts w:hint="eastAsia" w:ascii="宋体" w:hAnsi="宋体"/>
          <w:b/>
          <w:sz w:val="32"/>
          <w:szCs w:val="32"/>
        </w:rPr>
        <w:t>附件</w:t>
      </w:r>
      <w:r>
        <w:rPr>
          <w:rFonts w:ascii="宋体" w:hAnsi="宋体"/>
          <w:b/>
          <w:sz w:val="32"/>
          <w:szCs w:val="32"/>
        </w:rPr>
        <w:t>4</w:t>
      </w:r>
      <w:r>
        <w:rPr>
          <w:rFonts w:hint="eastAsia" w:ascii="宋体" w:hAnsi="宋体"/>
          <w:b/>
          <w:sz w:val="32"/>
          <w:szCs w:val="32"/>
        </w:rPr>
        <w:t>：全州县重点监管尾矿库清单</w:t>
      </w:r>
    </w:p>
    <w:tbl>
      <w:tblPr>
        <w:tblStyle w:val="4"/>
        <w:tblW w:w="12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40"/>
        <w:gridCol w:w="5057"/>
        <w:gridCol w:w="4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64" w:type="dxa"/>
            <w:vAlign w:val="center"/>
          </w:tcPr>
          <w:p>
            <w:pPr>
              <w:spacing w:line="320" w:lineRule="exact"/>
              <w:rPr>
                <w:b/>
                <w:sz w:val="28"/>
                <w:szCs w:val="28"/>
              </w:rPr>
            </w:pPr>
            <w:r>
              <w:rPr>
                <w:rFonts w:hint="eastAsia"/>
                <w:b/>
                <w:sz w:val="28"/>
                <w:szCs w:val="28"/>
              </w:rPr>
              <w:t>序</w:t>
            </w:r>
          </w:p>
          <w:p>
            <w:pPr>
              <w:spacing w:line="320" w:lineRule="exact"/>
              <w:rPr>
                <w:sz w:val="28"/>
                <w:szCs w:val="28"/>
              </w:rPr>
            </w:pPr>
            <w:r>
              <w:rPr>
                <w:rFonts w:hint="eastAsia"/>
                <w:b/>
                <w:sz w:val="28"/>
                <w:szCs w:val="28"/>
              </w:rPr>
              <w:t>号</w:t>
            </w:r>
          </w:p>
        </w:tc>
        <w:tc>
          <w:tcPr>
            <w:tcW w:w="1440" w:type="dxa"/>
            <w:vAlign w:val="center"/>
          </w:tcPr>
          <w:p>
            <w:pPr>
              <w:spacing w:line="320" w:lineRule="exact"/>
              <w:jc w:val="center"/>
              <w:rPr>
                <w:b/>
                <w:sz w:val="28"/>
                <w:szCs w:val="28"/>
              </w:rPr>
            </w:pPr>
            <w:r>
              <w:rPr>
                <w:rFonts w:hint="eastAsia"/>
                <w:b/>
                <w:sz w:val="28"/>
                <w:szCs w:val="28"/>
              </w:rPr>
              <w:t>所在</w:t>
            </w:r>
          </w:p>
          <w:p>
            <w:pPr>
              <w:spacing w:line="320" w:lineRule="exact"/>
              <w:jc w:val="center"/>
              <w:rPr>
                <w:sz w:val="28"/>
                <w:szCs w:val="28"/>
              </w:rPr>
            </w:pPr>
            <w:r>
              <w:rPr>
                <w:rFonts w:hint="eastAsia"/>
                <w:b/>
                <w:sz w:val="28"/>
                <w:szCs w:val="28"/>
              </w:rPr>
              <w:t>区域</w:t>
            </w:r>
          </w:p>
        </w:tc>
        <w:tc>
          <w:tcPr>
            <w:tcW w:w="5057" w:type="dxa"/>
            <w:vAlign w:val="center"/>
          </w:tcPr>
          <w:p>
            <w:pPr>
              <w:jc w:val="center"/>
              <w:rPr>
                <w:b/>
                <w:sz w:val="28"/>
                <w:szCs w:val="28"/>
              </w:rPr>
            </w:pPr>
            <w:r>
              <w:rPr>
                <w:rFonts w:hint="eastAsia"/>
                <w:b/>
                <w:sz w:val="28"/>
                <w:szCs w:val="28"/>
              </w:rPr>
              <w:t>尾矿库名称</w:t>
            </w:r>
          </w:p>
        </w:tc>
        <w:tc>
          <w:tcPr>
            <w:tcW w:w="4944" w:type="dxa"/>
            <w:vAlign w:val="center"/>
          </w:tcPr>
          <w:p>
            <w:pPr>
              <w:spacing w:line="320" w:lineRule="exact"/>
              <w:jc w:val="center"/>
              <w:rPr>
                <w:b/>
                <w:sz w:val="28"/>
                <w:szCs w:val="28"/>
              </w:rPr>
            </w:pPr>
            <w:r>
              <w:rPr>
                <w:rFonts w:hint="eastAsia"/>
                <w:b/>
                <w:sz w:val="28"/>
                <w:szCs w:val="28"/>
              </w:rPr>
              <w:t>尾矿库管理</w:t>
            </w:r>
          </w:p>
          <w:p>
            <w:pPr>
              <w:spacing w:line="320" w:lineRule="exact"/>
              <w:jc w:val="center"/>
              <w:rPr>
                <w:sz w:val="28"/>
                <w:szCs w:val="28"/>
              </w:rPr>
            </w:pPr>
            <w:r>
              <w:rPr>
                <w:rFonts w:hint="eastAsia"/>
                <w:b/>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4" w:type="dxa"/>
            <w:vAlign w:val="center"/>
          </w:tcPr>
          <w:p>
            <w:pPr>
              <w:jc w:val="center"/>
              <w:rPr>
                <w:rFonts w:ascii="宋体" w:hAnsi="宋体"/>
                <w:sz w:val="28"/>
                <w:szCs w:val="28"/>
              </w:rPr>
            </w:pPr>
            <w:r>
              <w:rPr>
                <w:rFonts w:ascii="宋体" w:hAnsi="宋体"/>
                <w:sz w:val="28"/>
                <w:szCs w:val="28"/>
              </w:rPr>
              <w:t>1</w:t>
            </w:r>
          </w:p>
        </w:tc>
        <w:tc>
          <w:tcPr>
            <w:tcW w:w="1440" w:type="dxa"/>
            <w:vAlign w:val="center"/>
          </w:tcPr>
          <w:p>
            <w:pPr>
              <w:jc w:val="center"/>
              <w:rPr>
                <w:rFonts w:ascii="宋体"/>
                <w:sz w:val="28"/>
                <w:szCs w:val="28"/>
              </w:rPr>
            </w:pPr>
            <w:r>
              <w:rPr>
                <w:rFonts w:hint="eastAsia" w:ascii="宋体" w:hAnsi="宋体"/>
                <w:sz w:val="28"/>
                <w:szCs w:val="28"/>
              </w:rPr>
              <w:t>才湾镇</w:t>
            </w:r>
          </w:p>
        </w:tc>
        <w:tc>
          <w:tcPr>
            <w:tcW w:w="5057" w:type="dxa"/>
            <w:vAlign w:val="center"/>
          </w:tcPr>
          <w:p>
            <w:pPr>
              <w:jc w:val="left"/>
              <w:rPr>
                <w:rFonts w:ascii="宋体"/>
                <w:sz w:val="28"/>
                <w:szCs w:val="28"/>
              </w:rPr>
            </w:pPr>
            <w:r>
              <w:rPr>
                <w:rFonts w:hint="eastAsia" w:ascii="宋体" w:hAnsi="宋体"/>
                <w:sz w:val="28"/>
                <w:szCs w:val="28"/>
              </w:rPr>
              <w:t>全州县才湾镇王家山锰矿尾库矿</w:t>
            </w:r>
          </w:p>
        </w:tc>
        <w:tc>
          <w:tcPr>
            <w:tcW w:w="4944" w:type="dxa"/>
            <w:vAlign w:val="center"/>
          </w:tcPr>
          <w:p>
            <w:pPr>
              <w:jc w:val="center"/>
              <w:rPr>
                <w:rFonts w:ascii="宋体"/>
                <w:sz w:val="28"/>
                <w:szCs w:val="28"/>
              </w:rPr>
            </w:pPr>
            <w:r>
              <w:rPr>
                <w:rFonts w:hint="eastAsia" w:ascii="宋体" w:hAnsi="宋体" w:cs="宋体"/>
                <w:sz w:val="28"/>
                <w:szCs w:val="28"/>
              </w:rPr>
              <w:t>县国土资源局、安监局、环保局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4" w:type="dxa"/>
            <w:vAlign w:val="center"/>
          </w:tcPr>
          <w:p>
            <w:pPr>
              <w:jc w:val="center"/>
              <w:rPr>
                <w:rFonts w:ascii="宋体" w:hAnsi="宋体"/>
                <w:sz w:val="28"/>
                <w:szCs w:val="28"/>
              </w:rPr>
            </w:pPr>
            <w:r>
              <w:rPr>
                <w:rFonts w:ascii="宋体" w:hAnsi="宋体"/>
                <w:sz w:val="28"/>
                <w:szCs w:val="28"/>
              </w:rPr>
              <w:t>2</w:t>
            </w:r>
          </w:p>
        </w:tc>
        <w:tc>
          <w:tcPr>
            <w:tcW w:w="1440" w:type="dxa"/>
            <w:vAlign w:val="center"/>
          </w:tcPr>
          <w:p>
            <w:pPr>
              <w:jc w:val="center"/>
              <w:rPr>
                <w:rFonts w:ascii="宋体"/>
                <w:sz w:val="28"/>
                <w:szCs w:val="28"/>
              </w:rPr>
            </w:pPr>
            <w:r>
              <w:rPr>
                <w:rFonts w:hint="eastAsia" w:ascii="宋体" w:hAnsi="宋体"/>
                <w:sz w:val="28"/>
                <w:szCs w:val="28"/>
              </w:rPr>
              <w:t>才湾镇</w:t>
            </w:r>
          </w:p>
        </w:tc>
        <w:tc>
          <w:tcPr>
            <w:tcW w:w="5057" w:type="dxa"/>
            <w:vAlign w:val="center"/>
          </w:tcPr>
          <w:p>
            <w:pPr>
              <w:jc w:val="left"/>
              <w:rPr>
                <w:rFonts w:ascii="宋体"/>
                <w:sz w:val="28"/>
                <w:szCs w:val="28"/>
              </w:rPr>
            </w:pPr>
            <w:r>
              <w:rPr>
                <w:rFonts w:hint="eastAsia" w:ascii="宋体" w:hAnsi="宋体"/>
                <w:sz w:val="28"/>
                <w:szCs w:val="28"/>
              </w:rPr>
              <w:t>全州县才湾镇文家田锰矿尾矿库</w:t>
            </w:r>
          </w:p>
        </w:tc>
        <w:tc>
          <w:tcPr>
            <w:tcW w:w="4944" w:type="dxa"/>
            <w:vAlign w:val="center"/>
          </w:tcPr>
          <w:p>
            <w:pPr>
              <w:jc w:val="center"/>
              <w:rPr>
                <w:rFonts w:ascii="宋体"/>
                <w:sz w:val="28"/>
                <w:szCs w:val="28"/>
              </w:rPr>
            </w:pPr>
            <w:r>
              <w:rPr>
                <w:rFonts w:hint="eastAsia" w:ascii="宋体" w:hAnsi="宋体" w:cs="宋体"/>
                <w:sz w:val="28"/>
                <w:szCs w:val="28"/>
              </w:rPr>
              <w:t>县国土资源局、安监局、环保局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64" w:type="dxa"/>
            <w:vAlign w:val="center"/>
          </w:tcPr>
          <w:p>
            <w:pPr>
              <w:jc w:val="center"/>
              <w:rPr>
                <w:rFonts w:ascii="宋体" w:hAnsi="宋体"/>
                <w:sz w:val="28"/>
                <w:szCs w:val="28"/>
              </w:rPr>
            </w:pPr>
            <w:r>
              <w:rPr>
                <w:rFonts w:ascii="宋体" w:hAnsi="宋体"/>
                <w:sz w:val="28"/>
                <w:szCs w:val="28"/>
              </w:rPr>
              <w:t>3</w:t>
            </w:r>
          </w:p>
        </w:tc>
        <w:tc>
          <w:tcPr>
            <w:tcW w:w="1440" w:type="dxa"/>
            <w:vAlign w:val="center"/>
          </w:tcPr>
          <w:p>
            <w:pPr>
              <w:jc w:val="center"/>
              <w:rPr>
                <w:rFonts w:ascii="宋体"/>
                <w:sz w:val="28"/>
                <w:szCs w:val="28"/>
              </w:rPr>
            </w:pPr>
            <w:r>
              <w:rPr>
                <w:rFonts w:hint="eastAsia" w:ascii="宋体" w:hAnsi="宋体"/>
                <w:sz w:val="28"/>
                <w:szCs w:val="28"/>
              </w:rPr>
              <w:t>才湾镇</w:t>
            </w:r>
          </w:p>
        </w:tc>
        <w:tc>
          <w:tcPr>
            <w:tcW w:w="5057" w:type="dxa"/>
            <w:vAlign w:val="center"/>
          </w:tcPr>
          <w:p>
            <w:pPr>
              <w:jc w:val="left"/>
              <w:rPr>
                <w:rFonts w:ascii="宋体"/>
                <w:sz w:val="28"/>
                <w:szCs w:val="28"/>
              </w:rPr>
            </w:pPr>
            <w:r>
              <w:rPr>
                <w:rFonts w:hint="eastAsia" w:ascii="宋体" w:hAnsi="宋体"/>
                <w:sz w:val="28"/>
                <w:szCs w:val="28"/>
              </w:rPr>
              <w:t>全州县才湾镇牙口唐永辉锰矿尾库矿</w:t>
            </w:r>
          </w:p>
        </w:tc>
        <w:tc>
          <w:tcPr>
            <w:tcW w:w="4944" w:type="dxa"/>
            <w:vAlign w:val="center"/>
          </w:tcPr>
          <w:p>
            <w:pPr>
              <w:jc w:val="center"/>
              <w:rPr>
                <w:rFonts w:ascii="宋体"/>
                <w:sz w:val="28"/>
                <w:szCs w:val="28"/>
              </w:rPr>
            </w:pPr>
            <w:r>
              <w:rPr>
                <w:rFonts w:hint="eastAsia" w:ascii="宋体" w:hAnsi="宋体" w:cs="宋体"/>
                <w:sz w:val="28"/>
                <w:szCs w:val="28"/>
              </w:rPr>
              <w:t>县国土资源局、安监局、环保局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4" w:type="dxa"/>
            <w:vAlign w:val="center"/>
          </w:tcPr>
          <w:p>
            <w:pPr>
              <w:jc w:val="center"/>
              <w:rPr>
                <w:rFonts w:ascii="宋体" w:hAnsi="宋体"/>
                <w:sz w:val="28"/>
                <w:szCs w:val="28"/>
              </w:rPr>
            </w:pPr>
            <w:r>
              <w:rPr>
                <w:rFonts w:ascii="宋体" w:hAnsi="宋体"/>
                <w:sz w:val="28"/>
                <w:szCs w:val="28"/>
              </w:rPr>
              <w:t>4</w:t>
            </w:r>
          </w:p>
        </w:tc>
        <w:tc>
          <w:tcPr>
            <w:tcW w:w="1440" w:type="dxa"/>
            <w:vAlign w:val="center"/>
          </w:tcPr>
          <w:p>
            <w:pPr>
              <w:jc w:val="center"/>
              <w:rPr>
                <w:rFonts w:ascii="宋体"/>
                <w:sz w:val="28"/>
                <w:szCs w:val="28"/>
              </w:rPr>
            </w:pPr>
            <w:r>
              <w:rPr>
                <w:rFonts w:hint="eastAsia" w:ascii="宋体" w:hAnsi="宋体"/>
                <w:sz w:val="28"/>
                <w:szCs w:val="28"/>
              </w:rPr>
              <w:t>黄沙河镇</w:t>
            </w:r>
          </w:p>
        </w:tc>
        <w:tc>
          <w:tcPr>
            <w:tcW w:w="5057" w:type="dxa"/>
            <w:vAlign w:val="center"/>
          </w:tcPr>
          <w:p>
            <w:pPr>
              <w:jc w:val="left"/>
              <w:rPr>
                <w:rFonts w:ascii="宋体"/>
                <w:sz w:val="28"/>
                <w:szCs w:val="28"/>
              </w:rPr>
            </w:pPr>
            <w:r>
              <w:rPr>
                <w:rFonts w:hint="eastAsia" w:ascii="宋体" w:hAnsi="宋体"/>
                <w:sz w:val="28"/>
                <w:szCs w:val="28"/>
              </w:rPr>
              <w:t>全州县鑫泰综合选矿厂（普通合伙）</w:t>
            </w:r>
          </w:p>
        </w:tc>
        <w:tc>
          <w:tcPr>
            <w:tcW w:w="4944" w:type="dxa"/>
            <w:vAlign w:val="center"/>
          </w:tcPr>
          <w:p>
            <w:pPr>
              <w:jc w:val="center"/>
              <w:rPr>
                <w:rFonts w:ascii="宋体"/>
                <w:sz w:val="28"/>
                <w:szCs w:val="28"/>
              </w:rPr>
            </w:pPr>
            <w:r>
              <w:rPr>
                <w:rFonts w:hint="eastAsia" w:ascii="宋体" w:hAnsi="宋体" w:cs="宋体"/>
                <w:sz w:val="28"/>
                <w:szCs w:val="28"/>
              </w:rPr>
              <w:t>县国土资源局、安监局、环保局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4" w:type="dxa"/>
            <w:vAlign w:val="center"/>
          </w:tcPr>
          <w:p>
            <w:pPr>
              <w:jc w:val="center"/>
              <w:rPr>
                <w:rFonts w:ascii="宋体" w:hAnsi="宋体"/>
                <w:sz w:val="28"/>
                <w:szCs w:val="28"/>
              </w:rPr>
            </w:pPr>
            <w:r>
              <w:rPr>
                <w:rFonts w:ascii="宋体" w:hAnsi="宋体"/>
                <w:sz w:val="28"/>
                <w:szCs w:val="28"/>
              </w:rPr>
              <w:t>5</w:t>
            </w:r>
          </w:p>
        </w:tc>
        <w:tc>
          <w:tcPr>
            <w:tcW w:w="1440" w:type="dxa"/>
            <w:vAlign w:val="center"/>
          </w:tcPr>
          <w:p>
            <w:pPr>
              <w:jc w:val="center"/>
              <w:rPr>
                <w:rFonts w:ascii="宋体"/>
                <w:sz w:val="28"/>
                <w:szCs w:val="28"/>
              </w:rPr>
            </w:pPr>
            <w:r>
              <w:rPr>
                <w:rFonts w:hint="eastAsia" w:ascii="宋体" w:hAnsi="宋体"/>
                <w:sz w:val="28"/>
                <w:szCs w:val="28"/>
              </w:rPr>
              <w:t>庙头镇</w:t>
            </w:r>
          </w:p>
        </w:tc>
        <w:tc>
          <w:tcPr>
            <w:tcW w:w="5057" w:type="dxa"/>
            <w:vAlign w:val="center"/>
          </w:tcPr>
          <w:p>
            <w:pPr>
              <w:jc w:val="left"/>
              <w:rPr>
                <w:rFonts w:ascii="宋体"/>
                <w:sz w:val="28"/>
                <w:szCs w:val="28"/>
              </w:rPr>
            </w:pPr>
            <w:r>
              <w:rPr>
                <w:rFonts w:hint="eastAsia" w:ascii="宋体" w:hAnsi="宋体"/>
                <w:sz w:val="28"/>
                <w:szCs w:val="28"/>
              </w:rPr>
              <w:t>全州县庙头镇白果岔岗锰矿尾库矿</w:t>
            </w:r>
          </w:p>
        </w:tc>
        <w:tc>
          <w:tcPr>
            <w:tcW w:w="4944" w:type="dxa"/>
            <w:vAlign w:val="center"/>
          </w:tcPr>
          <w:p>
            <w:pPr>
              <w:jc w:val="center"/>
              <w:rPr>
                <w:rFonts w:ascii="宋体"/>
                <w:sz w:val="28"/>
                <w:szCs w:val="28"/>
              </w:rPr>
            </w:pPr>
            <w:r>
              <w:rPr>
                <w:rFonts w:hint="eastAsia" w:ascii="宋体" w:hAnsi="宋体" w:cs="宋体"/>
                <w:sz w:val="28"/>
                <w:szCs w:val="28"/>
              </w:rPr>
              <w:t>县国土资源局、安监局、环保局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4" w:type="dxa"/>
            <w:vAlign w:val="center"/>
          </w:tcPr>
          <w:p>
            <w:pPr>
              <w:jc w:val="center"/>
              <w:rPr>
                <w:rFonts w:ascii="宋体" w:hAnsi="宋体"/>
                <w:sz w:val="28"/>
                <w:szCs w:val="28"/>
              </w:rPr>
            </w:pPr>
            <w:r>
              <w:rPr>
                <w:rFonts w:ascii="宋体" w:hAnsi="宋体"/>
                <w:sz w:val="28"/>
                <w:szCs w:val="28"/>
              </w:rPr>
              <w:t>6</w:t>
            </w:r>
          </w:p>
        </w:tc>
        <w:tc>
          <w:tcPr>
            <w:tcW w:w="1440" w:type="dxa"/>
            <w:vAlign w:val="center"/>
          </w:tcPr>
          <w:p>
            <w:pPr>
              <w:jc w:val="center"/>
              <w:rPr>
                <w:rFonts w:ascii="宋体"/>
                <w:sz w:val="28"/>
                <w:szCs w:val="28"/>
              </w:rPr>
            </w:pPr>
            <w:r>
              <w:rPr>
                <w:rFonts w:hint="eastAsia" w:ascii="宋体" w:hAnsi="宋体"/>
                <w:sz w:val="28"/>
                <w:szCs w:val="28"/>
              </w:rPr>
              <w:t>绍水镇</w:t>
            </w:r>
          </w:p>
        </w:tc>
        <w:tc>
          <w:tcPr>
            <w:tcW w:w="5057" w:type="dxa"/>
            <w:vAlign w:val="center"/>
          </w:tcPr>
          <w:p>
            <w:pPr>
              <w:jc w:val="left"/>
              <w:rPr>
                <w:rFonts w:ascii="宋体"/>
                <w:sz w:val="28"/>
                <w:szCs w:val="28"/>
              </w:rPr>
            </w:pPr>
            <w:r>
              <w:rPr>
                <w:rFonts w:hint="eastAsia" w:ascii="宋体" w:hAnsi="宋体"/>
                <w:sz w:val="28"/>
                <w:szCs w:val="28"/>
              </w:rPr>
              <w:t>全州县绍水镇黑石山姚全锰矿尾库矿</w:t>
            </w:r>
          </w:p>
        </w:tc>
        <w:tc>
          <w:tcPr>
            <w:tcW w:w="4944" w:type="dxa"/>
            <w:vAlign w:val="center"/>
          </w:tcPr>
          <w:p>
            <w:pPr>
              <w:jc w:val="center"/>
              <w:rPr>
                <w:rFonts w:ascii="宋体"/>
                <w:sz w:val="28"/>
                <w:szCs w:val="28"/>
              </w:rPr>
            </w:pPr>
            <w:r>
              <w:rPr>
                <w:rFonts w:hint="eastAsia" w:ascii="宋体" w:hAnsi="宋体" w:cs="宋体"/>
                <w:sz w:val="28"/>
                <w:szCs w:val="28"/>
              </w:rPr>
              <w:t>县国土资源局、安监局、环保局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4" w:type="dxa"/>
            <w:vAlign w:val="center"/>
          </w:tcPr>
          <w:p>
            <w:pPr>
              <w:jc w:val="center"/>
              <w:rPr>
                <w:rFonts w:ascii="宋体" w:hAnsi="宋体"/>
                <w:sz w:val="28"/>
                <w:szCs w:val="28"/>
              </w:rPr>
            </w:pPr>
            <w:r>
              <w:rPr>
                <w:rFonts w:ascii="宋体" w:hAnsi="宋体"/>
                <w:sz w:val="28"/>
                <w:szCs w:val="28"/>
              </w:rPr>
              <w:t>7</w:t>
            </w:r>
          </w:p>
        </w:tc>
        <w:tc>
          <w:tcPr>
            <w:tcW w:w="1440" w:type="dxa"/>
            <w:vAlign w:val="center"/>
          </w:tcPr>
          <w:p>
            <w:pPr>
              <w:jc w:val="center"/>
              <w:rPr>
                <w:rFonts w:ascii="宋体"/>
                <w:sz w:val="28"/>
                <w:szCs w:val="28"/>
              </w:rPr>
            </w:pPr>
            <w:r>
              <w:rPr>
                <w:rFonts w:hint="eastAsia" w:ascii="宋体" w:hAnsi="宋体"/>
                <w:sz w:val="28"/>
                <w:szCs w:val="28"/>
              </w:rPr>
              <w:t>咸水镇</w:t>
            </w:r>
          </w:p>
        </w:tc>
        <w:tc>
          <w:tcPr>
            <w:tcW w:w="5057" w:type="dxa"/>
            <w:vAlign w:val="center"/>
          </w:tcPr>
          <w:p>
            <w:pPr>
              <w:jc w:val="left"/>
              <w:rPr>
                <w:rFonts w:ascii="宋体"/>
                <w:sz w:val="28"/>
                <w:szCs w:val="28"/>
              </w:rPr>
            </w:pPr>
            <w:r>
              <w:rPr>
                <w:rFonts w:hint="eastAsia" w:ascii="宋体" w:hAnsi="宋体"/>
                <w:sz w:val="28"/>
                <w:szCs w:val="28"/>
              </w:rPr>
              <w:t>全州县咸水林场麻扎分场锰矿尾库矿</w:t>
            </w:r>
          </w:p>
        </w:tc>
        <w:tc>
          <w:tcPr>
            <w:tcW w:w="4944" w:type="dxa"/>
            <w:vAlign w:val="center"/>
          </w:tcPr>
          <w:p>
            <w:pPr>
              <w:jc w:val="center"/>
              <w:rPr>
                <w:rFonts w:ascii="宋体"/>
                <w:sz w:val="28"/>
                <w:szCs w:val="28"/>
              </w:rPr>
            </w:pPr>
            <w:r>
              <w:rPr>
                <w:rFonts w:hint="eastAsia" w:ascii="宋体" w:hAnsi="宋体" w:cs="宋体"/>
                <w:sz w:val="28"/>
                <w:szCs w:val="28"/>
              </w:rPr>
              <w:t>县国土资源局、安监局、环保局</w:t>
            </w:r>
          </w:p>
        </w:tc>
      </w:tr>
    </w:tbl>
    <w:p>
      <w:pPr>
        <w:tabs>
          <w:tab w:val="left" w:pos="735"/>
        </w:tabs>
        <w:spacing w:line="460" w:lineRule="exact"/>
        <w:ind w:left="-420" w:leftChars="-200" w:right="-506" w:rightChars="-241"/>
        <w:rPr>
          <w:rFonts w:ascii="宋体"/>
          <w:sz w:val="28"/>
          <w:szCs w:val="28"/>
        </w:rPr>
      </w:pPr>
    </w:p>
    <w:p>
      <w:pPr>
        <w:tabs>
          <w:tab w:val="left" w:pos="735"/>
        </w:tabs>
        <w:spacing w:line="460" w:lineRule="exact"/>
        <w:ind w:right="-506" w:rightChars="-241"/>
        <w:rPr>
          <w:rFonts w:ascii="宋体"/>
          <w:sz w:val="28"/>
          <w:szCs w:val="28"/>
        </w:rPr>
      </w:pPr>
    </w:p>
    <w:p>
      <w:pPr>
        <w:tabs>
          <w:tab w:val="left" w:pos="735"/>
        </w:tabs>
        <w:spacing w:line="460" w:lineRule="exact"/>
        <w:ind w:right="-506" w:rightChars="-241" w:firstLine="838" w:firstLineChars="298"/>
        <w:rPr>
          <w:b/>
          <w:sz w:val="28"/>
          <w:szCs w:val="28"/>
        </w:rPr>
      </w:pPr>
      <w:r>
        <w:rPr>
          <w:rFonts w:hint="eastAsia" w:ascii="宋体" w:hAnsi="宋体"/>
          <w:b/>
          <w:sz w:val="28"/>
          <w:szCs w:val="28"/>
        </w:rPr>
        <w:t>附件</w:t>
      </w:r>
      <w:r>
        <w:rPr>
          <w:rFonts w:ascii="宋体" w:hAnsi="宋体"/>
          <w:b/>
          <w:sz w:val="28"/>
          <w:szCs w:val="28"/>
        </w:rPr>
        <w:t>5</w:t>
      </w:r>
      <w:r>
        <w:rPr>
          <w:rFonts w:hint="eastAsia" w:ascii="宋体" w:hAnsi="宋体"/>
          <w:b/>
          <w:sz w:val="28"/>
          <w:szCs w:val="28"/>
        </w:rPr>
        <w:t>：</w:t>
      </w:r>
      <w:r>
        <w:rPr>
          <w:rFonts w:hint="eastAsia"/>
          <w:b/>
          <w:sz w:val="32"/>
          <w:szCs w:val="32"/>
        </w:rPr>
        <w:t>全州县垃圾填埋场清单</w:t>
      </w:r>
    </w:p>
    <w:tbl>
      <w:tblPr>
        <w:tblStyle w:val="4"/>
        <w:tblW w:w="12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262"/>
        <w:gridCol w:w="1727"/>
        <w:gridCol w:w="1971"/>
        <w:gridCol w:w="1968"/>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07" w:type="dxa"/>
            <w:vAlign w:val="center"/>
          </w:tcPr>
          <w:p>
            <w:pPr>
              <w:tabs>
                <w:tab w:val="left" w:pos="735"/>
              </w:tabs>
              <w:spacing w:line="460" w:lineRule="exact"/>
              <w:ind w:right="-506" w:rightChars="-241"/>
              <w:rPr>
                <w:rFonts w:ascii="宋体"/>
                <w:sz w:val="28"/>
                <w:szCs w:val="28"/>
              </w:rPr>
            </w:pPr>
            <w:r>
              <w:rPr>
                <w:rFonts w:hint="eastAsia" w:ascii="宋体" w:hAnsi="宋体"/>
                <w:sz w:val="28"/>
                <w:szCs w:val="28"/>
              </w:rPr>
              <w:t>序号</w:t>
            </w:r>
          </w:p>
        </w:tc>
        <w:tc>
          <w:tcPr>
            <w:tcW w:w="3262" w:type="dxa"/>
            <w:vAlign w:val="center"/>
          </w:tcPr>
          <w:p>
            <w:pPr>
              <w:tabs>
                <w:tab w:val="left" w:pos="735"/>
              </w:tabs>
              <w:spacing w:line="460" w:lineRule="exact"/>
              <w:ind w:right="-506" w:rightChars="-241" w:firstLine="560" w:firstLineChars="200"/>
              <w:rPr>
                <w:rFonts w:ascii="宋体"/>
                <w:sz w:val="28"/>
                <w:szCs w:val="28"/>
              </w:rPr>
            </w:pPr>
            <w:r>
              <w:rPr>
                <w:rFonts w:hint="eastAsia" w:ascii="宋体" w:hAnsi="宋体"/>
                <w:sz w:val="28"/>
                <w:szCs w:val="28"/>
              </w:rPr>
              <w:t>项目名称</w:t>
            </w:r>
          </w:p>
        </w:tc>
        <w:tc>
          <w:tcPr>
            <w:tcW w:w="1727" w:type="dxa"/>
            <w:vAlign w:val="center"/>
          </w:tcPr>
          <w:p>
            <w:pPr>
              <w:tabs>
                <w:tab w:val="left" w:pos="735"/>
              </w:tabs>
              <w:spacing w:line="460" w:lineRule="exact"/>
              <w:ind w:right="-506" w:rightChars="-241"/>
              <w:rPr>
                <w:rFonts w:ascii="宋体"/>
                <w:sz w:val="28"/>
                <w:szCs w:val="28"/>
              </w:rPr>
            </w:pPr>
            <w:r>
              <w:rPr>
                <w:rFonts w:hint="eastAsia" w:ascii="宋体" w:hAnsi="宋体"/>
                <w:sz w:val="28"/>
                <w:szCs w:val="28"/>
              </w:rPr>
              <w:t>设计规模</w:t>
            </w:r>
          </w:p>
          <w:p>
            <w:pPr>
              <w:tabs>
                <w:tab w:val="left" w:pos="735"/>
              </w:tabs>
              <w:spacing w:line="460" w:lineRule="exact"/>
              <w:ind w:right="-506" w:rightChars="-241"/>
              <w:rPr>
                <w:rFonts w:ascii="宋体"/>
                <w:sz w:val="28"/>
                <w:szCs w:val="28"/>
              </w:rPr>
            </w:pPr>
            <w:r>
              <w:rPr>
                <w:rFonts w:hint="eastAsia" w:ascii="宋体" w:hAnsi="宋体"/>
                <w:sz w:val="28"/>
                <w:szCs w:val="28"/>
              </w:rPr>
              <w:t>（吨</w:t>
            </w:r>
            <w:r>
              <w:rPr>
                <w:rFonts w:ascii="宋体" w:hAnsi="宋体"/>
                <w:sz w:val="28"/>
                <w:szCs w:val="28"/>
              </w:rPr>
              <w:t>/</w:t>
            </w:r>
            <w:r>
              <w:rPr>
                <w:rFonts w:hint="eastAsia" w:ascii="宋体" w:hAnsi="宋体"/>
                <w:sz w:val="28"/>
                <w:szCs w:val="28"/>
              </w:rPr>
              <w:t>日）</w:t>
            </w:r>
          </w:p>
        </w:tc>
        <w:tc>
          <w:tcPr>
            <w:tcW w:w="1971" w:type="dxa"/>
            <w:vAlign w:val="center"/>
          </w:tcPr>
          <w:p>
            <w:pPr>
              <w:tabs>
                <w:tab w:val="left" w:pos="735"/>
              </w:tabs>
              <w:spacing w:line="460" w:lineRule="exact"/>
              <w:ind w:right="-506" w:rightChars="-241"/>
              <w:rPr>
                <w:rFonts w:ascii="宋体"/>
                <w:sz w:val="28"/>
                <w:szCs w:val="28"/>
              </w:rPr>
            </w:pPr>
            <w:r>
              <w:rPr>
                <w:rFonts w:hint="eastAsia" w:ascii="宋体" w:hAnsi="宋体"/>
                <w:sz w:val="28"/>
                <w:szCs w:val="28"/>
              </w:rPr>
              <w:t>实际处理量</w:t>
            </w:r>
          </w:p>
          <w:p>
            <w:pPr>
              <w:tabs>
                <w:tab w:val="left" w:pos="735"/>
              </w:tabs>
              <w:spacing w:line="460" w:lineRule="exact"/>
              <w:ind w:right="-506" w:rightChars="-241"/>
              <w:rPr>
                <w:rFonts w:ascii="宋体"/>
                <w:sz w:val="28"/>
                <w:szCs w:val="28"/>
              </w:rPr>
            </w:pPr>
            <w:r>
              <w:rPr>
                <w:rFonts w:hint="eastAsia" w:ascii="宋体" w:hAnsi="宋体"/>
                <w:sz w:val="28"/>
                <w:szCs w:val="28"/>
              </w:rPr>
              <w:t>（吨</w:t>
            </w:r>
            <w:r>
              <w:rPr>
                <w:rFonts w:ascii="宋体" w:hAnsi="宋体"/>
                <w:sz w:val="28"/>
                <w:szCs w:val="28"/>
              </w:rPr>
              <w:t>/</w:t>
            </w:r>
            <w:r>
              <w:rPr>
                <w:rFonts w:hint="eastAsia" w:ascii="宋体" w:hAnsi="宋体"/>
                <w:sz w:val="28"/>
                <w:szCs w:val="28"/>
              </w:rPr>
              <w:t>日）</w:t>
            </w:r>
          </w:p>
        </w:tc>
        <w:tc>
          <w:tcPr>
            <w:tcW w:w="1968" w:type="dxa"/>
            <w:vAlign w:val="center"/>
          </w:tcPr>
          <w:p>
            <w:pPr>
              <w:tabs>
                <w:tab w:val="left" w:pos="735"/>
              </w:tabs>
              <w:spacing w:line="460" w:lineRule="exact"/>
              <w:ind w:right="-506" w:rightChars="-241"/>
              <w:rPr>
                <w:rFonts w:ascii="宋体"/>
                <w:sz w:val="28"/>
                <w:szCs w:val="28"/>
              </w:rPr>
            </w:pPr>
            <w:r>
              <w:rPr>
                <w:rFonts w:hint="eastAsia" w:ascii="宋体" w:hAnsi="宋体"/>
                <w:sz w:val="28"/>
                <w:szCs w:val="28"/>
              </w:rPr>
              <w:t>建成投产</w:t>
            </w:r>
          </w:p>
          <w:p>
            <w:pPr>
              <w:tabs>
                <w:tab w:val="left" w:pos="735"/>
              </w:tabs>
              <w:spacing w:line="460" w:lineRule="exact"/>
              <w:ind w:right="-506" w:rightChars="-241" w:firstLine="280" w:firstLineChars="100"/>
              <w:rPr>
                <w:rFonts w:ascii="宋体"/>
                <w:sz w:val="28"/>
                <w:szCs w:val="28"/>
              </w:rPr>
            </w:pPr>
            <w:r>
              <w:rPr>
                <w:rFonts w:hint="eastAsia" w:ascii="宋体" w:hAnsi="宋体"/>
                <w:sz w:val="28"/>
                <w:szCs w:val="28"/>
              </w:rPr>
              <w:t>日期</w:t>
            </w:r>
          </w:p>
        </w:tc>
        <w:tc>
          <w:tcPr>
            <w:tcW w:w="2776" w:type="dxa"/>
            <w:vAlign w:val="center"/>
          </w:tcPr>
          <w:p>
            <w:pPr>
              <w:tabs>
                <w:tab w:val="left" w:pos="735"/>
              </w:tabs>
              <w:spacing w:line="460" w:lineRule="exact"/>
              <w:ind w:right="-506" w:rightChars="-241"/>
              <w:rPr>
                <w:rFonts w:ascii="宋体"/>
                <w:sz w:val="28"/>
                <w:szCs w:val="28"/>
              </w:rPr>
            </w:pPr>
            <w:r>
              <w:rPr>
                <w:rFonts w:hint="eastAsia" w:ascii="宋体" w:hAnsi="宋体"/>
                <w:sz w:val="28"/>
                <w:szCs w:val="28"/>
              </w:rPr>
              <w:t>累计年处理垃圾量</w:t>
            </w:r>
          </w:p>
          <w:p>
            <w:pPr>
              <w:tabs>
                <w:tab w:val="left" w:pos="735"/>
              </w:tabs>
              <w:spacing w:line="460" w:lineRule="exact"/>
              <w:ind w:right="-506" w:rightChars="-241" w:firstLine="560" w:firstLineChars="200"/>
              <w:rPr>
                <w:rFonts w:ascii="宋体"/>
                <w:sz w:val="28"/>
                <w:szCs w:val="28"/>
              </w:rPr>
            </w:pPr>
            <w:r>
              <w:rPr>
                <w:rFonts w:hint="eastAsia" w:ascii="宋体" w:hAnsi="宋体"/>
                <w:sz w:val="28"/>
                <w:szCs w:val="28"/>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07" w:type="dxa"/>
          </w:tcPr>
          <w:p>
            <w:pPr>
              <w:tabs>
                <w:tab w:val="left" w:pos="735"/>
              </w:tabs>
              <w:spacing w:line="460" w:lineRule="exact"/>
              <w:ind w:right="-506" w:rightChars="-241" w:firstLine="140" w:firstLineChars="50"/>
              <w:jc w:val="left"/>
              <w:rPr>
                <w:rFonts w:ascii="宋体" w:hAnsi="宋体"/>
                <w:sz w:val="28"/>
                <w:szCs w:val="28"/>
              </w:rPr>
            </w:pPr>
            <w:r>
              <w:rPr>
                <w:rFonts w:ascii="宋体" w:hAnsi="宋体"/>
                <w:sz w:val="28"/>
                <w:szCs w:val="28"/>
              </w:rPr>
              <w:t>1</w:t>
            </w:r>
          </w:p>
        </w:tc>
        <w:tc>
          <w:tcPr>
            <w:tcW w:w="3262" w:type="dxa"/>
          </w:tcPr>
          <w:p>
            <w:pPr>
              <w:tabs>
                <w:tab w:val="left" w:pos="735"/>
              </w:tabs>
              <w:spacing w:line="460" w:lineRule="exact"/>
              <w:ind w:right="-506" w:rightChars="-241"/>
              <w:rPr>
                <w:rFonts w:ascii="宋体"/>
                <w:sz w:val="28"/>
                <w:szCs w:val="28"/>
              </w:rPr>
            </w:pPr>
            <w:r>
              <w:rPr>
                <w:rFonts w:hint="eastAsia" w:ascii="宋体" w:hAnsi="宋体"/>
                <w:sz w:val="28"/>
                <w:szCs w:val="28"/>
              </w:rPr>
              <w:t>全州县城区生活</w:t>
            </w:r>
          </w:p>
          <w:p>
            <w:pPr>
              <w:tabs>
                <w:tab w:val="left" w:pos="735"/>
              </w:tabs>
              <w:spacing w:line="460" w:lineRule="exact"/>
              <w:ind w:right="-506" w:rightChars="-241"/>
              <w:rPr>
                <w:rFonts w:ascii="宋体"/>
                <w:sz w:val="28"/>
                <w:szCs w:val="28"/>
              </w:rPr>
            </w:pPr>
            <w:r>
              <w:rPr>
                <w:rFonts w:hint="eastAsia" w:ascii="宋体" w:hAnsi="宋体"/>
                <w:sz w:val="28"/>
                <w:szCs w:val="28"/>
              </w:rPr>
              <w:t>垃圾处理场</w:t>
            </w:r>
          </w:p>
        </w:tc>
        <w:tc>
          <w:tcPr>
            <w:tcW w:w="1727" w:type="dxa"/>
            <w:vAlign w:val="center"/>
          </w:tcPr>
          <w:p>
            <w:pPr>
              <w:tabs>
                <w:tab w:val="left" w:pos="735"/>
              </w:tabs>
              <w:spacing w:line="460" w:lineRule="exact"/>
              <w:ind w:right="-506" w:rightChars="-241" w:firstLine="280" w:firstLineChars="100"/>
              <w:rPr>
                <w:rFonts w:ascii="宋体"/>
                <w:sz w:val="28"/>
                <w:szCs w:val="28"/>
              </w:rPr>
            </w:pPr>
            <w:r>
              <w:rPr>
                <w:rFonts w:ascii="宋体" w:hAnsi="宋体"/>
                <w:sz w:val="28"/>
                <w:szCs w:val="28"/>
              </w:rPr>
              <w:t>125</w:t>
            </w:r>
          </w:p>
        </w:tc>
        <w:tc>
          <w:tcPr>
            <w:tcW w:w="1971" w:type="dxa"/>
            <w:vAlign w:val="center"/>
          </w:tcPr>
          <w:p>
            <w:pPr>
              <w:tabs>
                <w:tab w:val="left" w:pos="735"/>
              </w:tabs>
              <w:spacing w:line="460" w:lineRule="exact"/>
              <w:ind w:right="-506" w:rightChars="-241" w:firstLine="280" w:firstLineChars="100"/>
              <w:rPr>
                <w:rFonts w:ascii="宋体" w:hAnsi="宋体"/>
                <w:sz w:val="28"/>
                <w:szCs w:val="28"/>
              </w:rPr>
            </w:pPr>
            <w:r>
              <w:rPr>
                <w:rFonts w:ascii="宋体" w:hAnsi="宋体"/>
                <w:sz w:val="28"/>
                <w:szCs w:val="28"/>
              </w:rPr>
              <w:t>100</w:t>
            </w:r>
          </w:p>
        </w:tc>
        <w:tc>
          <w:tcPr>
            <w:tcW w:w="1968" w:type="dxa"/>
            <w:vAlign w:val="center"/>
          </w:tcPr>
          <w:p>
            <w:pPr>
              <w:tabs>
                <w:tab w:val="left" w:pos="735"/>
              </w:tabs>
              <w:spacing w:line="460" w:lineRule="exact"/>
              <w:ind w:right="-506" w:rightChars="-241" w:firstLine="280" w:firstLineChars="100"/>
              <w:rPr>
                <w:rFonts w:ascii="宋体" w:hAnsi="宋体"/>
                <w:sz w:val="28"/>
                <w:szCs w:val="28"/>
              </w:rPr>
            </w:pPr>
            <w:r>
              <w:rPr>
                <w:rFonts w:ascii="宋体" w:hAnsi="宋体"/>
                <w:sz w:val="28"/>
                <w:szCs w:val="28"/>
              </w:rPr>
              <w:t>2011</w:t>
            </w:r>
          </w:p>
        </w:tc>
        <w:tc>
          <w:tcPr>
            <w:tcW w:w="2776" w:type="dxa"/>
            <w:vAlign w:val="center"/>
          </w:tcPr>
          <w:p>
            <w:pPr>
              <w:tabs>
                <w:tab w:val="left" w:pos="735"/>
              </w:tabs>
              <w:spacing w:line="460" w:lineRule="exact"/>
              <w:ind w:right="-506" w:rightChars="-241" w:firstLine="560" w:firstLineChars="200"/>
              <w:rPr>
                <w:rFonts w:ascii="宋体"/>
                <w:sz w:val="28"/>
                <w:szCs w:val="28"/>
              </w:rPr>
            </w:pPr>
            <w:r>
              <w:rPr>
                <w:rFonts w:ascii="宋体" w:hAnsi="宋体"/>
                <w:sz w:val="28"/>
                <w:szCs w:val="28"/>
              </w:rPr>
              <w:t>0.65</w:t>
            </w:r>
          </w:p>
        </w:tc>
      </w:tr>
    </w:tbl>
    <w:p>
      <w:pPr>
        <w:tabs>
          <w:tab w:val="left" w:pos="735"/>
        </w:tabs>
        <w:spacing w:line="460" w:lineRule="exact"/>
        <w:ind w:left="-420" w:leftChars="-200" w:right="-506" w:rightChars="-241"/>
        <w:rPr>
          <w:rFonts w:ascii="宋体"/>
          <w:sz w:val="28"/>
          <w:szCs w:val="28"/>
        </w:rPr>
      </w:pPr>
    </w:p>
    <w:p>
      <w:pPr>
        <w:tabs>
          <w:tab w:val="left" w:pos="735"/>
        </w:tabs>
        <w:spacing w:line="460" w:lineRule="exact"/>
        <w:ind w:right="-506" w:rightChars="-241"/>
        <w:rPr>
          <w:rFonts w:ascii="宋体"/>
          <w:sz w:val="28"/>
          <w:szCs w:val="28"/>
        </w:rPr>
      </w:pPr>
    </w:p>
    <w:p>
      <w:pPr>
        <w:tabs>
          <w:tab w:val="left" w:pos="735"/>
        </w:tabs>
        <w:spacing w:line="460" w:lineRule="exact"/>
        <w:ind w:right="-506" w:rightChars="-241" w:firstLine="978" w:firstLineChars="348"/>
        <w:rPr>
          <w:rFonts w:ascii="宋体" w:cs="仿3f宋3f_GB2312"/>
          <w:b/>
          <w:bCs/>
          <w:kern w:val="0"/>
          <w:sz w:val="28"/>
          <w:szCs w:val="28"/>
        </w:rPr>
      </w:pPr>
      <w:r>
        <w:rPr>
          <w:rFonts w:hint="eastAsia" w:ascii="宋体" w:hAnsi="宋体"/>
          <w:b/>
          <w:sz w:val="28"/>
          <w:szCs w:val="28"/>
        </w:rPr>
        <w:t>附件</w:t>
      </w:r>
      <w:r>
        <w:rPr>
          <w:rFonts w:ascii="宋体" w:hAnsi="宋体"/>
          <w:b/>
          <w:sz w:val="28"/>
          <w:szCs w:val="28"/>
        </w:rPr>
        <w:t xml:space="preserve">6 </w:t>
      </w:r>
      <w:r>
        <w:rPr>
          <w:rFonts w:hint="eastAsia" w:ascii="宋体" w:hAnsi="宋体"/>
          <w:b/>
          <w:sz w:val="28"/>
          <w:szCs w:val="28"/>
        </w:rPr>
        <w:t>：</w:t>
      </w:r>
      <w:r>
        <w:rPr>
          <w:rFonts w:ascii="宋体" w:hAnsi="宋体"/>
          <w:b/>
          <w:sz w:val="28"/>
          <w:szCs w:val="28"/>
        </w:rPr>
        <w:t xml:space="preserve"> </w:t>
      </w:r>
      <w:r>
        <w:rPr>
          <w:rFonts w:hint="eastAsia" w:ascii="宋体" w:hAnsi="宋体"/>
          <w:b/>
          <w:bCs/>
          <w:sz w:val="28"/>
          <w:szCs w:val="28"/>
        </w:rPr>
        <w:t>全州</w:t>
      </w:r>
      <w:r>
        <w:rPr>
          <w:rFonts w:hint="eastAsia"/>
          <w:b/>
          <w:bCs/>
          <w:sz w:val="28"/>
          <w:szCs w:val="28"/>
        </w:rPr>
        <w:t>县</w:t>
      </w:r>
      <w:r>
        <w:rPr>
          <w:rFonts w:hint="eastAsia" w:ascii="宋体" w:hAnsi="宋体" w:cs="仿3f宋3f_GB2312"/>
          <w:b/>
          <w:bCs/>
          <w:kern w:val="0"/>
          <w:sz w:val="28"/>
          <w:szCs w:val="28"/>
        </w:rPr>
        <w:t>重点管控的涉重金属产业园区</w:t>
      </w:r>
    </w:p>
    <w:tbl>
      <w:tblPr>
        <w:tblStyle w:val="4"/>
        <w:tblW w:w="12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3938"/>
        <w:gridCol w:w="1968"/>
        <w:gridCol w:w="2166"/>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29" w:type="dxa"/>
            <w:vAlign w:val="center"/>
          </w:tcPr>
          <w:p>
            <w:pPr>
              <w:jc w:val="center"/>
              <w:rPr>
                <w:rFonts w:ascii="宋体" w:cs="宋体"/>
                <w:b/>
                <w:sz w:val="28"/>
                <w:szCs w:val="28"/>
              </w:rPr>
            </w:pPr>
            <w:r>
              <w:rPr>
                <w:rFonts w:hint="eastAsia" w:ascii="宋体" w:hAnsi="宋体" w:cs="宋体"/>
                <w:b/>
                <w:sz w:val="28"/>
                <w:szCs w:val="28"/>
              </w:rPr>
              <w:t>县区</w:t>
            </w:r>
          </w:p>
        </w:tc>
        <w:tc>
          <w:tcPr>
            <w:tcW w:w="3938" w:type="dxa"/>
            <w:vAlign w:val="center"/>
          </w:tcPr>
          <w:p>
            <w:pPr>
              <w:jc w:val="center"/>
              <w:rPr>
                <w:rFonts w:ascii="宋体" w:cs="宋体"/>
                <w:b/>
                <w:sz w:val="28"/>
                <w:szCs w:val="28"/>
              </w:rPr>
            </w:pPr>
            <w:r>
              <w:rPr>
                <w:rFonts w:hint="eastAsia" w:ascii="宋体" w:hAnsi="宋体" w:cs="宋体"/>
                <w:b/>
                <w:sz w:val="28"/>
                <w:szCs w:val="28"/>
              </w:rPr>
              <w:t>园区名称</w:t>
            </w:r>
          </w:p>
        </w:tc>
        <w:tc>
          <w:tcPr>
            <w:tcW w:w="1968" w:type="dxa"/>
            <w:vAlign w:val="center"/>
          </w:tcPr>
          <w:p>
            <w:pPr>
              <w:jc w:val="center"/>
              <w:rPr>
                <w:rFonts w:ascii="宋体" w:cs="宋体"/>
                <w:b/>
                <w:sz w:val="28"/>
                <w:szCs w:val="28"/>
              </w:rPr>
            </w:pPr>
            <w:r>
              <w:rPr>
                <w:rFonts w:hint="eastAsia" w:ascii="宋体" w:hAnsi="宋体" w:cs="宋体"/>
                <w:b/>
                <w:sz w:val="28"/>
                <w:szCs w:val="28"/>
              </w:rPr>
              <w:t>成立时间</w:t>
            </w:r>
          </w:p>
        </w:tc>
        <w:tc>
          <w:tcPr>
            <w:tcW w:w="2166" w:type="dxa"/>
            <w:vAlign w:val="center"/>
          </w:tcPr>
          <w:p>
            <w:pPr>
              <w:jc w:val="center"/>
              <w:rPr>
                <w:rFonts w:ascii="宋体" w:cs="宋体"/>
                <w:b/>
                <w:sz w:val="28"/>
                <w:szCs w:val="28"/>
              </w:rPr>
            </w:pPr>
            <w:r>
              <w:rPr>
                <w:rFonts w:hint="eastAsia" w:ascii="宋体" w:hAnsi="宋体" w:cs="宋体"/>
                <w:b/>
                <w:sz w:val="28"/>
                <w:szCs w:val="28"/>
              </w:rPr>
              <w:t>园区级别</w:t>
            </w:r>
          </w:p>
        </w:tc>
        <w:tc>
          <w:tcPr>
            <w:tcW w:w="2720" w:type="dxa"/>
            <w:vAlign w:val="center"/>
          </w:tcPr>
          <w:p>
            <w:pPr>
              <w:jc w:val="center"/>
              <w:rPr>
                <w:rFonts w:ascii="宋体" w:cs="宋体"/>
                <w:b/>
                <w:sz w:val="28"/>
                <w:szCs w:val="28"/>
              </w:rPr>
            </w:pPr>
            <w:r>
              <w:rPr>
                <w:rFonts w:hint="eastAsia" w:ascii="宋体" w:hAnsi="宋体" w:cs="宋体"/>
                <w:b/>
                <w:sz w:val="28"/>
                <w:szCs w:val="28"/>
              </w:rPr>
              <w:t>涉重金属产业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529" w:type="dxa"/>
            <w:vAlign w:val="center"/>
          </w:tcPr>
          <w:p>
            <w:pPr>
              <w:jc w:val="left"/>
              <w:rPr>
                <w:rFonts w:ascii="宋体" w:cs="宋体"/>
                <w:sz w:val="28"/>
                <w:szCs w:val="28"/>
              </w:rPr>
            </w:pPr>
            <w:r>
              <w:rPr>
                <w:rFonts w:hint="eastAsia" w:ascii="宋体" w:hAnsi="宋体" w:cs="宋体"/>
                <w:sz w:val="28"/>
                <w:szCs w:val="28"/>
              </w:rPr>
              <w:t>全州县</w:t>
            </w:r>
          </w:p>
        </w:tc>
        <w:tc>
          <w:tcPr>
            <w:tcW w:w="3938" w:type="dxa"/>
            <w:vAlign w:val="center"/>
          </w:tcPr>
          <w:p>
            <w:pPr>
              <w:jc w:val="left"/>
              <w:rPr>
                <w:rFonts w:ascii="宋体" w:cs="宋体"/>
                <w:sz w:val="28"/>
                <w:szCs w:val="28"/>
              </w:rPr>
            </w:pPr>
            <w:r>
              <w:rPr>
                <w:rFonts w:hint="eastAsia" w:ascii="宋体" w:hAnsi="宋体" w:cs="宋体"/>
                <w:sz w:val="28"/>
                <w:szCs w:val="28"/>
              </w:rPr>
              <w:t>全州县工业集中区</w:t>
            </w:r>
          </w:p>
        </w:tc>
        <w:tc>
          <w:tcPr>
            <w:tcW w:w="1968" w:type="dxa"/>
            <w:vAlign w:val="center"/>
          </w:tcPr>
          <w:p>
            <w:pPr>
              <w:jc w:val="center"/>
              <w:rPr>
                <w:rFonts w:ascii="宋体" w:cs="宋体"/>
                <w:sz w:val="28"/>
                <w:szCs w:val="28"/>
              </w:rPr>
            </w:pPr>
            <w:r>
              <w:rPr>
                <w:rFonts w:ascii="宋体" w:cs="宋体"/>
                <w:sz w:val="28"/>
                <w:szCs w:val="28"/>
              </w:rPr>
              <w:t>2007</w:t>
            </w:r>
            <w:r>
              <w:rPr>
                <w:rFonts w:hint="eastAsia" w:ascii="宋体" w:cs="宋体"/>
                <w:sz w:val="28"/>
                <w:szCs w:val="28"/>
              </w:rPr>
              <w:t>年</w:t>
            </w:r>
          </w:p>
        </w:tc>
        <w:tc>
          <w:tcPr>
            <w:tcW w:w="2166" w:type="dxa"/>
            <w:vAlign w:val="center"/>
          </w:tcPr>
          <w:p>
            <w:pPr>
              <w:jc w:val="center"/>
              <w:rPr>
                <w:rFonts w:ascii="宋体" w:cs="宋体"/>
                <w:sz w:val="28"/>
                <w:szCs w:val="28"/>
              </w:rPr>
            </w:pPr>
            <w:r>
              <w:rPr>
                <w:rFonts w:hint="eastAsia" w:ascii="宋体" w:hAnsi="宋体" w:cs="宋体"/>
                <w:sz w:val="28"/>
                <w:szCs w:val="28"/>
              </w:rPr>
              <w:t>县级</w:t>
            </w:r>
          </w:p>
        </w:tc>
        <w:tc>
          <w:tcPr>
            <w:tcW w:w="2720" w:type="dxa"/>
            <w:vAlign w:val="center"/>
          </w:tcPr>
          <w:p>
            <w:pPr>
              <w:jc w:val="center"/>
              <w:rPr>
                <w:rFonts w:ascii="宋体" w:cs="宋体"/>
                <w:sz w:val="28"/>
                <w:szCs w:val="28"/>
              </w:rPr>
            </w:pPr>
            <w:r>
              <w:rPr>
                <w:rFonts w:hint="eastAsia" w:ascii="宋体" w:hAnsi="宋体" w:cs="宋体"/>
                <w:sz w:val="28"/>
                <w:szCs w:val="28"/>
              </w:rPr>
              <w:t>冶炼</w:t>
            </w:r>
          </w:p>
        </w:tc>
      </w:tr>
    </w:tbl>
    <w:p>
      <w:pPr>
        <w:autoSpaceDE w:val="0"/>
        <w:autoSpaceDN w:val="0"/>
        <w:adjustRightInd w:val="0"/>
        <w:rPr>
          <w:rFonts w:ascii="宋体" w:cs="仿3f宋3f_GB2312"/>
          <w:bCs/>
          <w:kern w:val="0"/>
          <w:sz w:val="28"/>
          <w:szCs w:val="28"/>
        </w:rPr>
      </w:pPr>
    </w:p>
    <w:p>
      <w:pPr>
        <w:adjustRightInd w:val="0"/>
        <w:snapToGrid w:val="0"/>
        <w:spacing w:line="288" w:lineRule="auto"/>
        <w:rPr>
          <w:b/>
          <w:sz w:val="32"/>
          <w:szCs w:val="32"/>
        </w:rPr>
      </w:pPr>
    </w:p>
    <w:sectPr>
      <w:pgSz w:w="16838" w:h="11906" w:orient="landscape"/>
      <w:pgMar w:top="1701" w:right="1247"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3f宋3f_GB2312">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30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RmNDc3OGQ4OTg3MmRmOTU1YjliY2U4MTdlYzU0ZTcifQ=="/>
  </w:docVars>
  <w:rsids>
    <w:rsidRoot w:val="00FD057C"/>
    <w:rsid w:val="000040A8"/>
    <w:rsid w:val="00007176"/>
    <w:rsid w:val="00036124"/>
    <w:rsid w:val="00050FC1"/>
    <w:rsid w:val="00064F5F"/>
    <w:rsid w:val="0006790D"/>
    <w:rsid w:val="0008788D"/>
    <w:rsid w:val="000A189B"/>
    <w:rsid w:val="000C0570"/>
    <w:rsid w:val="000C0CD2"/>
    <w:rsid w:val="000E0F91"/>
    <w:rsid w:val="000E6777"/>
    <w:rsid w:val="00124A87"/>
    <w:rsid w:val="00134315"/>
    <w:rsid w:val="00146542"/>
    <w:rsid w:val="00153314"/>
    <w:rsid w:val="00154A70"/>
    <w:rsid w:val="00163F30"/>
    <w:rsid w:val="00171FB5"/>
    <w:rsid w:val="001848A6"/>
    <w:rsid w:val="0018602A"/>
    <w:rsid w:val="0019648D"/>
    <w:rsid w:val="00197B38"/>
    <w:rsid w:val="001A4672"/>
    <w:rsid w:val="001D1308"/>
    <w:rsid w:val="001E07DF"/>
    <w:rsid w:val="001E4F3F"/>
    <w:rsid w:val="001F36B8"/>
    <w:rsid w:val="001F6F27"/>
    <w:rsid w:val="002607C9"/>
    <w:rsid w:val="002618F1"/>
    <w:rsid w:val="002631EE"/>
    <w:rsid w:val="0026796D"/>
    <w:rsid w:val="002907A9"/>
    <w:rsid w:val="002B08D3"/>
    <w:rsid w:val="002B6620"/>
    <w:rsid w:val="002E3E28"/>
    <w:rsid w:val="002E5A1D"/>
    <w:rsid w:val="00303864"/>
    <w:rsid w:val="00316EF6"/>
    <w:rsid w:val="00317FE3"/>
    <w:rsid w:val="00322191"/>
    <w:rsid w:val="00347F22"/>
    <w:rsid w:val="003540C9"/>
    <w:rsid w:val="0035747C"/>
    <w:rsid w:val="00397BEC"/>
    <w:rsid w:val="003B7599"/>
    <w:rsid w:val="003B75EF"/>
    <w:rsid w:val="003C4E26"/>
    <w:rsid w:val="003D5E7A"/>
    <w:rsid w:val="003E49AD"/>
    <w:rsid w:val="004053E3"/>
    <w:rsid w:val="00424D4E"/>
    <w:rsid w:val="00427952"/>
    <w:rsid w:val="004312F4"/>
    <w:rsid w:val="00434C29"/>
    <w:rsid w:val="00441F89"/>
    <w:rsid w:val="004515BB"/>
    <w:rsid w:val="004540DE"/>
    <w:rsid w:val="00462BC3"/>
    <w:rsid w:val="00471010"/>
    <w:rsid w:val="00471F8C"/>
    <w:rsid w:val="004825BE"/>
    <w:rsid w:val="004B4DB6"/>
    <w:rsid w:val="004E163D"/>
    <w:rsid w:val="004E5D37"/>
    <w:rsid w:val="004F12F7"/>
    <w:rsid w:val="004F51DD"/>
    <w:rsid w:val="00506C36"/>
    <w:rsid w:val="0052128F"/>
    <w:rsid w:val="005239A3"/>
    <w:rsid w:val="00525AF6"/>
    <w:rsid w:val="005269A9"/>
    <w:rsid w:val="0053497E"/>
    <w:rsid w:val="00556DCF"/>
    <w:rsid w:val="00573CE6"/>
    <w:rsid w:val="005A434B"/>
    <w:rsid w:val="005C01A0"/>
    <w:rsid w:val="005D74DA"/>
    <w:rsid w:val="005E3029"/>
    <w:rsid w:val="00602F9A"/>
    <w:rsid w:val="006142DC"/>
    <w:rsid w:val="00621C10"/>
    <w:rsid w:val="00644175"/>
    <w:rsid w:val="00644CD3"/>
    <w:rsid w:val="00656163"/>
    <w:rsid w:val="0066013D"/>
    <w:rsid w:val="00680832"/>
    <w:rsid w:val="006A0E0F"/>
    <w:rsid w:val="006B537D"/>
    <w:rsid w:val="006C51E0"/>
    <w:rsid w:val="006D25F2"/>
    <w:rsid w:val="006E08C7"/>
    <w:rsid w:val="006F682F"/>
    <w:rsid w:val="00717DE9"/>
    <w:rsid w:val="007330E3"/>
    <w:rsid w:val="00736294"/>
    <w:rsid w:val="00742A0B"/>
    <w:rsid w:val="007503D9"/>
    <w:rsid w:val="00750C19"/>
    <w:rsid w:val="007834D3"/>
    <w:rsid w:val="007934F2"/>
    <w:rsid w:val="007A1445"/>
    <w:rsid w:val="007E4A62"/>
    <w:rsid w:val="0080190A"/>
    <w:rsid w:val="00821D46"/>
    <w:rsid w:val="00822D15"/>
    <w:rsid w:val="00824BFE"/>
    <w:rsid w:val="008550E6"/>
    <w:rsid w:val="00855CF7"/>
    <w:rsid w:val="008728C4"/>
    <w:rsid w:val="00877F44"/>
    <w:rsid w:val="008A1449"/>
    <w:rsid w:val="008A1469"/>
    <w:rsid w:val="008A5DF1"/>
    <w:rsid w:val="008B0227"/>
    <w:rsid w:val="008C54C3"/>
    <w:rsid w:val="008D606B"/>
    <w:rsid w:val="008E2017"/>
    <w:rsid w:val="008F4528"/>
    <w:rsid w:val="00925BC2"/>
    <w:rsid w:val="00960EF1"/>
    <w:rsid w:val="00970CAD"/>
    <w:rsid w:val="00974DBD"/>
    <w:rsid w:val="00994B28"/>
    <w:rsid w:val="009A6EF8"/>
    <w:rsid w:val="009D26E2"/>
    <w:rsid w:val="009D3C8A"/>
    <w:rsid w:val="009E4F6A"/>
    <w:rsid w:val="009F7C67"/>
    <w:rsid w:val="00A058DB"/>
    <w:rsid w:val="00A20610"/>
    <w:rsid w:val="00A20B57"/>
    <w:rsid w:val="00A33AF9"/>
    <w:rsid w:val="00A50A48"/>
    <w:rsid w:val="00A547E0"/>
    <w:rsid w:val="00A57051"/>
    <w:rsid w:val="00A60AF0"/>
    <w:rsid w:val="00A67775"/>
    <w:rsid w:val="00A758F4"/>
    <w:rsid w:val="00A77541"/>
    <w:rsid w:val="00A82493"/>
    <w:rsid w:val="00A96F36"/>
    <w:rsid w:val="00A970E2"/>
    <w:rsid w:val="00AA4333"/>
    <w:rsid w:val="00AB122D"/>
    <w:rsid w:val="00AC6769"/>
    <w:rsid w:val="00AC6EFF"/>
    <w:rsid w:val="00AD6472"/>
    <w:rsid w:val="00AE314D"/>
    <w:rsid w:val="00AE41C2"/>
    <w:rsid w:val="00AF0E5D"/>
    <w:rsid w:val="00B10AAB"/>
    <w:rsid w:val="00B13F90"/>
    <w:rsid w:val="00B1712F"/>
    <w:rsid w:val="00B45943"/>
    <w:rsid w:val="00B51DA0"/>
    <w:rsid w:val="00B6420E"/>
    <w:rsid w:val="00B648AB"/>
    <w:rsid w:val="00B758E4"/>
    <w:rsid w:val="00B76E63"/>
    <w:rsid w:val="00B822BC"/>
    <w:rsid w:val="00B85E1A"/>
    <w:rsid w:val="00B87A0B"/>
    <w:rsid w:val="00B92027"/>
    <w:rsid w:val="00B921E4"/>
    <w:rsid w:val="00BB4529"/>
    <w:rsid w:val="00BB5471"/>
    <w:rsid w:val="00BC0691"/>
    <w:rsid w:val="00BE27C9"/>
    <w:rsid w:val="00BE2911"/>
    <w:rsid w:val="00C02B75"/>
    <w:rsid w:val="00C1111A"/>
    <w:rsid w:val="00C17D58"/>
    <w:rsid w:val="00C21F6A"/>
    <w:rsid w:val="00C2555C"/>
    <w:rsid w:val="00C54B97"/>
    <w:rsid w:val="00C6119F"/>
    <w:rsid w:val="00C9463F"/>
    <w:rsid w:val="00CB41C0"/>
    <w:rsid w:val="00CC4AE6"/>
    <w:rsid w:val="00CC794B"/>
    <w:rsid w:val="00CE50E4"/>
    <w:rsid w:val="00D02396"/>
    <w:rsid w:val="00D30766"/>
    <w:rsid w:val="00D31EF6"/>
    <w:rsid w:val="00D3531B"/>
    <w:rsid w:val="00D450EB"/>
    <w:rsid w:val="00D56588"/>
    <w:rsid w:val="00D77774"/>
    <w:rsid w:val="00D828E1"/>
    <w:rsid w:val="00D967DC"/>
    <w:rsid w:val="00DB28D5"/>
    <w:rsid w:val="00DC0948"/>
    <w:rsid w:val="00DC10DE"/>
    <w:rsid w:val="00DF79EE"/>
    <w:rsid w:val="00E17E08"/>
    <w:rsid w:val="00E20C3F"/>
    <w:rsid w:val="00E346F2"/>
    <w:rsid w:val="00E727D0"/>
    <w:rsid w:val="00E813E3"/>
    <w:rsid w:val="00E848C4"/>
    <w:rsid w:val="00E96496"/>
    <w:rsid w:val="00EA7CE2"/>
    <w:rsid w:val="00ED1FD2"/>
    <w:rsid w:val="00EF0592"/>
    <w:rsid w:val="00F06D41"/>
    <w:rsid w:val="00F10A46"/>
    <w:rsid w:val="00F26B39"/>
    <w:rsid w:val="00F84662"/>
    <w:rsid w:val="00FA3611"/>
    <w:rsid w:val="00FA543B"/>
    <w:rsid w:val="00FC1536"/>
    <w:rsid w:val="00FD057C"/>
    <w:rsid w:val="00FD448D"/>
    <w:rsid w:val="00FE20E0"/>
    <w:rsid w:val="02564049"/>
    <w:rsid w:val="03E515D5"/>
    <w:rsid w:val="05C03803"/>
    <w:rsid w:val="061558A4"/>
    <w:rsid w:val="063A4A43"/>
    <w:rsid w:val="06CA0709"/>
    <w:rsid w:val="083E1491"/>
    <w:rsid w:val="084701FE"/>
    <w:rsid w:val="09E5015A"/>
    <w:rsid w:val="0AD75239"/>
    <w:rsid w:val="0AE135F9"/>
    <w:rsid w:val="0E3B3075"/>
    <w:rsid w:val="0F272AEC"/>
    <w:rsid w:val="115A2034"/>
    <w:rsid w:val="11BA19C7"/>
    <w:rsid w:val="12184DE3"/>
    <w:rsid w:val="12B90ED6"/>
    <w:rsid w:val="13322C95"/>
    <w:rsid w:val="14185C77"/>
    <w:rsid w:val="18785924"/>
    <w:rsid w:val="1B306D2F"/>
    <w:rsid w:val="1D3E29EB"/>
    <w:rsid w:val="1D476301"/>
    <w:rsid w:val="1ECE5CBB"/>
    <w:rsid w:val="1F5E1073"/>
    <w:rsid w:val="24201AD9"/>
    <w:rsid w:val="2588668A"/>
    <w:rsid w:val="2719287A"/>
    <w:rsid w:val="277D5722"/>
    <w:rsid w:val="27BD32F5"/>
    <w:rsid w:val="293B4F39"/>
    <w:rsid w:val="2FDA7BD9"/>
    <w:rsid w:val="31D8064F"/>
    <w:rsid w:val="31EE6129"/>
    <w:rsid w:val="354706FE"/>
    <w:rsid w:val="360B06B4"/>
    <w:rsid w:val="37B6148F"/>
    <w:rsid w:val="381E48C8"/>
    <w:rsid w:val="38A8004A"/>
    <w:rsid w:val="3A826DBD"/>
    <w:rsid w:val="3AA9391E"/>
    <w:rsid w:val="3AAB632A"/>
    <w:rsid w:val="3C026745"/>
    <w:rsid w:val="3CE33F27"/>
    <w:rsid w:val="3FB85F0D"/>
    <w:rsid w:val="42957708"/>
    <w:rsid w:val="42B7184A"/>
    <w:rsid w:val="433015D3"/>
    <w:rsid w:val="489850C1"/>
    <w:rsid w:val="48E46254"/>
    <w:rsid w:val="4B7822C8"/>
    <w:rsid w:val="4FDE56AB"/>
    <w:rsid w:val="50B76D72"/>
    <w:rsid w:val="521002C8"/>
    <w:rsid w:val="523878F5"/>
    <w:rsid w:val="53903132"/>
    <w:rsid w:val="54F26B18"/>
    <w:rsid w:val="56656374"/>
    <w:rsid w:val="568854C4"/>
    <w:rsid w:val="599762E4"/>
    <w:rsid w:val="5C343331"/>
    <w:rsid w:val="5C711EF9"/>
    <w:rsid w:val="5DFF67E0"/>
    <w:rsid w:val="60A870AD"/>
    <w:rsid w:val="634078A0"/>
    <w:rsid w:val="64041F7F"/>
    <w:rsid w:val="65F94599"/>
    <w:rsid w:val="66731157"/>
    <w:rsid w:val="67700A03"/>
    <w:rsid w:val="67FB6CD4"/>
    <w:rsid w:val="6C446EA8"/>
    <w:rsid w:val="6D6B7779"/>
    <w:rsid w:val="6F17475A"/>
    <w:rsid w:val="6FA42EF3"/>
    <w:rsid w:val="70486EC9"/>
    <w:rsid w:val="73EA3D63"/>
    <w:rsid w:val="74C17875"/>
    <w:rsid w:val="77B56487"/>
    <w:rsid w:val="788B7B0B"/>
    <w:rsid w:val="79F0317F"/>
    <w:rsid w:val="7B8236AC"/>
    <w:rsid w:val="7C3C2779"/>
    <w:rsid w:val="7F0C70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oter Char"/>
    <w:basedOn w:val="6"/>
    <w:link w:val="2"/>
    <w:semiHidden/>
    <w:qFormat/>
    <w:locked/>
    <w:uiPriority w:val="99"/>
    <w:rPr>
      <w:rFonts w:cs="Times New Roman"/>
      <w:kern w:val="2"/>
      <w:sz w:val="18"/>
      <w:szCs w:val="18"/>
    </w:rPr>
  </w:style>
  <w:style w:type="character" w:customStyle="1" w:styleId="8">
    <w:name w:val="Header Char"/>
    <w:basedOn w:val="6"/>
    <w:link w:val="3"/>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31</Pages>
  <Words>2605</Words>
  <Characters>14851</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2017-07-10T14:22:00Z</dcterms:created>
  <dc:creator>Administrator</dc:creator>
  <cp:lastModifiedBy>半步</cp:lastModifiedBy>
  <dcterms:modified xsi:type="dcterms:W3CDTF">2023-10-12T09:16:21Z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EB049799AADA4764875B25BFF6616856</vt:lpwstr>
  </property>
</Properties>
</file>