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rPr>
      </w:pPr>
      <w:r>
        <w:rPr>
          <w:rFonts w:hint="eastAsia" w:ascii="黑体" w:hAnsi="黑体" w:eastAsia="黑体" w:cs="黑体"/>
          <w:sz w:val="32"/>
          <w:szCs w:val="32"/>
        </w:rPr>
        <w:t>附件</w:t>
      </w:r>
    </w:p>
    <w:p>
      <w:pPr>
        <w:pStyle w:val="2"/>
        <w:rPr>
          <w:rFonts w:hint="eastAsia"/>
        </w:rPr>
      </w:pPr>
    </w:p>
    <w:tbl>
      <w:tblPr>
        <w:tblStyle w:val="8"/>
        <w:tblW w:w="10624" w:type="dxa"/>
        <w:tblInd w:w="-738" w:type="dxa"/>
        <w:tblLayout w:type="autofit"/>
        <w:tblCellMar>
          <w:top w:w="0" w:type="dxa"/>
          <w:left w:w="108" w:type="dxa"/>
          <w:bottom w:w="0" w:type="dxa"/>
          <w:right w:w="108" w:type="dxa"/>
        </w:tblCellMar>
      </w:tblPr>
      <w:tblGrid>
        <w:gridCol w:w="600"/>
        <w:gridCol w:w="1467"/>
        <w:gridCol w:w="1682"/>
        <w:gridCol w:w="4187"/>
        <w:gridCol w:w="1095"/>
        <w:gridCol w:w="1553"/>
        <w:gridCol w:w="40"/>
      </w:tblGrid>
      <w:tr>
        <w:tblPrEx>
          <w:tblCellMar>
            <w:top w:w="0" w:type="dxa"/>
            <w:left w:w="108" w:type="dxa"/>
            <w:bottom w:w="0" w:type="dxa"/>
            <w:right w:w="108" w:type="dxa"/>
          </w:tblCellMar>
        </w:tblPrEx>
        <w:trPr>
          <w:gridAfter w:val="1"/>
          <w:wAfter w:w="40" w:type="dxa"/>
          <w:trHeight w:val="90" w:hRule="atLeast"/>
        </w:trPr>
        <w:tc>
          <w:tcPr>
            <w:tcW w:w="10584" w:type="dxa"/>
            <w:gridSpan w:val="6"/>
            <w:tcBorders>
              <w:top w:val="nil"/>
              <w:left w:val="nil"/>
              <w:bottom w:val="single" w:color="auto" w:sz="4" w:space="0"/>
              <w:right w:val="nil"/>
            </w:tcBorders>
            <w:noWrap/>
            <w:vAlign w:val="center"/>
          </w:tcPr>
          <w:p>
            <w:pPr>
              <w:widowControl/>
              <w:jc w:val="center"/>
              <w:rPr>
                <w:rFonts w:ascii="Times New Roman" w:hAnsi="Times New Roman"/>
                <w:color w:val="000000"/>
                <w:kern w:val="0"/>
                <w:sz w:val="40"/>
                <w:szCs w:val="40"/>
              </w:rPr>
            </w:pPr>
            <w:r>
              <w:rPr>
                <w:rFonts w:hint="eastAsia" w:ascii="方正小标宋简体" w:hAnsi="方正小标宋简体" w:eastAsia="方正小标宋简体" w:cs="方正小标宋简体"/>
                <w:color w:val="000000"/>
                <w:kern w:val="0"/>
                <w:sz w:val="44"/>
                <w:szCs w:val="44"/>
                <w:lang w:eastAsia="zh-CN"/>
              </w:rPr>
              <w:t>全州县</w:t>
            </w:r>
            <w:r>
              <w:rPr>
                <w:rFonts w:hint="eastAsia" w:ascii="方正小标宋简体" w:hAnsi="方正小标宋简体" w:eastAsia="方正小标宋简体" w:cs="方正小标宋简体"/>
                <w:color w:val="000000"/>
                <w:kern w:val="0"/>
                <w:sz w:val="44"/>
                <w:szCs w:val="44"/>
              </w:rPr>
              <w:t>基本养老保险扩面征缴工作任务清单</w:t>
            </w:r>
          </w:p>
        </w:tc>
      </w:tr>
      <w:tr>
        <w:tblPrEx>
          <w:tblCellMar>
            <w:top w:w="0" w:type="dxa"/>
            <w:left w:w="108" w:type="dxa"/>
            <w:bottom w:w="0" w:type="dxa"/>
            <w:right w:w="108" w:type="dxa"/>
          </w:tblCellMar>
        </w:tblPrEx>
        <w:trPr>
          <w:trHeight w:val="555" w:hRule="atLeast"/>
        </w:trPr>
        <w:tc>
          <w:tcPr>
            <w:tcW w:w="600"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序号</w:t>
            </w:r>
          </w:p>
        </w:tc>
        <w:tc>
          <w:tcPr>
            <w:tcW w:w="1467" w:type="dxa"/>
            <w:tcBorders>
              <w:top w:val="nil"/>
              <w:left w:val="nil"/>
              <w:bottom w:val="single" w:color="auto" w:sz="4" w:space="0"/>
              <w:right w:val="single" w:color="auto" w:sz="4" w:space="0"/>
            </w:tcBorders>
            <w:noWrap w:val="0"/>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工作内容</w:t>
            </w:r>
          </w:p>
        </w:tc>
        <w:tc>
          <w:tcPr>
            <w:tcW w:w="1682" w:type="dxa"/>
            <w:tcBorders>
              <w:top w:val="nil"/>
              <w:left w:val="nil"/>
              <w:bottom w:val="single" w:color="auto" w:sz="4" w:space="0"/>
              <w:right w:val="single" w:color="auto" w:sz="4" w:space="0"/>
            </w:tcBorders>
            <w:noWrap w:val="0"/>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工作目标</w:t>
            </w:r>
          </w:p>
        </w:tc>
        <w:tc>
          <w:tcPr>
            <w:tcW w:w="4187" w:type="dxa"/>
            <w:tcBorders>
              <w:top w:val="nil"/>
              <w:left w:val="nil"/>
              <w:bottom w:val="single" w:color="auto" w:sz="4" w:space="0"/>
              <w:right w:val="single" w:color="auto" w:sz="4" w:space="0"/>
            </w:tcBorders>
            <w:noWrap w:val="0"/>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具体措施</w:t>
            </w:r>
          </w:p>
        </w:tc>
        <w:tc>
          <w:tcPr>
            <w:tcW w:w="1095" w:type="dxa"/>
            <w:tcBorders>
              <w:top w:val="nil"/>
              <w:left w:val="nil"/>
              <w:bottom w:val="single" w:color="auto" w:sz="4" w:space="0"/>
              <w:right w:val="single" w:color="auto" w:sz="4" w:space="0"/>
            </w:tcBorders>
            <w:noWrap w:val="0"/>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完成时限</w:t>
            </w:r>
          </w:p>
        </w:tc>
        <w:tc>
          <w:tcPr>
            <w:tcW w:w="1593" w:type="dxa"/>
            <w:gridSpan w:val="2"/>
            <w:tcBorders>
              <w:top w:val="nil"/>
              <w:left w:val="nil"/>
              <w:bottom w:val="single" w:color="auto" w:sz="4" w:space="0"/>
              <w:right w:val="single" w:color="auto" w:sz="4" w:space="0"/>
            </w:tcBorders>
            <w:noWrap w:val="0"/>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责任单位</w:t>
            </w:r>
          </w:p>
        </w:tc>
      </w:tr>
      <w:tr>
        <w:tblPrEx>
          <w:tblCellMar>
            <w:top w:w="0" w:type="dxa"/>
            <w:left w:w="108" w:type="dxa"/>
            <w:bottom w:w="0" w:type="dxa"/>
            <w:right w:w="108" w:type="dxa"/>
          </w:tblCellMar>
        </w:tblPrEx>
        <w:trPr>
          <w:trHeight w:val="1271" w:hRule="atLeast"/>
        </w:trPr>
        <w:tc>
          <w:tcPr>
            <w:tcW w:w="60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1</w:t>
            </w:r>
          </w:p>
        </w:tc>
        <w:tc>
          <w:tcPr>
            <w:tcW w:w="1467" w:type="dxa"/>
            <w:vMerge w:val="restart"/>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（一）全面压实</w:t>
            </w:r>
            <w:r>
              <w:rPr>
                <w:rFonts w:hint="eastAsia"/>
                <w:color w:val="000000"/>
                <w:kern w:val="0"/>
                <w:sz w:val="18"/>
                <w:szCs w:val="18"/>
                <w:lang w:eastAsia="zh-CN"/>
              </w:rPr>
              <w:t>乡（镇）</w:t>
            </w:r>
            <w:r>
              <w:rPr>
                <w:rFonts w:hint="eastAsia" w:ascii="Times New Roman" w:hAnsi="Times New Roman"/>
                <w:color w:val="000000"/>
                <w:kern w:val="0"/>
                <w:sz w:val="18"/>
                <w:szCs w:val="18"/>
              </w:rPr>
              <w:t>人民政府基本养老保险工作主体责任</w:t>
            </w:r>
          </w:p>
        </w:tc>
        <w:tc>
          <w:tcPr>
            <w:tcW w:w="1682"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1.</w:t>
            </w:r>
            <w:r>
              <w:rPr>
                <w:rFonts w:hint="eastAsia" w:ascii="宋体" w:hAnsi="宋体"/>
                <w:color w:val="000000"/>
                <w:kern w:val="0"/>
                <w:sz w:val="18"/>
                <w:szCs w:val="18"/>
              </w:rPr>
              <w:t>抓好扩面征缴工作的绩效考评。</w:t>
            </w:r>
          </w:p>
        </w:tc>
        <w:tc>
          <w:tcPr>
            <w:tcW w:w="4187"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1</w:t>
            </w:r>
            <w:r>
              <w:rPr>
                <w:rFonts w:hint="eastAsia" w:ascii="宋体" w:hAnsi="宋体"/>
                <w:color w:val="000000"/>
                <w:kern w:val="0"/>
                <w:sz w:val="18"/>
                <w:szCs w:val="18"/>
              </w:rPr>
              <w:t>）将基本养老保险入库参保率、基本养老保险费征缴、被征地农民参加基本养老保险等工作纳入各</w:t>
            </w:r>
            <w:r>
              <w:rPr>
                <w:rFonts w:hint="eastAsia" w:ascii="宋体" w:hAnsi="宋体"/>
                <w:color w:val="000000"/>
                <w:kern w:val="0"/>
                <w:sz w:val="18"/>
                <w:szCs w:val="18"/>
                <w:lang w:eastAsia="zh-CN"/>
              </w:rPr>
              <w:t>乡（镇）</w:t>
            </w:r>
            <w:r>
              <w:rPr>
                <w:rFonts w:hint="eastAsia" w:ascii="宋体" w:hAnsi="宋体"/>
                <w:color w:val="000000"/>
                <w:kern w:val="0"/>
                <w:sz w:val="18"/>
                <w:szCs w:val="18"/>
              </w:rPr>
              <w:t>人民政府重要工作和绩效考核范围。</w:t>
            </w:r>
          </w:p>
        </w:tc>
        <w:tc>
          <w:tcPr>
            <w:tcW w:w="1095"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2021</w:t>
            </w:r>
            <w:r>
              <w:rPr>
                <w:rFonts w:hint="eastAsia" w:ascii="宋体" w:hAnsi="宋体"/>
                <w:color w:val="000000"/>
                <w:kern w:val="0"/>
                <w:sz w:val="18"/>
                <w:szCs w:val="18"/>
              </w:rPr>
              <w:t>年</w:t>
            </w:r>
            <w:r>
              <w:rPr>
                <w:rFonts w:hint="eastAsia" w:cs="Times New Roman"/>
                <w:color w:val="000000"/>
                <w:kern w:val="0"/>
                <w:sz w:val="18"/>
                <w:szCs w:val="18"/>
                <w:lang w:val="en-US" w:eastAsia="zh-CN"/>
              </w:rPr>
              <w:t>10</w:t>
            </w:r>
            <w:r>
              <w:rPr>
                <w:rFonts w:hint="eastAsia" w:ascii="宋体" w:hAnsi="宋体"/>
                <w:color w:val="000000"/>
                <w:kern w:val="0"/>
                <w:sz w:val="18"/>
                <w:szCs w:val="18"/>
              </w:rPr>
              <w:t>月底</w:t>
            </w:r>
          </w:p>
        </w:tc>
        <w:tc>
          <w:tcPr>
            <w:tcW w:w="1593" w:type="dxa"/>
            <w:gridSpan w:val="2"/>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r>
              <w:rPr>
                <w:rFonts w:hint="eastAsia" w:ascii="Times New Roman" w:hAnsi="Times New Roman"/>
                <w:color w:val="000000"/>
                <w:kern w:val="0"/>
                <w:sz w:val="18"/>
                <w:szCs w:val="18"/>
                <w:lang w:eastAsia="zh-CN"/>
              </w:rPr>
              <w:t>县人力资源社会保障局</w:t>
            </w:r>
            <w:r>
              <w:rPr>
                <w:rFonts w:hint="eastAsia" w:ascii="Times New Roman" w:hAnsi="Times New Roman"/>
                <w:color w:val="000000"/>
                <w:kern w:val="0"/>
                <w:sz w:val="18"/>
                <w:szCs w:val="18"/>
              </w:rPr>
              <w:t>、财政</w:t>
            </w:r>
            <w:r>
              <w:rPr>
                <w:rFonts w:hint="eastAsia" w:ascii="Times New Roman" w:hAnsi="Times New Roman"/>
                <w:color w:val="000000"/>
                <w:kern w:val="0"/>
                <w:sz w:val="18"/>
                <w:szCs w:val="18"/>
                <w:lang w:eastAsia="zh-CN"/>
              </w:rPr>
              <w:t>局</w:t>
            </w:r>
            <w:r>
              <w:rPr>
                <w:rFonts w:hint="eastAsia" w:ascii="Times New Roman" w:hAnsi="Times New Roman"/>
                <w:color w:val="000000"/>
                <w:kern w:val="0"/>
                <w:sz w:val="18"/>
                <w:szCs w:val="18"/>
              </w:rPr>
              <w:t>、税务局</w:t>
            </w:r>
          </w:p>
        </w:tc>
      </w:tr>
      <w:tr>
        <w:tblPrEx>
          <w:tblCellMar>
            <w:top w:w="0" w:type="dxa"/>
            <w:left w:w="108" w:type="dxa"/>
            <w:bottom w:w="0" w:type="dxa"/>
            <w:right w:w="108" w:type="dxa"/>
          </w:tblCellMar>
        </w:tblPrEx>
        <w:trPr>
          <w:trHeight w:val="1056"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2.</w:t>
            </w:r>
            <w:r>
              <w:rPr>
                <w:rFonts w:hint="eastAsia" w:ascii="宋体" w:hAnsi="宋体"/>
                <w:color w:val="000000"/>
                <w:kern w:val="0"/>
                <w:sz w:val="18"/>
                <w:szCs w:val="18"/>
              </w:rPr>
              <w:t>落实企业职工基本养老保险激励约束机制。</w:t>
            </w:r>
          </w:p>
        </w:tc>
        <w:tc>
          <w:tcPr>
            <w:tcW w:w="4187"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2</w:t>
            </w:r>
            <w:r>
              <w:rPr>
                <w:rFonts w:hint="eastAsia" w:ascii="宋体" w:hAnsi="宋体"/>
                <w:color w:val="000000"/>
                <w:kern w:val="0"/>
                <w:sz w:val="18"/>
                <w:szCs w:val="18"/>
              </w:rPr>
              <w:t>）落实企业职工基本养老保险激励约束机制，对企业职工基本养老保险参保扩面、基金征缴等指标进行综合评估定级，进行结果通报、奖励、问责等。</w:t>
            </w:r>
          </w:p>
        </w:tc>
        <w:tc>
          <w:tcPr>
            <w:tcW w:w="1095"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2021</w:t>
            </w:r>
            <w:r>
              <w:rPr>
                <w:rFonts w:hint="eastAsia" w:ascii="宋体" w:hAnsi="宋体"/>
                <w:color w:val="000000"/>
                <w:kern w:val="0"/>
                <w:sz w:val="18"/>
                <w:szCs w:val="18"/>
              </w:rPr>
              <w:t>年起每年开展</w:t>
            </w:r>
          </w:p>
        </w:tc>
        <w:tc>
          <w:tcPr>
            <w:tcW w:w="1593" w:type="dxa"/>
            <w:gridSpan w:val="2"/>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lang w:eastAsia="zh-CN"/>
              </w:rPr>
              <w:t>县人力资源社会保障局</w:t>
            </w:r>
            <w:r>
              <w:rPr>
                <w:rFonts w:hint="eastAsia" w:ascii="Times New Roman" w:hAnsi="Times New Roman"/>
                <w:color w:val="000000"/>
                <w:kern w:val="0"/>
                <w:sz w:val="18"/>
                <w:szCs w:val="18"/>
              </w:rPr>
              <w:t>、财政</w:t>
            </w:r>
            <w:r>
              <w:rPr>
                <w:rFonts w:hint="eastAsia" w:ascii="Times New Roman" w:hAnsi="Times New Roman"/>
                <w:color w:val="000000"/>
                <w:kern w:val="0"/>
                <w:sz w:val="18"/>
                <w:szCs w:val="18"/>
                <w:lang w:eastAsia="zh-CN"/>
              </w:rPr>
              <w:t>局</w:t>
            </w:r>
            <w:r>
              <w:rPr>
                <w:rFonts w:hint="eastAsia" w:ascii="Times New Roman" w:hAnsi="Times New Roman"/>
                <w:color w:val="000000"/>
                <w:kern w:val="0"/>
                <w:sz w:val="18"/>
                <w:szCs w:val="18"/>
              </w:rPr>
              <w:t>、税务局</w:t>
            </w:r>
          </w:p>
        </w:tc>
      </w:tr>
      <w:tr>
        <w:tblPrEx>
          <w:tblCellMar>
            <w:top w:w="0" w:type="dxa"/>
            <w:left w:w="108" w:type="dxa"/>
            <w:bottom w:w="0" w:type="dxa"/>
            <w:right w:w="108" w:type="dxa"/>
          </w:tblCellMar>
        </w:tblPrEx>
        <w:trPr>
          <w:trHeight w:val="1502"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3.</w:t>
            </w:r>
            <w:r>
              <w:rPr>
                <w:rFonts w:hint="eastAsia" w:ascii="宋体" w:hAnsi="宋体"/>
                <w:color w:val="000000"/>
                <w:kern w:val="0"/>
                <w:sz w:val="18"/>
                <w:szCs w:val="18"/>
              </w:rPr>
              <w:t>落实基金征缴任务和基金缺口责任分担机制。</w:t>
            </w:r>
          </w:p>
        </w:tc>
        <w:tc>
          <w:tcPr>
            <w:tcW w:w="4187" w:type="dxa"/>
            <w:tcBorders>
              <w:top w:val="nil"/>
              <w:left w:val="nil"/>
              <w:bottom w:val="single" w:color="auto" w:sz="4" w:space="0"/>
              <w:right w:val="single" w:color="auto" w:sz="4" w:space="0"/>
            </w:tcBorders>
            <w:noWrap w:val="0"/>
            <w:vAlign w:val="center"/>
          </w:tcPr>
          <w:p>
            <w:pPr>
              <w:widowControl/>
              <w:spacing w:line="24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3</w:t>
            </w:r>
            <w:r>
              <w:rPr>
                <w:rFonts w:hint="eastAsia" w:ascii="宋体" w:hAnsi="宋体"/>
                <w:color w:val="000000"/>
                <w:kern w:val="0"/>
                <w:sz w:val="18"/>
                <w:szCs w:val="18"/>
              </w:rPr>
              <w:t>）各</w:t>
            </w:r>
            <w:r>
              <w:rPr>
                <w:rFonts w:hint="eastAsia" w:ascii="宋体" w:hAnsi="宋体"/>
                <w:color w:val="000000"/>
                <w:kern w:val="0"/>
                <w:sz w:val="18"/>
                <w:szCs w:val="18"/>
                <w:lang w:eastAsia="zh-CN"/>
              </w:rPr>
              <w:t>乡（镇）</w:t>
            </w:r>
            <w:r>
              <w:rPr>
                <w:rFonts w:hint="eastAsia" w:ascii="宋体" w:hAnsi="宋体"/>
                <w:color w:val="000000"/>
                <w:kern w:val="0"/>
                <w:sz w:val="18"/>
                <w:szCs w:val="18"/>
              </w:rPr>
              <w:t>人民政府落实本辖区基本养老保险基金征缴任务</w:t>
            </w:r>
            <w:r>
              <w:rPr>
                <w:rFonts w:hint="eastAsia" w:ascii="宋体" w:hAnsi="宋体"/>
                <w:color w:val="000000"/>
                <w:kern w:val="0"/>
                <w:sz w:val="18"/>
                <w:szCs w:val="18"/>
                <w:lang w:eastAsia="zh-CN"/>
              </w:rPr>
              <w:t>；</w:t>
            </w:r>
            <w:r>
              <w:rPr>
                <w:rFonts w:hint="eastAsia" w:ascii="宋体" w:hAnsi="宋体"/>
                <w:color w:val="000000"/>
                <w:kern w:val="0"/>
                <w:sz w:val="18"/>
                <w:szCs w:val="18"/>
              </w:rPr>
              <w:t>加强企业职工基本养老保险缴费基数核定，规范基本养老保险参保人员待遇审核，规范基金支出</w:t>
            </w:r>
            <w:r>
              <w:rPr>
                <w:rFonts w:hint="eastAsia" w:ascii="宋体" w:hAnsi="宋体"/>
                <w:color w:val="000000"/>
                <w:kern w:val="0"/>
                <w:sz w:val="18"/>
                <w:szCs w:val="18"/>
                <w:lang w:eastAsia="zh-CN"/>
              </w:rPr>
              <w:t>；</w:t>
            </w:r>
            <w:r>
              <w:rPr>
                <w:rFonts w:hint="eastAsia" w:ascii="宋体" w:hAnsi="宋体"/>
                <w:color w:val="000000"/>
                <w:kern w:val="0"/>
                <w:sz w:val="18"/>
                <w:szCs w:val="18"/>
              </w:rPr>
              <w:t>按规定落实企业职工基本养老保险基金缺口责任分担机制，确保基本养老保险金按时足额发放。</w:t>
            </w:r>
          </w:p>
        </w:tc>
        <w:tc>
          <w:tcPr>
            <w:tcW w:w="1095"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全年持续开展</w:t>
            </w:r>
          </w:p>
        </w:tc>
        <w:tc>
          <w:tcPr>
            <w:tcW w:w="1593" w:type="dxa"/>
            <w:gridSpan w:val="2"/>
            <w:tcBorders>
              <w:top w:val="nil"/>
              <w:left w:val="nil"/>
              <w:bottom w:val="single" w:color="auto" w:sz="4" w:space="0"/>
              <w:right w:val="single" w:color="auto" w:sz="4" w:space="0"/>
            </w:tcBorders>
            <w:noWrap w:val="0"/>
            <w:vAlign w:val="center"/>
          </w:tcPr>
          <w:p>
            <w:pPr>
              <w:widowControl/>
              <w:spacing w:line="260" w:lineRule="exact"/>
              <w:jc w:val="left"/>
              <w:rPr>
                <w:rFonts w:hint="eastAsia" w:ascii="Times New Roman" w:hAnsi="Times New Roman" w:eastAsia="宋体"/>
                <w:color w:val="000000"/>
                <w:kern w:val="0"/>
                <w:sz w:val="18"/>
                <w:szCs w:val="18"/>
                <w:lang w:eastAsia="zh-CN"/>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r>
              <w:rPr>
                <w:rFonts w:hint="eastAsia" w:ascii="Times New Roman" w:hAnsi="Times New Roman"/>
                <w:color w:val="000000"/>
                <w:kern w:val="0"/>
                <w:sz w:val="18"/>
                <w:szCs w:val="18"/>
                <w:lang w:eastAsia="zh-CN"/>
              </w:rPr>
              <w:t>县</w:t>
            </w:r>
            <w:r>
              <w:rPr>
                <w:rFonts w:hint="eastAsia" w:ascii="Times New Roman" w:hAnsi="Times New Roman"/>
                <w:color w:val="000000"/>
                <w:kern w:val="0"/>
                <w:sz w:val="18"/>
                <w:szCs w:val="18"/>
              </w:rPr>
              <w:t>税务局、</w:t>
            </w:r>
            <w:r>
              <w:rPr>
                <w:rFonts w:hint="eastAsia" w:ascii="Times New Roman" w:hAnsi="Times New Roman"/>
                <w:color w:val="000000"/>
                <w:kern w:val="0"/>
                <w:sz w:val="18"/>
                <w:szCs w:val="18"/>
                <w:lang w:eastAsia="zh-CN"/>
              </w:rPr>
              <w:t>人力资源社会保障局</w:t>
            </w:r>
            <w:r>
              <w:rPr>
                <w:rFonts w:hint="eastAsia" w:ascii="Times New Roman" w:hAnsi="Times New Roman"/>
                <w:color w:val="000000"/>
                <w:kern w:val="0"/>
                <w:sz w:val="18"/>
                <w:szCs w:val="18"/>
              </w:rPr>
              <w:t>、财政</w:t>
            </w:r>
            <w:r>
              <w:rPr>
                <w:rFonts w:hint="eastAsia" w:ascii="Times New Roman" w:hAnsi="Times New Roman"/>
                <w:color w:val="000000"/>
                <w:kern w:val="0"/>
                <w:sz w:val="18"/>
                <w:szCs w:val="18"/>
                <w:lang w:eastAsia="zh-CN"/>
              </w:rPr>
              <w:t>局</w:t>
            </w:r>
          </w:p>
        </w:tc>
      </w:tr>
      <w:tr>
        <w:tblPrEx>
          <w:tblCellMar>
            <w:top w:w="0" w:type="dxa"/>
            <w:left w:w="108" w:type="dxa"/>
            <w:bottom w:w="0" w:type="dxa"/>
            <w:right w:w="108" w:type="dxa"/>
          </w:tblCellMar>
        </w:tblPrEx>
        <w:trPr>
          <w:trHeight w:val="1259" w:hRule="atLeast"/>
        </w:trPr>
        <w:tc>
          <w:tcPr>
            <w:tcW w:w="600" w:type="dxa"/>
            <w:vMerge w:val="restart"/>
            <w:tcBorders>
              <w:top w:val="nil"/>
              <w:left w:val="single" w:color="auto" w:sz="4" w:space="0"/>
              <w:bottom w:val="nil"/>
              <w:right w:val="single" w:color="auto" w:sz="4" w:space="0"/>
            </w:tcBorders>
            <w:noWrap w:val="0"/>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2</w:t>
            </w:r>
          </w:p>
        </w:tc>
        <w:tc>
          <w:tcPr>
            <w:tcW w:w="1467" w:type="dxa"/>
            <w:vMerge w:val="restart"/>
            <w:tcBorders>
              <w:top w:val="nil"/>
              <w:left w:val="nil"/>
              <w:bottom w:val="nil"/>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（二）全面加大扩面征缴工作力度</w:t>
            </w:r>
          </w:p>
        </w:tc>
        <w:tc>
          <w:tcPr>
            <w:tcW w:w="1682" w:type="dxa"/>
            <w:vMerge w:val="restart"/>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1.</w:t>
            </w:r>
            <w:r>
              <w:rPr>
                <w:rFonts w:hint="eastAsia" w:ascii="宋体" w:hAnsi="宋体"/>
                <w:color w:val="000000"/>
                <w:kern w:val="0"/>
                <w:sz w:val="18"/>
                <w:szCs w:val="18"/>
              </w:rPr>
              <w:t>摸清底数，精准扩面</w:t>
            </w:r>
          </w:p>
        </w:tc>
        <w:tc>
          <w:tcPr>
            <w:tcW w:w="4187"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1</w:t>
            </w:r>
            <w:r>
              <w:rPr>
                <w:rFonts w:hint="eastAsia" w:ascii="宋体" w:hAnsi="宋体"/>
                <w:color w:val="000000"/>
                <w:kern w:val="0"/>
                <w:sz w:val="18"/>
                <w:szCs w:val="18"/>
              </w:rPr>
              <w:t>）健全全民参保数据库，摸清基本养老保险应保未保人员底数，尤其是企业职工、农村低收入人口、被征地农民、临近领取养老保险待遇年龄未参保城乡居民的底数并实施动态管理，实现实时向</w:t>
            </w:r>
            <w:r>
              <w:rPr>
                <w:rFonts w:hint="eastAsia" w:ascii="宋体" w:hAnsi="宋体"/>
                <w:color w:val="000000"/>
                <w:kern w:val="0"/>
                <w:sz w:val="18"/>
                <w:szCs w:val="18"/>
                <w:lang w:eastAsia="zh-CN"/>
              </w:rPr>
              <w:t>乡（镇）</w:t>
            </w:r>
            <w:r>
              <w:rPr>
                <w:rFonts w:hint="eastAsia" w:ascii="宋体" w:hAnsi="宋体"/>
                <w:color w:val="000000"/>
                <w:kern w:val="0"/>
                <w:sz w:val="18"/>
                <w:szCs w:val="18"/>
              </w:rPr>
              <w:t>推送相关数据。</w:t>
            </w:r>
          </w:p>
        </w:tc>
        <w:tc>
          <w:tcPr>
            <w:tcW w:w="1095" w:type="dxa"/>
            <w:vMerge w:val="restart"/>
            <w:tcBorders>
              <w:top w:val="nil"/>
              <w:left w:val="nil"/>
              <w:bottom w:val="single" w:color="000000"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全年持续开展</w:t>
            </w:r>
          </w:p>
        </w:tc>
        <w:tc>
          <w:tcPr>
            <w:tcW w:w="1593" w:type="dxa"/>
            <w:gridSpan w:val="2"/>
            <w:tcBorders>
              <w:top w:val="nil"/>
              <w:left w:val="nil"/>
              <w:bottom w:val="single" w:color="auto" w:sz="4" w:space="0"/>
              <w:right w:val="single" w:color="auto" w:sz="4" w:space="0"/>
            </w:tcBorders>
            <w:noWrap w:val="0"/>
            <w:vAlign w:val="center"/>
          </w:tcPr>
          <w:p>
            <w:pPr>
              <w:widowControl/>
              <w:spacing w:line="260" w:lineRule="exact"/>
              <w:jc w:val="left"/>
              <w:rPr>
                <w:rFonts w:hint="eastAsia" w:ascii="Times New Roman" w:hAnsi="Times New Roman" w:eastAsia="宋体"/>
                <w:color w:val="000000"/>
                <w:spacing w:val="-8"/>
                <w:kern w:val="0"/>
                <w:sz w:val="18"/>
                <w:szCs w:val="18"/>
                <w:lang w:eastAsia="zh-CN"/>
              </w:rPr>
            </w:pPr>
            <w:r>
              <w:rPr>
                <w:rFonts w:hint="eastAsia" w:ascii="Times New Roman" w:hAnsi="Times New Roman"/>
                <w:color w:val="000000"/>
                <w:spacing w:val="-8"/>
                <w:kern w:val="0"/>
                <w:sz w:val="18"/>
                <w:szCs w:val="18"/>
              </w:rPr>
              <w:t>各</w:t>
            </w:r>
            <w:r>
              <w:rPr>
                <w:rFonts w:hint="eastAsia"/>
                <w:color w:val="000000"/>
                <w:spacing w:val="-8"/>
                <w:kern w:val="0"/>
                <w:sz w:val="18"/>
                <w:szCs w:val="18"/>
                <w:lang w:eastAsia="zh-CN"/>
              </w:rPr>
              <w:t>乡（镇）</w:t>
            </w:r>
            <w:r>
              <w:rPr>
                <w:rFonts w:hint="eastAsia" w:ascii="Times New Roman" w:hAnsi="Times New Roman"/>
                <w:color w:val="000000"/>
                <w:spacing w:val="-8"/>
                <w:kern w:val="0"/>
                <w:sz w:val="18"/>
                <w:szCs w:val="18"/>
              </w:rPr>
              <w:t>人民政府，</w:t>
            </w:r>
            <w:r>
              <w:rPr>
                <w:rFonts w:hint="eastAsia" w:ascii="Times New Roman" w:hAnsi="Times New Roman"/>
                <w:color w:val="000000"/>
                <w:spacing w:val="-8"/>
                <w:kern w:val="0"/>
                <w:sz w:val="18"/>
                <w:szCs w:val="18"/>
                <w:lang w:eastAsia="zh-CN"/>
              </w:rPr>
              <w:t>县人力资源社会保障局</w:t>
            </w:r>
            <w:r>
              <w:rPr>
                <w:rFonts w:hint="eastAsia" w:ascii="Times New Roman" w:hAnsi="Times New Roman"/>
                <w:color w:val="000000"/>
                <w:spacing w:val="-8"/>
                <w:kern w:val="0"/>
                <w:sz w:val="18"/>
                <w:szCs w:val="18"/>
              </w:rPr>
              <w:t>、税务局、自然资源</w:t>
            </w:r>
            <w:r>
              <w:rPr>
                <w:rFonts w:hint="eastAsia" w:ascii="Times New Roman" w:hAnsi="Times New Roman"/>
                <w:color w:val="000000"/>
                <w:spacing w:val="-8"/>
                <w:kern w:val="0"/>
                <w:sz w:val="18"/>
                <w:szCs w:val="18"/>
                <w:lang w:eastAsia="zh-CN"/>
              </w:rPr>
              <w:t>局</w:t>
            </w:r>
            <w:r>
              <w:rPr>
                <w:rFonts w:hint="eastAsia" w:ascii="Times New Roman" w:hAnsi="Times New Roman"/>
                <w:color w:val="000000"/>
                <w:spacing w:val="-8"/>
                <w:kern w:val="0"/>
                <w:sz w:val="18"/>
                <w:szCs w:val="18"/>
              </w:rPr>
              <w:t>、农业农村</w:t>
            </w:r>
            <w:r>
              <w:rPr>
                <w:rFonts w:hint="eastAsia" w:ascii="Times New Roman" w:hAnsi="Times New Roman"/>
                <w:color w:val="000000"/>
                <w:spacing w:val="-8"/>
                <w:kern w:val="0"/>
                <w:sz w:val="18"/>
                <w:szCs w:val="18"/>
                <w:lang w:eastAsia="zh-CN"/>
              </w:rPr>
              <w:t>局</w:t>
            </w:r>
            <w:r>
              <w:rPr>
                <w:rFonts w:hint="eastAsia" w:ascii="Times New Roman" w:hAnsi="Times New Roman"/>
                <w:color w:val="000000"/>
                <w:spacing w:val="-8"/>
                <w:kern w:val="0"/>
                <w:sz w:val="18"/>
                <w:szCs w:val="18"/>
              </w:rPr>
              <w:t>、公安</w:t>
            </w:r>
            <w:r>
              <w:rPr>
                <w:rFonts w:hint="eastAsia" w:ascii="Times New Roman" w:hAnsi="Times New Roman"/>
                <w:color w:val="000000"/>
                <w:spacing w:val="-8"/>
                <w:kern w:val="0"/>
                <w:sz w:val="18"/>
                <w:szCs w:val="18"/>
                <w:lang w:eastAsia="zh-CN"/>
              </w:rPr>
              <w:t>局</w:t>
            </w:r>
          </w:p>
        </w:tc>
      </w:tr>
      <w:tr>
        <w:tblPrEx>
          <w:tblCellMar>
            <w:top w:w="0" w:type="dxa"/>
            <w:left w:w="108" w:type="dxa"/>
            <w:bottom w:w="0" w:type="dxa"/>
            <w:right w:w="108" w:type="dxa"/>
          </w:tblCellMar>
        </w:tblPrEx>
        <w:trPr>
          <w:trHeight w:val="879" w:hRule="atLeast"/>
        </w:trPr>
        <w:tc>
          <w:tcPr>
            <w:tcW w:w="0" w:type="auto"/>
            <w:vMerge w:val="continue"/>
            <w:tcBorders>
              <w:top w:val="nil"/>
              <w:left w:val="single" w:color="auto" w:sz="4" w:space="0"/>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top w:val="nil"/>
              <w:left w:val="nil"/>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4187"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2</w:t>
            </w:r>
            <w:r>
              <w:rPr>
                <w:rFonts w:hint="eastAsia" w:ascii="宋体" w:hAnsi="宋体"/>
                <w:color w:val="000000"/>
                <w:kern w:val="0"/>
                <w:sz w:val="18"/>
                <w:szCs w:val="18"/>
              </w:rPr>
              <w:t>）依托乡、村级服务平台，实现入户调查常态化，核实户籍人口，核准应参保人数，建立参保人员台账并进行动态管理。</w:t>
            </w:r>
          </w:p>
        </w:tc>
        <w:tc>
          <w:tcPr>
            <w:tcW w:w="1095"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593" w:type="dxa"/>
            <w:gridSpan w:val="2"/>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p>
        </w:tc>
      </w:tr>
      <w:tr>
        <w:tblPrEx>
          <w:tblCellMar>
            <w:top w:w="0" w:type="dxa"/>
            <w:left w:w="108" w:type="dxa"/>
            <w:bottom w:w="0" w:type="dxa"/>
            <w:right w:w="108" w:type="dxa"/>
          </w:tblCellMar>
        </w:tblPrEx>
        <w:trPr>
          <w:trHeight w:val="1435" w:hRule="atLeast"/>
        </w:trPr>
        <w:tc>
          <w:tcPr>
            <w:tcW w:w="0" w:type="auto"/>
            <w:vMerge w:val="continue"/>
            <w:tcBorders>
              <w:top w:val="nil"/>
              <w:left w:val="single" w:color="auto" w:sz="4" w:space="0"/>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top w:val="nil"/>
              <w:left w:val="nil"/>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vMerge w:val="restart"/>
            <w:tcBorders>
              <w:top w:val="nil"/>
              <w:left w:val="nil"/>
              <w:bottom w:val="single" w:color="000000" w:sz="4" w:space="0"/>
              <w:right w:val="single" w:color="auto" w:sz="4" w:space="0"/>
            </w:tcBorders>
            <w:noWrap w:val="0"/>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2.</w:t>
            </w:r>
            <w:r>
              <w:rPr>
                <w:rFonts w:hint="eastAsia" w:ascii="宋体" w:hAnsi="宋体"/>
                <w:color w:val="000000"/>
                <w:kern w:val="0"/>
                <w:sz w:val="18"/>
                <w:szCs w:val="18"/>
              </w:rPr>
              <w:t>大力做好参保扩面宣传发动工作。</w:t>
            </w:r>
          </w:p>
        </w:tc>
        <w:tc>
          <w:tcPr>
            <w:tcW w:w="4187" w:type="dxa"/>
            <w:tcBorders>
              <w:top w:val="nil"/>
              <w:left w:val="nil"/>
              <w:bottom w:val="single" w:color="auto" w:sz="4" w:space="0"/>
              <w:right w:val="single" w:color="auto" w:sz="4" w:space="0"/>
            </w:tcBorders>
            <w:noWrap w:val="0"/>
            <w:vAlign w:val="center"/>
          </w:tcPr>
          <w:p>
            <w:pPr>
              <w:widowControl/>
              <w:spacing w:line="24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1</w:t>
            </w:r>
            <w:r>
              <w:rPr>
                <w:rFonts w:hint="eastAsia" w:ascii="宋体" w:hAnsi="宋体"/>
                <w:color w:val="000000"/>
                <w:kern w:val="0"/>
                <w:sz w:val="18"/>
                <w:szCs w:val="18"/>
              </w:rPr>
              <w:t>）开展社会保险宣传月、社保知识进社区、进企业等专项宣传活动和送政策上门服务，利用重大节假日、农民工返程返乡等关键时间节点大力宣传。开展未参保、断保人员政策短信推送和“一对一＂参保宣讲。充分发挥</w:t>
            </w:r>
            <w:r>
              <w:rPr>
                <w:rFonts w:hint="eastAsia" w:ascii="宋体" w:hAnsi="宋体"/>
                <w:color w:val="000000"/>
                <w:kern w:val="0"/>
                <w:sz w:val="18"/>
                <w:szCs w:val="18"/>
                <w:lang w:eastAsia="zh-CN"/>
              </w:rPr>
              <w:t>乡（镇）</w:t>
            </w:r>
            <w:r>
              <w:rPr>
                <w:rFonts w:hint="eastAsia" w:ascii="宋体" w:hAnsi="宋体"/>
                <w:color w:val="000000"/>
                <w:kern w:val="0"/>
                <w:sz w:val="18"/>
                <w:szCs w:val="18"/>
              </w:rPr>
              <w:t>、村（社区）社会管理职能开展多种形式宣传。</w:t>
            </w:r>
          </w:p>
        </w:tc>
        <w:tc>
          <w:tcPr>
            <w:tcW w:w="1095" w:type="dxa"/>
            <w:tcBorders>
              <w:top w:val="nil"/>
              <w:left w:val="nil"/>
              <w:bottom w:val="nil"/>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持续开展</w:t>
            </w:r>
          </w:p>
        </w:tc>
        <w:tc>
          <w:tcPr>
            <w:tcW w:w="1593" w:type="dxa"/>
            <w:gridSpan w:val="2"/>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r>
              <w:rPr>
                <w:rFonts w:hint="eastAsia" w:ascii="Times New Roman" w:hAnsi="Times New Roman"/>
                <w:color w:val="000000"/>
                <w:kern w:val="0"/>
                <w:sz w:val="18"/>
                <w:szCs w:val="18"/>
                <w:lang w:eastAsia="zh-CN"/>
              </w:rPr>
              <w:t>县人力资源社会保障局</w:t>
            </w:r>
            <w:r>
              <w:rPr>
                <w:rFonts w:hint="eastAsia" w:ascii="Times New Roman" w:hAnsi="Times New Roman"/>
                <w:color w:val="000000"/>
                <w:kern w:val="0"/>
                <w:sz w:val="18"/>
                <w:szCs w:val="18"/>
              </w:rPr>
              <w:t>、税务局</w:t>
            </w:r>
          </w:p>
        </w:tc>
      </w:tr>
      <w:tr>
        <w:tblPrEx>
          <w:tblCellMar>
            <w:top w:w="0" w:type="dxa"/>
            <w:left w:w="108" w:type="dxa"/>
            <w:bottom w:w="0" w:type="dxa"/>
            <w:right w:w="108" w:type="dxa"/>
          </w:tblCellMar>
        </w:tblPrEx>
        <w:trPr>
          <w:trHeight w:val="583" w:hRule="atLeast"/>
        </w:trPr>
        <w:tc>
          <w:tcPr>
            <w:tcW w:w="0" w:type="auto"/>
            <w:vMerge w:val="continue"/>
            <w:tcBorders>
              <w:top w:val="nil"/>
              <w:left w:val="single" w:color="auto" w:sz="4" w:space="0"/>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top w:val="nil"/>
              <w:left w:val="nil"/>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4187"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2</w:t>
            </w:r>
            <w:r>
              <w:rPr>
                <w:rFonts w:hint="eastAsia" w:ascii="宋体" w:hAnsi="宋体"/>
                <w:color w:val="000000"/>
                <w:kern w:val="0"/>
                <w:sz w:val="18"/>
                <w:szCs w:val="18"/>
              </w:rPr>
              <w:t>）充分利用电视、广播、报纸、网站、微信以及抖音短视频等形式宣传扩面征缴有关政策规定。</w:t>
            </w:r>
          </w:p>
        </w:tc>
        <w:tc>
          <w:tcPr>
            <w:tcW w:w="1095" w:type="dxa"/>
            <w:vMerge w:val="restart"/>
            <w:tcBorders>
              <w:top w:val="single" w:color="auto" w:sz="4" w:space="0"/>
              <w:left w:val="nil"/>
              <w:bottom w:val="single" w:color="000000"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全年持续开展</w:t>
            </w:r>
          </w:p>
        </w:tc>
        <w:tc>
          <w:tcPr>
            <w:tcW w:w="1593" w:type="dxa"/>
            <w:gridSpan w:val="2"/>
            <w:tcBorders>
              <w:top w:val="nil"/>
              <w:left w:val="nil"/>
              <w:bottom w:val="single" w:color="auto" w:sz="4" w:space="0"/>
              <w:right w:val="single" w:color="auto" w:sz="4" w:space="0"/>
            </w:tcBorders>
            <w:noWrap w:val="0"/>
            <w:vAlign w:val="center"/>
          </w:tcPr>
          <w:p>
            <w:pPr>
              <w:widowControl/>
              <w:spacing w:line="24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r>
              <w:rPr>
                <w:rFonts w:hint="eastAsia" w:ascii="Times New Roman" w:hAnsi="Times New Roman"/>
                <w:color w:val="000000"/>
                <w:kern w:val="0"/>
                <w:sz w:val="18"/>
                <w:szCs w:val="18"/>
                <w:lang w:eastAsia="zh-CN"/>
              </w:rPr>
              <w:t>县人力资源社会保障局</w:t>
            </w:r>
            <w:r>
              <w:rPr>
                <w:rFonts w:hint="eastAsia" w:ascii="Times New Roman" w:hAnsi="Times New Roman"/>
                <w:color w:val="000000"/>
                <w:kern w:val="0"/>
                <w:sz w:val="18"/>
                <w:szCs w:val="18"/>
              </w:rPr>
              <w:t>、税务局</w:t>
            </w:r>
          </w:p>
        </w:tc>
      </w:tr>
      <w:tr>
        <w:tblPrEx>
          <w:tblCellMar>
            <w:top w:w="0" w:type="dxa"/>
            <w:left w:w="108" w:type="dxa"/>
            <w:bottom w:w="0" w:type="dxa"/>
            <w:right w:w="108" w:type="dxa"/>
          </w:tblCellMar>
        </w:tblPrEx>
        <w:trPr>
          <w:trHeight w:val="345" w:hRule="atLeast"/>
        </w:trPr>
        <w:tc>
          <w:tcPr>
            <w:tcW w:w="0" w:type="auto"/>
            <w:vMerge w:val="continue"/>
            <w:tcBorders>
              <w:top w:val="nil"/>
              <w:left w:val="single" w:color="auto" w:sz="4" w:space="0"/>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top w:val="nil"/>
              <w:left w:val="nil"/>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4187"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3</w:t>
            </w:r>
            <w:r>
              <w:rPr>
                <w:rFonts w:hint="eastAsia" w:ascii="宋体" w:hAnsi="宋体"/>
                <w:color w:val="000000"/>
                <w:kern w:val="0"/>
                <w:sz w:val="18"/>
                <w:szCs w:val="18"/>
              </w:rPr>
              <w:t>）开展送政策上门的宣传服务。</w:t>
            </w:r>
          </w:p>
        </w:tc>
        <w:tc>
          <w:tcPr>
            <w:tcW w:w="1095" w:type="dxa"/>
            <w:vMerge w:val="continue"/>
            <w:tcBorders>
              <w:top w:val="single" w:color="auto" w:sz="4" w:space="0"/>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593" w:type="dxa"/>
            <w:gridSpan w:val="2"/>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p>
        </w:tc>
      </w:tr>
      <w:tr>
        <w:tblPrEx>
          <w:tblCellMar>
            <w:top w:w="0" w:type="dxa"/>
            <w:left w:w="108" w:type="dxa"/>
            <w:bottom w:w="0" w:type="dxa"/>
            <w:right w:w="108" w:type="dxa"/>
          </w:tblCellMar>
        </w:tblPrEx>
        <w:trPr>
          <w:trHeight w:val="628" w:hRule="atLeast"/>
        </w:trPr>
        <w:tc>
          <w:tcPr>
            <w:tcW w:w="0" w:type="auto"/>
            <w:vMerge w:val="continue"/>
            <w:tcBorders>
              <w:top w:val="nil"/>
              <w:left w:val="single" w:color="auto" w:sz="4" w:space="0"/>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top w:val="nil"/>
              <w:left w:val="nil"/>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4187"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4</w:t>
            </w:r>
            <w:r>
              <w:rPr>
                <w:rFonts w:hint="eastAsia" w:ascii="宋体" w:hAnsi="宋体"/>
                <w:color w:val="000000"/>
                <w:kern w:val="0"/>
                <w:sz w:val="18"/>
                <w:szCs w:val="18"/>
              </w:rPr>
              <w:t>）开展“看得懂，算得清”和“我为群众办实事”专项宣传活动。</w:t>
            </w:r>
          </w:p>
        </w:tc>
        <w:tc>
          <w:tcPr>
            <w:tcW w:w="1095" w:type="dxa"/>
            <w:tcBorders>
              <w:top w:val="nil"/>
              <w:left w:val="nil"/>
              <w:bottom w:val="single" w:color="auto" w:sz="4" w:space="0"/>
              <w:right w:val="single" w:color="auto" w:sz="4" w:space="0"/>
            </w:tcBorders>
            <w:noWrap w:val="0"/>
            <w:vAlign w:val="center"/>
          </w:tcPr>
          <w:p>
            <w:pPr>
              <w:widowControl/>
              <w:spacing w:line="26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2021</w:t>
            </w:r>
            <w:r>
              <w:rPr>
                <w:rFonts w:hint="eastAsia" w:ascii="宋体" w:hAnsi="宋体"/>
                <w:color w:val="000000"/>
                <w:kern w:val="0"/>
                <w:sz w:val="18"/>
                <w:szCs w:val="18"/>
              </w:rPr>
              <w:t>年</w:t>
            </w:r>
            <w:r>
              <w:rPr>
                <w:rFonts w:hint="eastAsia" w:ascii="Times New Roman" w:hAnsi="Times New Roman" w:cs="Times New Roman"/>
                <w:color w:val="000000"/>
                <w:kern w:val="0"/>
                <w:sz w:val="18"/>
                <w:szCs w:val="18"/>
              </w:rPr>
              <w:t>12</w:t>
            </w:r>
            <w:r>
              <w:rPr>
                <w:rFonts w:hint="eastAsia" w:ascii="宋体" w:hAnsi="宋体"/>
                <w:color w:val="000000"/>
                <w:kern w:val="0"/>
                <w:sz w:val="18"/>
                <w:szCs w:val="18"/>
              </w:rPr>
              <w:t>月以前</w:t>
            </w:r>
          </w:p>
        </w:tc>
        <w:tc>
          <w:tcPr>
            <w:tcW w:w="1593" w:type="dxa"/>
            <w:gridSpan w:val="2"/>
            <w:tcBorders>
              <w:top w:val="nil"/>
              <w:left w:val="nil"/>
              <w:bottom w:val="single" w:color="auto" w:sz="4" w:space="0"/>
              <w:right w:val="single" w:color="auto" w:sz="4" w:space="0"/>
            </w:tcBorders>
            <w:noWrap w:val="0"/>
            <w:vAlign w:val="center"/>
          </w:tcPr>
          <w:p>
            <w:pPr>
              <w:widowControl/>
              <w:spacing w:line="260" w:lineRule="exact"/>
              <w:jc w:val="left"/>
              <w:rPr>
                <w:rFonts w:hint="eastAsia" w:ascii="Times New Roman" w:hAnsi="Times New Roman" w:eastAsia="宋体"/>
                <w:color w:val="000000"/>
                <w:kern w:val="0"/>
                <w:sz w:val="18"/>
                <w:szCs w:val="18"/>
                <w:lang w:eastAsia="zh-CN"/>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r>
              <w:rPr>
                <w:rFonts w:hint="eastAsia" w:ascii="Times New Roman" w:hAnsi="Times New Roman"/>
                <w:color w:val="000000"/>
                <w:kern w:val="0"/>
                <w:sz w:val="18"/>
                <w:szCs w:val="18"/>
                <w:lang w:eastAsia="zh-CN"/>
              </w:rPr>
              <w:t>县人力资源社会保障局</w:t>
            </w:r>
          </w:p>
        </w:tc>
      </w:tr>
      <w:tr>
        <w:tblPrEx>
          <w:tblCellMar>
            <w:top w:w="0" w:type="dxa"/>
            <w:left w:w="108" w:type="dxa"/>
            <w:bottom w:w="0" w:type="dxa"/>
            <w:right w:w="108" w:type="dxa"/>
          </w:tblCellMar>
        </w:tblPrEx>
        <w:trPr>
          <w:trHeight w:val="1055" w:hRule="atLeast"/>
        </w:trPr>
        <w:tc>
          <w:tcPr>
            <w:tcW w:w="0" w:type="auto"/>
            <w:vMerge w:val="continue"/>
            <w:tcBorders>
              <w:top w:val="nil"/>
              <w:left w:val="single" w:color="auto" w:sz="4" w:space="0"/>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top w:val="nil"/>
              <w:left w:val="nil"/>
              <w:bottom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3.</w:t>
            </w:r>
            <w:r>
              <w:rPr>
                <w:rFonts w:hint="eastAsia" w:ascii="宋体" w:hAnsi="宋体"/>
                <w:color w:val="000000"/>
                <w:kern w:val="0"/>
                <w:sz w:val="18"/>
                <w:szCs w:val="18"/>
              </w:rPr>
              <w:t>推进提高基本养老保险缴费率。</w:t>
            </w:r>
          </w:p>
        </w:tc>
        <w:tc>
          <w:tcPr>
            <w:tcW w:w="4187" w:type="dxa"/>
            <w:tcBorders>
              <w:top w:val="nil"/>
              <w:left w:val="nil"/>
              <w:bottom w:val="single" w:color="auto" w:sz="4" w:space="0"/>
              <w:right w:val="single" w:color="auto" w:sz="4" w:space="0"/>
            </w:tcBorders>
            <w:noWrap w:val="0"/>
            <w:vAlign w:val="center"/>
          </w:tcPr>
          <w:p>
            <w:pPr>
              <w:widowControl/>
              <w:spacing w:line="24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根据社会保险基金年度预算收入任务，制定年度征缴工作计划，把任务层层落实到</w:t>
            </w:r>
            <w:r>
              <w:rPr>
                <w:rFonts w:hint="eastAsia"/>
                <w:color w:val="000000"/>
                <w:kern w:val="0"/>
                <w:sz w:val="18"/>
                <w:szCs w:val="18"/>
                <w:lang w:eastAsia="zh-CN"/>
              </w:rPr>
              <w:t>乡（镇）</w:t>
            </w:r>
            <w:r>
              <w:rPr>
                <w:rFonts w:hint="eastAsia" w:ascii="Times New Roman" w:hAnsi="Times New Roman"/>
                <w:color w:val="000000"/>
                <w:kern w:val="0"/>
                <w:sz w:val="18"/>
                <w:szCs w:val="18"/>
              </w:rPr>
              <w:t>，推进用人单位及职工、城乡居民按规定缴费。</w:t>
            </w:r>
          </w:p>
        </w:tc>
        <w:tc>
          <w:tcPr>
            <w:tcW w:w="1095" w:type="dxa"/>
            <w:tcBorders>
              <w:top w:val="nil"/>
              <w:left w:val="nil"/>
              <w:bottom w:val="single" w:color="auto" w:sz="4" w:space="0"/>
              <w:right w:val="single" w:color="auto" w:sz="4" w:space="0"/>
            </w:tcBorders>
            <w:noWrap w:val="0"/>
            <w:vAlign w:val="center"/>
          </w:tcPr>
          <w:p>
            <w:pPr>
              <w:widowControl/>
              <w:spacing w:line="240" w:lineRule="exact"/>
              <w:jc w:val="left"/>
              <w:rPr>
                <w:rFonts w:ascii="Times New Roman" w:hAnsi="Times New Roman"/>
                <w:color w:val="000000"/>
                <w:spacing w:val="-12"/>
                <w:kern w:val="0"/>
                <w:sz w:val="18"/>
                <w:szCs w:val="18"/>
              </w:rPr>
            </w:pPr>
            <w:r>
              <w:rPr>
                <w:rFonts w:hint="eastAsia" w:ascii="Times New Roman" w:hAnsi="Times New Roman"/>
                <w:color w:val="000000"/>
                <w:spacing w:val="-12"/>
                <w:kern w:val="0"/>
                <w:sz w:val="18"/>
                <w:szCs w:val="18"/>
              </w:rPr>
              <w:t>每年</w:t>
            </w:r>
            <w:r>
              <w:rPr>
                <w:rFonts w:hint="eastAsia" w:ascii="Times New Roman" w:hAnsi="Times New Roman" w:cs="Times New Roman"/>
                <w:color w:val="000000"/>
                <w:spacing w:val="-12"/>
                <w:kern w:val="0"/>
                <w:sz w:val="18"/>
                <w:szCs w:val="18"/>
                <w:lang w:val="en-US" w:eastAsia="zh-CN"/>
              </w:rPr>
              <w:t>4</w:t>
            </w:r>
            <w:r>
              <w:rPr>
                <w:rFonts w:hint="eastAsia" w:ascii="宋体" w:hAnsi="宋体"/>
                <w:color w:val="000000"/>
                <w:spacing w:val="-12"/>
                <w:kern w:val="0"/>
                <w:sz w:val="18"/>
                <w:szCs w:val="18"/>
              </w:rPr>
              <w:t>月底前下达任务；年底进行考核。</w:t>
            </w:r>
          </w:p>
        </w:tc>
        <w:tc>
          <w:tcPr>
            <w:tcW w:w="1593" w:type="dxa"/>
            <w:gridSpan w:val="2"/>
            <w:tcBorders>
              <w:top w:val="nil"/>
              <w:left w:val="nil"/>
              <w:bottom w:val="single" w:color="auto" w:sz="4" w:space="0"/>
              <w:right w:val="single" w:color="auto" w:sz="4" w:space="0"/>
            </w:tcBorders>
            <w:noWrap w:val="0"/>
            <w:vAlign w:val="center"/>
          </w:tcPr>
          <w:p>
            <w:pPr>
              <w:widowControl/>
              <w:spacing w:line="240" w:lineRule="exact"/>
              <w:jc w:val="left"/>
              <w:rPr>
                <w:rFonts w:hint="eastAsia" w:ascii="Times New Roman" w:hAnsi="Times New Roman" w:eastAsia="宋体"/>
                <w:color w:val="000000"/>
                <w:kern w:val="0"/>
                <w:sz w:val="18"/>
                <w:szCs w:val="18"/>
                <w:lang w:eastAsia="zh-CN"/>
              </w:rPr>
            </w:pPr>
            <w:r>
              <w:rPr>
                <w:rFonts w:hint="eastAsia" w:ascii="Times New Roman" w:hAnsi="Times New Roman"/>
                <w:color w:val="000000"/>
                <w:kern w:val="0"/>
                <w:sz w:val="18"/>
                <w:szCs w:val="18"/>
                <w:lang w:eastAsia="zh-CN"/>
              </w:rPr>
              <w:t>县</w:t>
            </w:r>
            <w:r>
              <w:rPr>
                <w:rFonts w:hint="eastAsia" w:ascii="Times New Roman" w:hAnsi="Times New Roman"/>
                <w:color w:val="000000"/>
                <w:kern w:val="0"/>
                <w:sz w:val="18"/>
                <w:szCs w:val="18"/>
              </w:rPr>
              <w:t>税务局、</w:t>
            </w:r>
            <w:r>
              <w:rPr>
                <w:rFonts w:hint="eastAsia" w:ascii="Times New Roman" w:hAnsi="Times New Roman"/>
                <w:color w:val="000000"/>
                <w:kern w:val="0"/>
                <w:sz w:val="18"/>
                <w:szCs w:val="18"/>
                <w:lang w:eastAsia="zh-CN"/>
              </w:rPr>
              <w:t>人力资源社会保障局</w:t>
            </w:r>
          </w:p>
        </w:tc>
      </w:tr>
      <w:tr>
        <w:tblPrEx>
          <w:tblCellMar>
            <w:top w:w="0" w:type="dxa"/>
            <w:left w:w="108" w:type="dxa"/>
            <w:bottom w:w="0" w:type="dxa"/>
            <w:right w:w="108" w:type="dxa"/>
          </w:tblCellMar>
        </w:tblPrEx>
        <w:trPr>
          <w:trHeight w:val="1485" w:hRule="atLeast"/>
        </w:trPr>
        <w:tc>
          <w:tcPr>
            <w:tcW w:w="60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3</w:t>
            </w:r>
          </w:p>
        </w:tc>
        <w:tc>
          <w:tcPr>
            <w:tcW w:w="1467" w:type="dxa"/>
            <w:vMerge w:val="restart"/>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（三）解决农村低收入人口、被征地农民等重点群体参保问题</w:t>
            </w:r>
          </w:p>
        </w:tc>
        <w:tc>
          <w:tcPr>
            <w:tcW w:w="1682" w:type="dxa"/>
            <w:vMerge w:val="restart"/>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1.</w:t>
            </w:r>
            <w:r>
              <w:rPr>
                <w:rFonts w:hint="eastAsia" w:ascii="宋体" w:hAnsi="宋体"/>
                <w:kern w:val="0"/>
                <w:sz w:val="18"/>
                <w:szCs w:val="18"/>
              </w:rPr>
              <w:t>解决被征地农民参加基本养老保险问题。</w:t>
            </w:r>
          </w:p>
        </w:tc>
        <w:tc>
          <w:tcPr>
            <w:tcW w:w="4187"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w:t>
            </w:r>
            <w:r>
              <w:rPr>
                <w:rFonts w:hint="eastAsia" w:ascii="Times New Roman" w:hAnsi="Times New Roman" w:cs="Times New Roman"/>
                <w:kern w:val="0"/>
                <w:sz w:val="18"/>
                <w:szCs w:val="18"/>
              </w:rPr>
              <w:t>1</w:t>
            </w:r>
            <w:r>
              <w:rPr>
                <w:rFonts w:hint="eastAsia" w:ascii="宋体" w:hAnsi="宋体"/>
                <w:kern w:val="0"/>
                <w:sz w:val="18"/>
                <w:szCs w:val="18"/>
              </w:rPr>
              <w:t>）多部门联合开展</w:t>
            </w:r>
            <w:r>
              <w:rPr>
                <w:rFonts w:hint="eastAsia" w:ascii="Times New Roman" w:hAnsi="Times New Roman" w:cs="Times New Roman"/>
                <w:kern w:val="0"/>
                <w:sz w:val="18"/>
                <w:szCs w:val="18"/>
              </w:rPr>
              <w:t>2016-2020</w:t>
            </w:r>
            <w:r>
              <w:rPr>
                <w:rFonts w:hint="eastAsia" w:ascii="宋体" w:hAnsi="宋体"/>
                <w:kern w:val="0"/>
                <w:sz w:val="18"/>
                <w:szCs w:val="18"/>
              </w:rPr>
              <w:t>年被征地农民社会保障政策落实情况专项统计，分类指导各地推进被征地农民参加养老保险工作。</w:t>
            </w:r>
          </w:p>
        </w:tc>
        <w:tc>
          <w:tcPr>
            <w:tcW w:w="1095"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2021</w:t>
            </w:r>
            <w:r>
              <w:rPr>
                <w:rFonts w:hint="eastAsia" w:ascii="宋体" w:hAnsi="宋体"/>
                <w:kern w:val="0"/>
                <w:sz w:val="18"/>
                <w:szCs w:val="18"/>
              </w:rPr>
              <w:t>年</w:t>
            </w:r>
            <w:r>
              <w:rPr>
                <w:rFonts w:hint="eastAsia" w:cs="Times New Roman"/>
                <w:kern w:val="0"/>
                <w:sz w:val="18"/>
                <w:szCs w:val="18"/>
                <w:lang w:val="en-US" w:eastAsia="zh-CN"/>
              </w:rPr>
              <w:t>10</w:t>
            </w:r>
            <w:r>
              <w:rPr>
                <w:rFonts w:hint="eastAsia" w:ascii="宋体" w:hAnsi="宋体"/>
                <w:kern w:val="0"/>
                <w:sz w:val="18"/>
                <w:szCs w:val="18"/>
              </w:rPr>
              <w:t>月底前</w:t>
            </w:r>
          </w:p>
        </w:tc>
        <w:tc>
          <w:tcPr>
            <w:tcW w:w="1593"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r>
              <w:rPr>
                <w:rFonts w:hint="eastAsia" w:ascii="Times New Roman" w:hAnsi="Times New Roman"/>
                <w:kern w:val="0"/>
                <w:sz w:val="18"/>
                <w:szCs w:val="18"/>
                <w:lang w:eastAsia="zh-CN"/>
              </w:rPr>
              <w:t>县人力资源社会保障局</w:t>
            </w:r>
            <w:r>
              <w:rPr>
                <w:rFonts w:hint="eastAsia" w:ascii="Times New Roman" w:hAnsi="Times New Roman"/>
                <w:kern w:val="0"/>
                <w:sz w:val="18"/>
                <w:szCs w:val="18"/>
              </w:rPr>
              <w:t>、自然资源</w:t>
            </w:r>
            <w:r>
              <w:rPr>
                <w:rFonts w:hint="eastAsia" w:ascii="Times New Roman" w:hAnsi="Times New Roman"/>
                <w:kern w:val="0"/>
                <w:sz w:val="18"/>
                <w:szCs w:val="18"/>
                <w:lang w:eastAsia="zh-CN"/>
              </w:rPr>
              <w:t>局</w:t>
            </w:r>
            <w:r>
              <w:rPr>
                <w:rFonts w:hint="eastAsia" w:ascii="Times New Roman" w:hAnsi="Times New Roman"/>
                <w:kern w:val="0"/>
                <w:sz w:val="18"/>
                <w:szCs w:val="18"/>
              </w:rPr>
              <w:t>、财政</w:t>
            </w:r>
            <w:r>
              <w:rPr>
                <w:rFonts w:hint="eastAsia" w:ascii="Times New Roman" w:hAnsi="Times New Roman"/>
                <w:kern w:val="0"/>
                <w:sz w:val="18"/>
                <w:szCs w:val="18"/>
                <w:lang w:eastAsia="zh-CN"/>
              </w:rPr>
              <w:t>局</w:t>
            </w:r>
            <w:r>
              <w:rPr>
                <w:rFonts w:hint="eastAsia" w:ascii="Times New Roman" w:hAnsi="Times New Roman"/>
                <w:kern w:val="0"/>
                <w:sz w:val="18"/>
                <w:szCs w:val="18"/>
              </w:rPr>
              <w:t>、农业农村</w:t>
            </w:r>
            <w:r>
              <w:rPr>
                <w:rFonts w:hint="eastAsia" w:ascii="Times New Roman" w:hAnsi="Times New Roman"/>
                <w:kern w:val="0"/>
                <w:sz w:val="18"/>
                <w:szCs w:val="18"/>
                <w:lang w:eastAsia="zh-CN"/>
              </w:rPr>
              <w:t>局</w:t>
            </w:r>
            <w:r>
              <w:rPr>
                <w:rFonts w:hint="eastAsia" w:ascii="Times New Roman" w:hAnsi="Times New Roman"/>
                <w:kern w:val="0"/>
                <w:sz w:val="18"/>
                <w:szCs w:val="18"/>
              </w:rPr>
              <w:t>、林业局</w:t>
            </w:r>
          </w:p>
        </w:tc>
      </w:tr>
      <w:tr>
        <w:tblPrEx>
          <w:tblCellMar>
            <w:top w:w="0" w:type="dxa"/>
            <w:left w:w="108" w:type="dxa"/>
            <w:bottom w:w="0" w:type="dxa"/>
            <w:right w:w="108" w:type="dxa"/>
          </w:tblCellMar>
        </w:tblPrEx>
        <w:trPr>
          <w:trHeight w:val="1335"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c>
          <w:tcPr>
            <w:tcW w:w="1467"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c>
          <w:tcPr>
            <w:tcW w:w="1682"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c>
          <w:tcPr>
            <w:tcW w:w="4187"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w:t>
            </w:r>
            <w:r>
              <w:rPr>
                <w:rFonts w:hint="eastAsia" w:ascii="Times New Roman" w:hAnsi="Times New Roman" w:cs="Times New Roman"/>
                <w:kern w:val="0"/>
                <w:sz w:val="18"/>
                <w:szCs w:val="18"/>
              </w:rPr>
              <w:t>2</w:t>
            </w:r>
            <w:r>
              <w:rPr>
                <w:rFonts w:hint="eastAsia" w:ascii="宋体" w:hAnsi="宋体"/>
                <w:kern w:val="0"/>
                <w:sz w:val="18"/>
                <w:szCs w:val="18"/>
              </w:rPr>
              <w:t>）各</w:t>
            </w:r>
            <w:r>
              <w:rPr>
                <w:rFonts w:hint="eastAsia" w:ascii="宋体" w:hAnsi="宋体"/>
                <w:kern w:val="0"/>
                <w:sz w:val="18"/>
                <w:szCs w:val="18"/>
                <w:lang w:eastAsia="zh-CN"/>
              </w:rPr>
              <w:t>乡（镇）</w:t>
            </w:r>
            <w:r>
              <w:rPr>
                <w:rFonts w:hint="eastAsia" w:ascii="宋体" w:hAnsi="宋体"/>
                <w:kern w:val="0"/>
                <w:sz w:val="18"/>
                <w:szCs w:val="18"/>
              </w:rPr>
              <w:t>人民政府认真履行落实被征地农民社保补贴资金、名单和征地面积等基础信息责任</w:t>
            </w:r>
            <w:r>
              <w:rPr>
                <w:rFonts w:hint="eastAsia" w:ascii="宋体" w:hAnsi="宋体"/>
                <w:kern w:val="0"/>
                <w:sz w:val="18"/>
                <w:szCs w:val="18"/>
                <w:lang w:eastAsia="zh-CN"/>
              </w:rPr>
              <w:t>；</w:t>
            </w:r>
            <w:r>
              <w:rPr>
                <w:rFonts w:hint="eastAsia" w:ascii="宋体" w:hAnsi="宋体"/>
                <w:kern w:val="0"/>
                <w:sz w:val="18"/>
                <w:szCs w:val="18"/>
              </w:rPr>
              <w:t>按规定将被征地农民社保补贴资金纳入供地的前提条件。</w:t>
            </w:r>
          </w:p>
        </w:tc>
        <w:tc>
          <w:tcPr>
            <w:tcW w:w="1095"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2021</w:t>
            </w:r>
            <w:r>
              <w:rPr>
                <w:rFonts w:hint="eastAsia" w:ascii="宋体" w:hAnsi="宋体"/>
                <w:kern w:val="0"/>
                <w:sz w:val="18"/>
                <w:szCs w:val="18"/>
              </w:rPr>
              <w:t>年</w:t>
            </w:r>
            <w:r>
              <w:rPr>
                <w:rFonts w:hint="eastAsia" w:ascii="Times New Roman" w:hAnsi="Times New Roman" w:cs="Times New Roman"/>
                <w:kern w:val="0"/>
                <w:sz w:val="18"/>
                <w:szCs w:val="18"/>
              </w:rPr>
              <w:t>12</w:t>
            </w:r>
            <w:r>
              <w:rPr>
                <w:rFonts w:hint="eastAsia" w:ascii="宋体" w:hAnsi="宋体"/>
                <w:kern w:val="0"/>
                <w:sz w:val="18"/>
                <w:szCs w:val="18"/>
              </w:rPr>
              <w:t>月底前</w:t>
            </w:r>
          </w:p>
        </w:tc>
        <w:tc>
          <w:tcPr>
            <w:tcW w:w="1593" w:type="dxa"/>
            <w:gridSpan w:val="2"/>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各</w:t>
            </w:r>
            <w:r>
              <w:rPr>
                <w:rFonts w:hint="eastAsia"/>
                <w:kern w:val="0"/>
                <w:sz w:val="18"/>
                <w:szCs w:val="18"/>
                <w:lang w:eastAsia="zh-CN"/>
              </w:rPr>
              <w:t>乡（镇）</w:t>
            </w:r>
            <w:r>
              <w:rPr>
                <w:rFonts w:hint="eastAsia" w:ascii="Times New Roman" w:hAnsi="Times New Roman"/>
                <w:kern w:val="0"/>
                <w:sz w:val="18"/>
                <w:szCs w:val="18"/>
              </w:rPr>
              <w:t>人民政府，</w:t>
            </w:r>
            <w:r>
              <w:rPr>
                <w:rFonts w:hint="eastAsia" w:ascii="Times New Roman" w:hAnsi="Times New Roman"/>
                <w:kern w:val="0"/>
                <w:sz w:val="18"/>
                <w:szCs w:val="18"/>
                <w:lang w:eastAsia="zh-CN"/>
              </w:rPr>
              <w:t>县人力资源社会保障局</w:t>
            </w:r>
            <w:r>
              <w:rPr>
                <w:rFonts w:hint="eastAsia" w:ascii="Times New Roman" w:hAnsi="Times New Roman"/>
                <w:kern w:val="0"/>
                <w:sz w:val="18"/>
                <w:szCs w:val="18"/>
              </w:rPr>
              <w:t>、自然资源</w:t>
            </w:r>
            <w:r>
              <w:rPr>
                <w:rFonts w:hint="eastAsia" w:ascii="Times New Roman" w:hAnsi="Times New Roman"/>
                <w:kern w:val="0"/>
                <w:sz w:val="18"/>
                <w:szCs w:val="18"/>
                <w:lang w:eastAsia="zh-CN"/>
              </w:rPr>
              <w:t>局</w:t>
            </w:r>
            <w:r>
              <w:rPr>
                <w:rFonts w:hint="eastAsia" w:ascii="Times New Roman" w:hAnsi="Times New Roman"/>
                <w:kern w:val="0"/>
                <w:sz w:val="18"/>
                <w:szCs w:val="18"/>
              </w:rPr>
              <w:t>、财政</w:t>
            </w:r>
            <w:r>
              <w:rPr>
                <w:rFonts w:hint="eastAsia" w:ascii="Times New Roman" w:hAnsi="Times New Roman"/>
                <w:kern w:val="0"/>
                <w:sz w:val="18"/>
                <w:szCs w:val="18"/>
                <w:lang w:eastAsia="zh-CN"/>
              </w:rPr>
              <w:t>局</w:t>
            </w:r>
            <w:r>
              <w:rPr>
                <w:rFonts w:hint="eastAsia" w:ascii="Times New Roman" w:hAnsi="Times New Roman"/>
                <w:kern w:val="0"/>
                <w:sz w:val="18"/>
                <w:szCs w:val="18"/>
              </w:rPr>
              <w:t>、农业农村</w:t>
            </w:r>
            <w:r>
              <w:rPr>
                <w:rFonts w:hint="eastAsia" w:ascii="Times New Roman" w:hAnsi="Times New Roman"/>
                <w:kern w:val="0"/>
                <w:sz w:val="18"/>
                <w:szCs w:val="18"/>
                <w:lang w:eastAsia="zh-CN"/>
              </w:rPr>
              <w:t>局</w:t>
            </w:r>
            <w:r>
              <w:rPr>
                <w:rFonts w:hint="eastAsia" w:ascii="Times New Roman" w:hAnsi="Times New Roman"/>
                <w:kern w:val="0"/>
                <w:sz w:val="18"/>
                <w:szCs w:val="18"/>
              </w:rPr>
              <w:t>、公安</w:t>
            </w:r>
            <w:r>
              <w:rPr>
                <w:rFonts w:hint="eastAsia" w:ascii="Times New Roman" w:hAnsi="Times New Roman"/>
                <w:kern w:val="0"/>
                <w:sz w:val="18"/>
                <w:szCs w:val="18"/>
                <w:lang w:eastAsia="zh-CN"/>
              </w:rPr>
              <w:t>局</w:t>
            </w:r>
            <w:r>
              <w:rPr>
                <w:rFonts w:hint="eastAsia" w:ascii="Times New Roman" w:hAnsi="Times New Roman"/>
                <w:kern w:val="0"/>
                <w:sz w:val="18"/>
                <w:szCs w:val="18"/>
              </w:rPr>
              <w:t>、林业局</w:t>
            </w:r>
          </w:p>
        </w:tc>
      </w:tr>
      <w:tr>
        <w:tblPrEx>
          <w:tblCellMar>
            <w:top w:w="0" w:type="dxa"/>
            <w:left w:w="108" w:type="dxa"/>
            <w:bottom w:w="0" w:type="dxa"/>
            <w:right w:w="108" w:type="dxa"/>
          </w:tblCellMar>
        </w:tblPrEx>
        <w:trPr>
          <w:trHeight w:val="1476"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c>
          <w:tcPr>
            <w:tcW w:w="1467"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c>
          <w:tcPr>
            <w:tcW w:w="1682"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c>
          <w:tcPr>
            <w:tcW w:w="4187"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w:t>
            </w:r>
            <w:r>
              <w:rPr>
                <w:rFonts w:hint="eastAsia" w:ascii="Times New Roman" w:hAnsi="Times New Roman" w:cs="Times New Roman"/>
                <w:kern w:val="0"/>
                <w:sz w:val="18"/>
                <w:szCs w:val="18"/>
              </w:rPr>
              <w:t>3</w:t>
            </w:r>
            <w:r>
              <w:rPr>
                <w:rFonts w:hint="eastAsia" w:ascii="宋体" w:hAnsi="宋体"/>
                <w:kern w:val="0"/>
                <w:sz w:val="18"/>
                <w:szCs w:val="18"/>
              </w:rPr>
              <w:t>）</w:t>
            </w:r>
            <w:r>
              <w:rPr>
                <w:rFonts w:hint="eastAsia" w:ascii="宋体" w:hAnsi="宋体"/>
                <w:kern w:val="0"/>
                <w:sz w:val="18"/>
                <w:szCs w:val="18"/>
                <w:lang w:eastAsia="zh-CN"/>
              </w:rPr>
              <w:t>落实</w:t>
            </w:r>
            <w:r>
              <w:rPr>
                <w:rFonts w:hint="eastAsia" w:ascii="宋体" w:hAnsi="宋体"/>
                <w:kern w:val="0"/>
                <w:sz w:val="18"/>
                <w:szCs w:val="18"/>
              </w:rPr>
              <w:t>《</w:t>
            </w:r>
            <w:r>
              <w:rPr>
                <w:rFonts w:hint="eastAsia" w:ascii="宋体" w:hAnsi="宋体"/>
                <w:kern w:val="0"/>
                <w:sz w:val="18"/>
                <w:szCs w:val="18"/>
                <w:lang w:eastAsia="zh-CN"/>
              </w:rPr>
              <w:t>广西</w:t>
            </w:r>
            <w:r>
              <w:rPr>
                <w:rFonts w:hint="eastAsia" w:ascii="宋体" w:hAnsi="宋体"/>
                <w:kern w:val="0"/>
                <w:sz w:val="18"/>
                <w:szCs w:val="18"/>
              </w:rPr>
              <w:t>壮族</w:t>
            </w:r>
            <w:r>
              <w:rPr>
                <w:rFonts w:hint="eastAsia" w:ascii="宋体" w:hAnsi="宋体"/>
                <w:kern w:val="0"/>
                <w:sz w:val="18"/>
                <w:szCs w:val="18"/>
                <w:lang w:eastAsia="zh-CN"/>
              </w:rPr>
              <w:t>自治区</w:t>
            </w:r>
            <w:r>
              <w:rPr>
                <w:rFonts w:hint="eastAsia" w:ascii="宋体" w:hAnsi="宋体"/>
                <w:kern w:val="0"/>
                <w:sz w:val="18"/>
                <w:szCs w:val="18"/>
              </w:rPr>
              <w:t>被征地农民参加基本养老保险补贴审核规程（试行）》。建立政府主导的部门协调机制，推进各地规范操作和部门职责落实。落实被征地农民基本养老保险补贴资金和新征土地补贴责任。</w:t>
            </w:r>
          </w:p>
        </w:tc>
        <w:tc>
          <w:tcPr>
            <w:tcW w:w="1095"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2021</w:t>
            </w:r>
            <w:r>
              <w:rPr>
                <w:rFonts w:hint="eastAsia" w:ascii="宋体" w:hAnsi="宋体"/>
                <w:kern w:val="0"/>
                <w:sz w:val="18"/>
                <w:szCs w:val="18"/>
              </w:rPr>
              <w:t>年</w:t>
            </w:r>
            <w:r>
              <w:rPr>
                <w:rFonts w:hint="eastAsia" w:ascii="Times New Roman" w:hAnsi="Times New Roman" w:cs="Times New Roman"/>
                <w:kern w:val="0"/>
                <w:sz w:val="18"/>
                <w:szCs w:val="18"/>
              </w:rPr>
              <w:t>12</w:t>
            </w:r>
            <w:r>
              <w:rPr>
                <w:rFonts w:hint="eastAsia" w:ascii="宋体" w:hAnsi="宋体"/>
                <w:kern w:val="0"/>
                <w:sz w:val="18"/>
                <w:szCs w:val="18"/>
              </w:rPr>
              <w:t>月底前</w:t>
            </w:r>
          </w:p>
        </w:tc>
        <w:tc>
          <w:tcPr>
            <w:tcW w:w="1593" w:type="dxa"/>
            <w:gridSpan w:val="2"/>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各</w:t>
            </w:r>
            <w:r>
              <w:rPr>
                <w:rFonts w:hint="eastAsia"/>
                <w:kern w:val="0"/>
                <w:sz w:val="18"/>
                <w:szCs w:val="18"/>
                <w:lang w:eastAsia="zh-CN"/>
              </w:rPr>
              <w:t>乡（镇）</w:t>
            </w:r>
            <w:r>
              <w:rPr>
                <w:rFonts w:hint="eastAsia" w:ascii="Times New Roman" w:hAnsi="Times New Roman"/>
                <w:kern w:val="0"/>
                <w:sz w:val="18"/>
                <w:szCs w:val="18"/>
              </w:rPr>
              <w:t>人民政府，</w:t>
            </w:r>
            <w:r>
              <w:rPr>
                <w:rFonts w:hint="eastAsia" w:ascii="Times New Roman" w:hAnsi="Times New Roman"/>
                <w:kern w:val="0"/>
                <w:sz w:val="18"/>
                <w:szCs w:val="18"/>
                <w:lang w:eastAsia="zh-CN"/>
              </w:rPr>
              <w:t>县人力资源社会保障局</w:t>
            </w:r>
            <w:r>
              <w:rPr>
                <w:rFonts w:hint="eastAsia" w:ascii="Times New Roman" w:hAnsi="Times New Roman"/>
                <w:kern w:val="0"/>
                <w:sz w:val="18"/>
                <w:szCs w:val="18"/>
              </w:rPr>
              <w:t>、自然资源</w:t>
            </w:r>
            <w:r>
              <w:rPr>
                <w:rFonts w:hint="eastAsia" w:ascii="Times New Roman" w:hAnsi="Times New Roman"/>
                <w:kern w:val="0"/>
                <w:sz w:val="18"/>
                <w:szCs w:val="18"/>
                <w:lang w:eastAsia="zh-CN"/>
              </w:rPr>
              <w:t>局</w:t>
            </w:r>
            <w:r>
              <w:rPr>
                <w:rFonts w:hint="eastAsia" w:ascii="Times New Roman" w:hAnsi="Times New Roman"/>
                <w:kern w:val="0"/>
                <w:sz w:val="18"/>
                <w:szCs w:val="18"/>
              </w:rPr>
              <w:t>、财政</w:t>
            </w:r>
            <w:r>
              <w:rPr>
                <w:rFonts w:hint="eastAsia" w:ascii="Times New Roman" w:hAnsi="Times New Roman"/>
                <w:kern w:val="0"/>
                <w:sz w:val="18"/>
                <w:szCs w:val="18"/>
                <w:lang w:eastAsia="zh-CN"/>
              </w:rPr>
              <w:t>局</w:t>
            </w:r>
            <w:r>
              <w:rPr>
                <w:rFonts w:hint="eastAsia" w:ascii="Times New Roman" w:hAnsi="Times New Roman"/>
                <w:kern w:val="0"/>
                <w:sz w:val="18"/>
                <w:szCs w:val="18"/>
              </w:rPr>
              <w:t>、农业农村</w:t>
            </w:r>
            <w:r>
              <w:rPr>
                <w:rFonts w:hint="eastAsia" w:ascii="Times New Roman" w:hAnsi="Times New Roman"/>
                <w:kern w:val="0"/>
                <w:sz w:val="18"/>
                <w:szCs w:val="18"/>
                <w:lang w:eastAsia="zh-CN"/>
              </w:rPr>
              <w:t>局</w:t>
            </w:r>
            <w:r>
              <w:rPr>
                <w:rFonts w:hint="eastAsia" w:ascii="Times New Roman" w:hAnsi="Times New Roman"/>
                <w:kern w:val="0"/>
                <w:sz w:val="18"/>
                <w:szCs w:val="18"/>
              </w:rPr>
              <w:t>、公安</w:t>
            </w:r>
            <w:r>
              <w:rPr>
                <w:rFonts w:hint="eastAsia" w:ascii="Times New Roman" w:hAnsi="Times New Roman"/>
                <w:kern w:val="0"/>
                <w:sz w:val="18"/>
                <w:szCs w:val="18"/>
                <w:lang w:eastAsia="zh-CN"/>
              </w:rPr>
              <w:t>局</w:t>
            </w:r>
            <w:r>
              <w:rPr>
                <w:rFonts w:hint="eastAsia" w:ascii="Times New Roman" w:hAnsi="Times New Roman"/>
                <w:kern w:val="0"/>
                <w:sz w:val="18"/>
                <w:szCs w:val="18"/>
              </w:rPr>
              <w:t>、林业局</w:t>
            </w:r>
          </w:p>
        </w:tc>
      </w:tr>
      <w:tr>
        <w:tblPrEx>
          <w:tblCellMar>
            <w:top w:w="0" w:type="dxa"/>
            <w:left w:w="108" w:type="dxa"/>
            <w:bottom w:w="0" w:type="dxa"/>
            <w:right w:w="108" w:type="dxa"/>
          </w:tblCellMar>
        </w:tblPrEx>
        <w:trPr>
          <w:trHeight w:val="984"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c>
          <w:tcPr>
            <w:tcW w:w="1467"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c>
          <w:tcPr>
            <w:tcW w:w="1682" w:type="dxa"/>
            <w:vMerge w:val="restart"/>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2.</w:t>
            </w:r>
            <w:r>
              <w:rPr>
                <w:rFonts w:hint="eastAsia" w:ascii="宋体" w:hAnsi="宋体"/>
                <w:kern w:val="0"/>
                <w:sz w:val="18"/>
                <w:szCs w:val="18"/>
              </w:rPr>
              <w:t>持续推进特殊困难群体参加城乡居民基本养老保险。</w:t>
            </w:r>
          </w:p>
        </w:tc>
        <w:tc>
          <w:tcPr>
            <w:tcW w:w="4187"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w:t>
            </w:r>
            <w:r>
              <w:rPr>
                <w:rFonts w:hint="eastAsia" w:ascii="Times New Roman" w:hAnsi="Times New Roman" w:cs="Times New Roman"/>
                <w:kern w:val="0"/>
                <w:sz w:val="18"/>
                <w:szCs w:val="18"/>
              </w:rPr>
              <w:t>1</w:t>
            </w:r>
            <w:r>
              <w:rPr>
                <w:rFonts w:hint="eastAsia" w:ascii="宋体" w:hAnsi="宋体"/>
                <w:kern w:val="0"/>
                <w:sz w:val="18"/>
                <w:szCs w:val="18"/>
              </w:rPr>
              <w:t>）落实《</w:t>
            </w:r>
            <w:r>
              <w:rPr>
                <w:rFonts w:hint="eastAsia" w:ascii="宋体" w:hAnsi="宋体"/>
                <w:kern w:val="0"/>
                <w:sz w:val="18"/>
                <w:szCs w:val="18"/>
                <w:lang w:eastAsia="zh-CN"/>
              </w:rPr>
              <w:t>自治区</w:t>
            </w:r>
            <w:r>
              <w:rPr>
                <w:rFonts w:hint="eastAsia" w:ascii="宋体" w:hAnsi="宋体"/>
                <w:kern w:val="0"/>
                <w:sz w:val="18"/>
                <w:szCs w:val="18"/>
              </w:rPr>
              <w:t>关于巩固拓展社会保险扶贫成果助力全面实施乡村振兴战略的通知》，完善对特殊困难群体代缴政策。</w:t>
            </w:r>
          </w:p>
        </w:tc>
        <w:tc>
          <w:tcPr>
            <w:tcW w:w="1095"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2021</w:t>
            </w:r>
            <w:r>
              <w:rPr>
                <w:rFonts w:hint="eastAsia" w:ascii="宋体" w:hAnsi="宋体"/>
                <w:kern w:val="0"/>
                <w:sz w:val="18"/>
                <w:szCs w:val="18"/>
              </w:rPr>
              <w:t>年</w:t>
            </w:r>
            <w:r>
              <w:rPr>
                <w:rFonts w:hint="eastAsia" w:ascii="Times New Roman" w:hAnsi="Times New Roman" w:cs="Times New Roman"/>
                <w:kern w:val="0"/>
                <w:sz w:val="18"/>
                <w:szCs w:val="18"/>
              </w:rPr>
              <w:t>10</w:t>
            </w:r>
            <w:r>
              <w:rPr>
                <w:rFonts w:hint="eastAsia" w:ascii="宋体" w:hAnsi="宋体"/>
                <w:kern w:val="0"/>
                <w:sz w:val="18"/>
                <w:szCs w:val="18"/>
              </w:rPr>
              <w:t>月底前</w:t>
            </w:r>
          </w:p>
        </w:tc>
        <w:tc>
          <w:tcPr>
            <w:tcW w:w="1593" w:type="dxa"/>
            <w:gridSpan w:val="2"/>
            <w:vMerge w:val="restart"/>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各</w:t>
            </w:r>
            <w:r>
              <w:rPr>
                <w:rFonts w:hint="eastAsia"/>
                <w:kern w:val="0"/>
                <w:sz w:val="18"/>
                <w:szCs w:val="18"/>
                <w:lang w:eastAsia="zh-CN"/>
              </w:rPr>
              <w:t>乡（镇）</w:t>
            </w:r>
            <w:r>
              <w:rPr>
                <w:rFonts w:hint="eastAsia" w:ascii="Times New Roman" w:hAnsi="Times New Roman"/>
                <w:kern w:val="0"/>
                <w:sz w:val="18"/>
                <w:szCs w:val="18"/>
              </w:rPr>
              <w:t>人民政府，</w:t>
            </w:r>
            <w:r>
              <w:rPr>
                <w:rFonts w:hint="eastAsia" w:ascii="Times New Roman" w:hAnsi="Times New Roman"/>
                <w:kern w:val="0"/>
                <w:sz w:val="18"/>
                <w:szCs w:val="18"/>
                <w:lang w:eastAsia="zh-CN"/>
              </w:rPr>
              <w:t>县人力资源社会保障局</w:t>
            </w:r>
            <w:r>
              <w:rPr>
                <w:rFonts w:hint="eastAsia" w:ascii="Times New Roman" w:hAnsi="Times New Roman"/>
                <w:kern w:val="0"/>
                <w:sz w:val="18"/>
                <w:szCs w:val="18"/>
              </w:rPr>
              <w:t>、财政</w:t>
            </w:r>
            <w:r>
              <w:rPr>
                <w:rFonts w:hint="eastAsia" w:ascii="Times New Roman" w:hAnsi="Times New Roman"/>
                <w:kern w:val="0"/>
                <w:sz w:val="18"/>
                <w:szCs w:val="18"/>
                <w:lang w:eastAsia="zh-CN"/>
              </w:rPr>
              <w:t>局</w:t>
            </w:r>
            <w:r>
              <w:rPr>
                <w:rFonts w:hint="eastAsia" w:ascii="Times New Roman" w:hAnsi="Times New Roman"/>
                <w:kern w:val="0"/>
                <w:sz w:val="18"/>
                <w:szCs w:val="18"/>
              </w:rPr>
              <w:t>、税务局、民政</w:t>
            </w:r>
            <w:r>
              <w:rPr>
                <w:rFonts w:hint="eastAsia" w:ascii="Times New Roman" w:hAnsi="Times New Roman"/>
                <w:kern w:val="0"/>
                <w:sz w:val="18"/>
                <w:szCs w:val="18"/>
                <w:lang w:eastAsia="zh-CN"/>
              </w:rPr>
              <w:t>局</w:t>
            </w:r>
            <w:r>
              <w:rPr>
                <w:rFonts w:hint="eastAsia" w:ascii="Times New Roman" w:hAnsi="Times New Roman"/>
                <w:kern w:val="0"/>
                <w:sz w:val="18"/>
                <w:szCs w:val="18"/>
              </w:rPr>
              <w:t>、乡村振兴局、残联</w:t>
            </w:r>
          </w:p>
        </w:tc>
      </w:tr>
      <w:tr>
        <w:tblPrEx>
          <w:tblCellMar>
            <w:top w:w="0" w:type="dxa"/>
            <w:left w:w="108" w:type="dxa"/>
            <w:bottom w:w="0" w:type="dxa"/>
            <w:right w:w="108" w:type="dxa"/>
          </w:tblCellMar>
        </w:tblPrEx>
        <w:trPr>
          <w:trHeight w:val="765"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c>
          <w:tcPr>
            <w:tcW w:w="1467"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c>
          <w:tcPr>
            <w:tcW w:w="1682"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c>
          <w:tcPr>
            <w:tcW w:w="4187"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w:t>
            </w:r>
            <w:r>
              <w:rPr>
                <w:rFonts w:hint="eastAsia" w:ascii="Times New Roman" w:hAnsi="Times New Roman" w:cs="Times New Roman"/>
                <w:kern w:val="0"/>
                <w:sz w:val="18"/>
                <w:szCs w:val="18"/>
              </w:rPr>
              <w:t>2</w:t>
            </w:r>
            <w:r>
              <w:rPr>
                <w:rFonts w:hint="eastAsia" w:ascii="宋体" w:hAnsi="宋体"/>
                <w:kern w:val="0"/>
                <w:sz w:val="18"/>
                <w:szCs w:val="18"/>
              </w:rPr>
              <w:t>）推进将城乡低保对象、特困人员、重度残疾人、贫困残疾人等缴费困难群体纳入城乡居民基本养老保险参保范围。</w:t>
            </w:r>
          </w:p>
        </w:tc>
        <w:tc>
          <w:tcPr>
            <w:tcW w:w="1095"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18"/>
                <w:szCs w:val="18"/>
              </w:rPr>
            </w:pPr>
            <w:r>
              <w:rPr>
                <w:rFonts w:hint="eastAsia" w:ascii="Times New Roman" w:hAnsi="Times New Roman"/>
                <w:kern w:val="0"/>
                <w:sz w:val="18"/>
                <w:szCs w:val="18"/>
              </w:rPr>
              <w:t>2021</w:t>
            </w:r>
            <w:r>
              <w:rPr>
                <w:rFonts w:hint="eastAsia" w:ascii="宋体" w:hAnsi="宋体"/>
                <w:kern w:val="0"/>
                <w:sz w:val="18"/>
                <w:szCs w:val="18"/>
              </w:rPr>
              <w:t>年</w:t>
            </w:r>
            <w:r>
              <w:rPr>
                <w:rFonts w:hint="eastAsia" w:ascii="Times New Roman" w:hAnsi="Times New Roman" w:cs="Times New Roman"/>
                <w:kern w:val="0"/>
                <w:sz w:val="18"/>
                <w:szCs w:val="18"/>
              </w:rPr>
              <w:t>12</w:t>
            </w:r>
            <w:r>
              <w:rPr>
                <w:rFonts w:hint="eastAsia" w:ascii="宋体" w:hAnsi="宋体"/>
                <w:kern w:val="0"/>
                <w:sz w:val="18"/>
                <w:szCs w:val="18"/>
              </w:rPr>
              <w:t>月底前</w:t>
            </w:r>
          </w:p>
        </w:tc>
        <w:tc>
          <w:tcPr>
            <w:tcW w:w="1593" w:type="dxa"/>
            <w:gridSpan w:val="2"/>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kern w:val="0"/>
                <w:sz w:val="18"/>
                <w:szCs w:val="18"/>
              </w:rPr>
            </w:pPr>
          </w:p>
        </w:tc>
      </w:tr>
      <w:tr>
        <w:tblPrEx>
          <w:tblCellMar>
            <w:top w:w="0" w:type="dxa"/>
            <w:left w:w="108" w:type="dxa"/>
            <w:bottom w:w="0" w:type="dxa"/>
            <w:right w:w="108" w:type="dxa"/>
          </w:tblCellMar>
        </w:tblPrEx>
        <w:trPr>
          <w:trHeight w:val="1609" w:hRule="atLeast"/>
        </w:trPr>
        <w:tc>
          <w:tcPr>
            <w:tcW w:w="600"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4</w:t>
            </w:r>
          </w:p>
        </w:tc>
        <w:tc>
          <w:tcPr>
            <w:tcW w:w="1467"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（四）将农民工、灵活就业人员、新业态从业人员纳入企业职工基本养老保险保障范围</w:t>
            </w:r>
          </w:p>
        </w:tc>
        <w:tc>
          <w:tcPr>
            <w:tcW w:w="1682"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农民工、灵活就业人员、新业态从业人员不受地域、居住证等限制。</w:t>
            </w:r>
          </w:p>
        </w:tc>
        <w:tc>
          <w:tcPr>
            <w:tcW w:w="4187"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制定完善和落实政策，取消个体灵活就业人员参加企业职工基本养老保险的户籍和居住证限制，农民工、灵活就业人员、新业态从业人员凭身份证可在我</w:t>
            </w:r>
            <w:r>
              <w:rPr>
                <w:rFonts w:hint="eastAsia" w:ascii="Times New Roman" w:hAnsi="Times New Roman"/>
                <w:color w:val="000000"/>
                <w:kern w:val="0"/>
                <w:sz w:val="18"/>
                <w:szCs w:val="18"/>
                <w:lang w:eastAsia="zh-CN"/>
              </w:rPr>
              <w:t>县</w:t>
            </w:r>
            <w:r>
              <w:rPr>
                <w:rFonts w:hint="eastAsia" w:ascii="Times New Roman" w:hAnsi="Times New Roman"/>
                <w:color w:val="000000"/>
                <w:kern w:val="0"/>
                <w:sz w:val="18"/>
                <w:szCs w:val="18"/>
              </w:rPr>
              <w:t>参加企业职工基本养老保险。</w:t>
            </w:r>
          </w:p>
        </w:tc>
        <w:tc>
          <w:tcPr>
            <w:tcW w:w="1095"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2021</w:t>
            </w:r>
            <w:r>
              <w:rPr>
                <w:rFonts w:hint="eastAsia" w:ascii="宋体" w:hAnsi="宋体"/>
                <w:color w:val="000000"/>
                <w:kern w:val="0"/>
                <w:sz w:val="18"/>
                <w:szCs w:val="18"/>
              </w:rPr>
              <w:t>年</w:t>
            </w:r>
            <w:r>
              <w:rPr>
                <w:rFonts w:hint="eastAsia" w:cs="Times New Roman"/>
                <w:color w:val="000000"/>
                <w:kern w:val="0"/>
                <w:sz w:val="18"/>
                <w:szCs w:val="18"/>
                <w:lang w:val="en-US" w:eastAsia="zh-CN"/>
              </w:rPr>
              <w:t>10</w:t>
            </w:r>
            <w:r>
              <w:rPr>
                <w:rFonts w:hint="eastAsia" w:ascii="宋体" w:hAnsi="宋体"/>
                <w:color w:val="000000"/>
                <w:kern w:val="0"/>
                <w:sz w:val="18"/>
                <w:szCs w:val="18"/>
              </w:rPr>
              <w:t>月底前</w:t>
            </w:r>
          </w:p>
        </w:tc>
        <w:tc>
          <w:tcPr>
            <w:tcW w:w="1593" w:type="dxa"/>
            <w:gridSpan w:val="2"/>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lang w:eastAsia="zh-CN"/>
              </w:rPr>
              <w:t>县人力资源社会保障局</w:t>
            </w:r>
            <w:r>
              <w:rPr>
                <w:rFonts w:hint="eastAsia" w:ascii="Times New Roman" w:hAnsi="Times New Roman"/>
                <w:color w:val="000000"/>
                <w:kern w:val="0"/>
                <w:sz w:val="18"/>
                <w:szCs w:val="18"/>
              </w:rPr>
              <w:t>、财政</w:t>
            </w:r>
            <w:r>
              <w:rPr>
                <w:rFonts w:hint="eastAsia" w:ascii="Times New Roman" w:hAnsi="Times New Roman"/>
                <w:color w:val="000000"/>
                <w:kern w:val="0"/>
                <w:sz w:val="18"/>
                <w:szCs w:val="18"/>
                <w:lang w:eastAsia="zh-CN"/>
              </w:rPr>
              <w:t>局</w:t>
            </w:r>
            <w:r>
              <w:rPr>
                <w:rFonts w:hint="eastAsia" w:ascii="Times New Roman" w:hAnsi="Times New Roman"/>
                <w:color w:val="000000"/>
                <w:kern w:val="0"/>
                <w:sz w:val="18"/>
                <w:szCs w:val="18"/>
              </w:rPr>
              <w:t>，</w:t>
            </w:r>
            <w:r>
              <w:rPr>
                <w:rFonts w:hint="eastAsia" w:ascii="Times New Roman" w:hAnsi="Times New Roman"/>
                <w:kern w:val="0"/>
                <w:sz w:val="18"/>
                <w:szCs w:val="18"/>
              </w:rPr>
              <w:t>各</w:t>
            </w:r>
            <w:r>
              <w:rPr>
                <w:rFonts w:hint="eastAsia"/>
                <w:kern w:val="0"/>
                <w:sz w:val="18"/>
                <w:szCs w:val="18"/>
                <w:lang w:eastAsia="zh-CN"/>
              </w:rPr>
              <w:t>乡（镇）</w:t>
            </w:r>
            <w:r>
              <w:rPr>
                <w:rFonts w:hint="eastAsia" w:ascii="Times New Roman" w:hAnsi="Times New Roman"/>
                <w:kern w:val="0"/>
                <w:sz w:val="18"/>
                <w:szCs w:val="18"/>
              </w:rPr>
              <w:t>人民政府</w:t>
            </w:r>
          </w:p>
        </w:tc>
      </w:tr>
      <w:tr>
        <w:tblPrEx>
          <w:tblCellMar>
            <w:top w:w="0" w:type="dxa"/>
            <w:left w:w="108" w:type="dxa"/>
            <w:bottom w:w="0" w:type="dxa"/>
            <w:right w:w="108" w:type="dxa"/>
          </w:tblCellMar>
        </w:tblPrEx>
        <w:trPr>
          <w:trHeight w:val="90" w:hRule="atLeast"/>
        </w:trPr>
        <w:tc>
          <w:tcPr>
            <w:tcW w:w="60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5</w:t>
            </w:r>
          </w:p>
        </w:tc>
        <w:tc>
          <w:tcPr>
            <w:tcW w:w="1467" w:type="dxa"/>
            <w:vMerge w:val="restart"/>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（五）加强领导协调</w:t>
            </w:r>
          </w:p>
        </w:tc>
        <w:tc>
          <w:tcPr>
            <w:tcW w:w="1682" w:type="dxa"/>
            <w:vMerge w:val="restart"/>
            <w:tcBorders>
              <w:top w:val="nil"/>
              <w:left w:val="nil"/>
              <w:bottom w:val="single" w:color="000000" w:sz="4" w:space="0"/>
              <w:right w:val="single" w:color="auto" w:sz="4" w:space="0"/>
            </w:tcBorders>
            <w:noWrap w:val="0"/>
            <w:vAlign w:val="center"/>
          </w:tcPr>
          <w:p>
            <w:pPr>
              <w:widowControl/>
              <w:spacing w:line="280"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加强</w:t>
            </w:r>
            <w:r>
              <w:rPr>
                <w:rFonts w:hint="eastAsia"/>
                <w:color w:val="000000"/>
                <w:kern w:val="0"/>
                <w:sz w:val="18"/>
                <w:szCs w:val="18"/>
                <w:lang w:eastAsia="zh-CN"/>
              </w:rPr>
              <w:t>乡（镇）</w:t>
            </w:r>
            <w:r>
              <w:rPr>
                <w:rFonts w:hint="eastAsia" w:ascii="Times New Roman" w:hAnsi="Times New Roman"/>
                <w:color w:val="000000"/>
                <w:kern w:val="0"/>
                <w:sz w:val="18"/>
                <w:szCs w:val="18"/>
              </w:rPr>
              <w:t>人民政府领导和职能部门协调，建立完善政府、职能部门基本养老保险扩面征缴定期协调会议制度</w:t>
            </w:r>
          </w:p>
        </w:tc>
        <w:tc>
          <w:tcPr>
            <w:tcW w:w="4187"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1</w:t>
            </w:r>
            <w:r>
              <w:rPr>
                <w:rFonts w:hint="eastAsia" w:ascii="宋体" w:hAnsi="宋体"/>
                <w:color w:val="000000"/>
                <w:kern w:val="0"/>
                <w:sz w:val="18"/>
                <w:szCs w:val="18"/>
              </w:rPr>
              <w:t>）各</w:t>
            </w:r>
            <w:r>
              <w:rPr>
                <w:rFonts w:hint="eastAsia" w:ascii="宋体" w:hAnsi="宋体"/>
                <w:color w:val="000000"/>
                <w:kern w:val="0"/>
                <w:sz w:val="18"/>
                <w:szCs w:val="18"/>
                <w:lang w:eastAsia="zh-CN"/>
              </w:rPr>
              <w:t>乡（镇）</w:t>
            </w:r>
            <w:r>
              <w:rPr>
                <w:rFonts w:hint="eastAsia" w:ascii="宋体" w:hAnsi="宋体"/>
                <w:color w:val="000000"/>
                <w:kern w:val="0"/>
                <w:sz w:val="18"/>
                <w:szCs w:val="18"/>
              </w:rPr>
              <w:t>人民政府每年定期专题研究协调解决基本养老保险扩面征缴问题。</w:t>
            </w:r>
          </w:p>
        </w:tc>
        <w:tc>
          <w:tcPr>
            <w:tcW w:w="1095"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每年开展</w:t>
            </w:r>
          </w:p>
        </w:tc>
        <w:tc>
          <w:tcPr>
            <w:tcW w:w="1593" w:type="dxa"/>
            <w:gridSpan w:val="2"/>
            <w:vMerge w:val="restart"/>
            <w:tcBorders>
              <w:top w:val="nil"/>
              <w:left w:val="nil"/>
              <w:bottom w:val="single" w:color="000000" w:sz="4" w:space="0"/>
              <w:right w:val="single" w:color="auto" w:sz="4" w:space="0"/>
            </w:tcBorders>
            <w:noWrap w:val="0"/>
            <w:vAlign w:val="center"/>
          </w:tcPr>
          <w:p>
            <w:pPr>
              <w:widowControl/>
              <w:jc w:val="left"/>
              <w:rPr>
                <w:rFonts w:hint="eastAsia" w:ascii="Times New Roman" w:hAnsi="Times New Roman" w:eastAsia="宋体"/>
                <w:color w:val="000000"/>
                <w:kern w:val="0"/>
                <w:sz w:val="18"/>
                <w:szCs w:val="18"/>
                <w:lang w:eastAsia="zh-CN"/>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r>
              <w:rPr>
                <w:rFonts w:hint="eastAsia" w:ascii="Times New Roman" w:hAnsi="Times New Roman"/>
                <w:color w:val="000000"/>
                <w:kern w:val="0"/>
                <w:sz w:val="18"/>
                <w:szCs w:val="18"/>
                <w:lang w:eastAsia="zh-CN"/>
              </w:rPr>
              <w:t>县人力资源社会保障局</w:t>
            </w:r>
            <w:r>
              <w:rPr>
                <w:rFonts w:hint="eastAsia" w:ascii="Times New Roman" w:hAnsi="Times New Roman"/>
                <w:color w:val="000000"/>
                <w:kern w:val="0"/>
                <w:sz w:val="18"/>
                <w:szCs w:val="18"/>
              </w:rPr>
              <w:t>、税务局、财政</w:t>
            </w:r>
            <w:r>
              <w:rPr>
                <w:rFonts w:hint="eastAsia" w:ascii="Times New Roman" w:hAnsi="Times New Roman"/>
                <w:color w:val="000000"/>
                <w:kern w:val="0"/>
                <w:sz w:val="18"/>
                <w:szCs w:val="18"/>
                <w:lang w:eastAsia="zh-CN"/>
              </w:rPr>
              <w:t>局</w:t>
            </w:r>
          </w:p>
        </w:tc>
      </w:tr>
      <w:tr>
        <w:tblPrEx>
          <w:tblCellMar>
            <w:top w:w="0" w:type="dxa"/>
            <w:left w:w="108" w:type="dxa"/>
            <w:bottom w:w="0" w:type="dxa"/>
            <w:right w:w="108" w:type="dxa"/>
          </w:tblCellMar>
        </w:tblPrEx>
        <w:trPr>
          <w:trHeight w:val="91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4187"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2</w:t>
            </w:r>
            <w:r>
              <w:rPr>
                <w:rFonts w:hint="eastAsia" w:ascii="宋体" w:hAnsi="宋体"/>
                <w:color w:val="000000"/>
                <w:kern w:val="0"/>
                <w:sz w:val="18"/>
                <w:szCs w:val="18"/>
              </w:rPr>
              <w:t>）</w:t>
            </w:r>
            <w:r>
              <w:rPr>
                <w:rFonts w:hint="eastAsia" w:ascii="宋体" w:hAnsi="宋体"/>
                <w:color w:val="000000"/>
                <w:kern w:val="0"/>
                <w:sz w:val="18"/>
                <w:szCs w:val="18"/>
                <w:lang w:eastAsia="zh-CN"/>
              </w:rPr>
              <w:t>县人社</w:t>
            </w:r>
            <w:r>
              <w:rPr>
                <w:rFonts w:hint="eastAsia" w:ascii="宋体" w:hAnsi="宋体"/>
                <w:color w:val="000000"/>
                <w:kern w:val="0"/>
                <w:sz w:val="18"/>
                <w:szCs w:val="18"/>
              </w:rPr>
              <w:t>、税务等职能部门定期向同级人民政府报告基本养老保险扩面征缴和基金运行情况和问题。</w:t>
            </w:r>
          </w:p>
        </w:tc>
        <w:tc>
          <w:tcPr>
            <w:tcW w:w="1095"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每年开展</w:t>
            </w:r>
          </w:p>
        </w:tc>
        <w:tc>
          <w:tcPr>
            <w:tcW w:w="1593" w:type="dxa"/>
            <w:gridSpan w:val="2"/>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967"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4187"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3</w:t>
            </w:r>
            <w:r>
              <w:rPr>
                <w:rFonts w:hint="eastAsia" w:ascii="宋体" w:hAnsi="宋体"/>
                <w:color w:val="000000"/>
                <w:kern w:val="0"/>
                <w:sz w:val="18"/>
                <w:szCs w:val="18"/>
              </w:rPr>
              <w:t>）</w:t>
            </w:r>
            <w:r>
              <w:rPr>
                <w:rFonts w:hint="eastAsia" w:ascii="宋体" w:hAnsi="宋体"/>
                <w:color w:val="000000"/>
                <w:kern w:val="0"/>
                <w:sz w:val="18"/>
                <w:szCs w:val="18"/>
                <w:lang w:eastAsia="zh-CN"/>
              </w:rPr>
              <w:t>县人社</w:t>
            </w:r>
            <w:r>
              <w:rPr>
                <w:rFonts w:hint="eastAsia" w:ascii="宋体" w:hAnsi="宋体"/>
                <w:color w:val="000000"/>
                <w:kern w:val="0"/>
                <w:sz w:val="18"/>
                <w:szCs w:val="18"/>
              </w:rPr>
              <w:t>部门加强与税务等相关部门的沟通协调，完善各司其职、协调联动的工作机制，合力推进基本养老保险扩面征缴工作的开展。</w:t>
            </w:r>
          </w:p>
        </w:tc>
        <w:tc>
          <w:tcPr>
            <w:tcW w:w="1095" w:type="dxa"/>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每年开展</w:t>
            </w:r>
          </w:p>
        </w:tc>
        <w:tc>
          <w:tcPr>
            <w:tcW w:w="1593" w:type="dxa"/>
            <w:gridSpan w:val="2"/>
            <w:vMerge w:val="continue"/>
            <w:tcBorders>
              <w:top w:val="nil"/>
              <w:left w:val="nil"/>
              <w:bottom w:val="single" w:color="000000" w:sz="4" w:space="0"/>
              <w:right w:val="single" w:color="auto" w:sz="4" w:space="0"/>
            </w:tcBorders>
            <w:noWrap w:val="0"/>
            <w:vAlign w:val="center"/>
          </w:tcPr>
          <w:p>
            <w:pPr>
              <w:widowControl/>
              <w:jc w:val="left"/>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795" w:hRule="atLeast"/>
        </w:trPr>
        <w:tc>
          <w:tcPr>
            <w:tcW w:w="60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宋体"/>
                <w:color w:val="000000"/>
                <w:kern w:val="0"/>
                <w:sz w:val="18"/>
                <w:szCs w:val="18"/>
                <w:lang w:eastAsia="zh-CN"/>
              </w:rPr>
            </w:pPr>
            <w:r>
              <w:rPr>
                <w:rFonts w:hint="eastAsia" w:ascii="Times New Roman" w:hAnsi="Times New Roman"/>
                <w:color w:val="000000"/>
                <w:kern w:val="0"/>
                <w:sz w:val="18"/>
                <w:szCs w:val="18"/>
                <w:lang w:val="en-US" w:eastAsia="zh-CN"/>
              </w:rPr>
              <w:t>6</w:t>
            </w:r>
          </w:p>
        </w:tc>
        <w:tc>
          <w:tcPr>
            <w:tcW w:w="1467" w:type="dxa"/>
            <w:vMerge w:val="restart"/>
            <w:tcBorders>
              <w:top w:val="nil"/>
              <w:left w:val="nil"/>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（六）建立健全工作机制</w:t>
            </w:r>
          </w:p>
        </w:tc>
        <w:tc>
          <w:tcPr>
            <w:tcW w:w="1682" w:type="dxa"/>
            <w:vMerge w:val="restart"/>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1.</w:t>
            </w:r>
            <w:r>
              <w:rPr>
                <w:rFonts w:hint="eastAsia" w:ascii="宋体" w:hAnsi="宋体"/>
                <w:color w:val="000000"/>
                <w:kern w:val="0"/>
                <w:sz w:val="18"/>
                <w:szCs w:val="18"/>
              </w:rPr>
              <w:t xml:space="preserve">建立健全基本养老保险扩面征缴和基金运行信息报送、定期分析预警工作机制 </w:t>
            </w:r>
          </w:p>
        </w:tc>
        <w:tc>
          <w:tcPr>
            <w:tcW w:w="4187"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1</w:t>
            </w:r>
            <w:r>
              <w:rPr>
                <w:rFonts w:hint="eastAsia" w:ascii="宋体" w:hAnsi="宋体"/>
                <w:color w:val="000000"/>
                <w:kern w:val="0"/>
                <w:sz w:val="18"/>
                <w:szCs w:val="18"/>
              </w:rPr>
              <w:t>）根据人力资源社会保障统计报表制度的有关要求，按时间编制完成月度、季度统计报表并按要求报送。</w:t>
            </w:r>
          </w:p>
        </w:tc>
        <w:tc>
          <w:tcPr>
            <w:tcW w:w="1095"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持续推进</w:t>
            </w:r>
          </w:p>
        </w:tc>
        <w:tc>
          <w:tcPr>
            <w:tcW w:w="1593" w:type="dxa"/>
            <w:gridSpan w:val="2"/>
            <w:vMerge w:val="restart"/>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r>
              <w:rPr>
                <w:rFonts w:hint="eastAsia" w:ascii="Times New Roman" w:hAnsi="Times New Roman"/>
                <w:color w:val="000000"/>
                <w:kern w:val="0"/>
                <w:sz w:val="18"/>
                <w:szCs w:val="18"/>
                <w:lang w:eastAsia="zh-CN"/>
              </w:rPr>
              <w:t>县人力资源社会保障局</w:t>
            </w:r>
            <w:r>
              <w:rPr>
                <w:rFonts w:hint="eastAsia" w:ascii="Times New Roman" w:hAnsi="Times New Roman"/>
                <w:color w:val="000000"/>
                <w:kern w:val="0"/>
                <w:sz w:val="18"/>
                <w:szCs w:val="18"/>
              </w:rPr>
              <w:t>、税务局。</w:t>
            </w:r>
          </w:p>
        </w:tc>
      </w:tr>
      <w:tr>
        <w:tblPrEx>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left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vMerge w:val="continue"/>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4187"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2</w:t>
            </w:r>
            <w:r>
              <w:rPr>
                <w:rFonts w:hint="eastAsia" w:ascii="宋体" w:hAnsi="宋体"/>
                <w:color w:val="000000"/>
                <w:kern w:val="0"/>
                <w:sz w:val="18"/>
                <w:szCs w:val="18"/>
              </w:rPr>
              <w:t>）各</w:t>
            </w:r>
            <w:r>
              <w:rPr>
                <w:rFonts w:hint="eastAsia" w:ascii="宋体" w:hAnsi="宋体"/>
                <w:color w:val="000000"/>
                <w:kern w:val="0"/>
                <w:sz w:val="18"/>
                <w:szCs w:val="18"/>
                <w:lang w:eastAsia="zh-CN"/>
              </w:rPr>
              <w:t>乡（镇）</w:t>
            </w:r>
            <w:r>
              <w:rPr>
                <w:rFonts w:hint="eastAsia" w:ascii="宋体" w:hAnsi="宋体"/>
                <w:color w:val="000000"/>
                <w:kern w:val="0"/>
                <w:sz w:val="18"/>
                <w:szCs w:val="18"/>
              </w:rPr>
              <w:t>人民政府每季度开展基本养老保险参保扩面和基金运行报表分析和预警。</w:t>
            </w:r>
          </w:p>
        </w:tc>
        <w:tc>
          <w:tcPr>
            <w:tcW w:w="1095"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每季度开展</w:t>
            </w:r>
          </w:p>
        </w:tc>
        <w:tc>
          <w:tcPr>
            <w:tcW w:w="1593" w:type="dxa"/>
            <w:gridSpan w:val="2"/>
            <w:vMerge w:val="continue"/>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813"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left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vMerge w:val="continue"/>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4187"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w:t>
            </w:r>
            <w:r>
              <w:rPr>
                <w:rFonts w:hint="eastAsia" w:ascii="Times New Roman" w:hAnsi="Times New Roman" w:cs="Times New Roman"/>
                <w:color w:val="000000"/>
                <w:kern w:val="0"/>
                <w:sz w:val="18"/>
                <w:szCs w:val="18"/>
              </w:rPr>
              <w:t>3</w:t>
            </w:r>
            <w:r>
              <w:rPr>
                <w:rFonts w:hint="eastAsia" w:ascii="宋体" w:hAnsi="宋体"/>
                <w:color w:val="000000"/>
                <w:kern w:val="0"/>
                <w:sz w:val="18"/>
                <w:szCs w:val="18"/>
              </w:rPr>
              <w:t>）</w:t>
            </w:r>
            <w:r>
              <w:rPr>
                <w:rFonts w:hint="eastAsia" w:ascii="宋体" w:hAnsi="宋体"/>
                <w:color w:val="000000"/>
                <w:kern w:val="0"/>
                <w:sz w:val="18"/>
                <w:szCs w:val="18"/>
                <w:lang w:eastAsia="zh-CN"/>
              </w:rPr>
              <w:t>县人力资源社会保障局</w:t>
            </w:r>
            <w:r>
              <w:rPr>
                <w:rFonts w:hint="eastAsia" w:ascii="宋体" w:hAnsi="宋体"/>
                <w:color w:val="000000"/>
                <w:kern w:val="0"/>
                <w:sz w:val="18"/>
                <w:szCs w:val="18"/>
              </w:rPr>
              <w:t>切实加强劳动监察执法力度，引导企业依法用工，促进职工依法参加基本养老保险。</w:t>
            </w:r>
          </w:p>
        </w:tc>
        <w:tc>
          <w:tcPr>
            <w:tcW w:w="1095"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每年开展</w:t>
            </w:r>
          </w:p>
        </w:tc>
        <w:tc>
          <w:tcPr>
            <w:tcW w:w="1593" w:type="dxa"/>
            <w:gridSpan w:val="2"/>
            <w:vMerge w:val="continue"/>
            <w:tcBorders>
              <w:top w:val="nil"/>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1599"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left w:val="nil"/>
              <w:right w:val="single" w:color="auto" w:sz="4" w:space="0"/>
            </w:tcBorders>
            <w:noWrap w:val="0"/>
            <w:vAlign w:val="center"/>
          </w:tcPr>
          <w:p>
            <w:pPr>
              <w:widowControl/>
              <w:jc w:val="left"/>
              <w:rPr>
                <w:rFonts w:ascii="Times New Roman" w:hAnsi="Times New Roman"/>
                <w:color w:val="000000"/>
                <w:kern w:val="0"/>
                <w:sz w:val="18"/>
                <w:szCs w:val="18"/>
              </w:rPr>
            </w:pPr>
          </w:p>
        </w:tc>
        <w:tc>
          <w:tcPr>
            <w:tcW w:w="1682" w:type="dxa"/>
            <w:vMerge w:val="restart"/>
            <w:tcBorders>
              <w:top w:val="single" w:color="auto" w:sz="4" w:space="0"/>
              <w:left w:val="nil"/>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2.</w:t>
            </w:r>
            <w:r>
              <w:rPr>
                <w:rFonts w:hint="eastAsia" w:ascii="宋体" w:hAnsi="宋体"/>
                <w:color w:val="000000"/>
                <w:kern w:val="0"/>
                <w:sz w:val="18"/>
                <w:szCs w:val="18"/>
              </w:rPr>
              <w:t>进一步完善社会保险公共服务平台。推进社会保险业务“全区通办”“跨省通办”</w:t>
            </w:r>
            <w:r>
              <w:rPr>
                <w:rFonts w:hint="eastAsia" w:ascii="宋体" w:hAnsi="宋体"/>
                <w:color w:val="000000"/>
                <w:kern w:val="0"/>
                <w:sz w:val="18"/>
                <w:szCs w:val="18"/>
                <w:lang w:eastAsia="zh-CN"/>
              </w:rPr>
              <w:t>；</w:t>
            </w:r>
            <w:r>
              <w:rPr>
                <w:rFonts w:hint="eastAsia" w:ascii="宋体" w:hAnsi="宋体"/>
                <w:color w:val="000000"/>
                <w:kern w:val="0"/>
                <w:sz w:val="18"/>
                <w:szCs w:val="18"/>
              </w:rPr>
              <w:t>完善全</w:t>
            </w:r>
            <w:r>
              <w:rPr>
                <w:rFonts w:hint="eastAsia" w:ascii="宋体" w:hAnsi="宋体"/>
                <w:color w:val="000000"/>
                <w:kern w:val="0"/>
                <w:sz w:val="18"/>
                <w:szCs w:val="18"/>
                <w:lang w:eastAsia="zh-CN"/>
              </w:rPr>
              <w:t>县</w:t>
            </w:r>
            <w:r>
              <w:rPr>
                <w:rFonts w:hint="eastAsia" w:ascii="宋体" w:hAnsi="宋体"/>
                <w:color w:val="000000"/>
                <w:kern w:val="0"/>
                <w:sz w:val="18"/>
                <w:szCs w:val="18"/>
              </w:rPr>
              <w:t>村级就业社保服务平台建设。</w:t>
            </w:r>
          </w:p>
        </w:tc>
        <w:tc>
          <w:tcPr>
            <w:tcW w:w="4187"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lang w:eastAsia="zh-CN"/>
              </w:rPr>
              <w:t>（</w:t>
            </w:r>
            <w:r>
              <w:rPr>
                <w:rFonts w:hint="eastAsia" w:ascii="Times New Roman" w:hAnsi="Times New Roman"/>
                <w:color w:val="000000"/>
                <w:kern w:val="0"/>
                <w:sz w:val="18"/>
                <w:szCs w:val="18"/>
                <w:lang w:val="en-US" w:eastAsia="zh-CN"/>
              </w:rPr>
              <w:t>1）</w:t>
            </w:r>
            <w:r>
              <w:rPr>
                <w:rFonts w:hint="eastAsia" w:ascii="Times New Roman" w:hAnsi="Times New Roman"/>
                <w:color w:val="000000"/>
                <w:kern w:val="0"/>
                <w:sz w:val="18"/>
                <w:szCs w:val="18"/>
              </w:rPr>
              <w:t>2021</w:t>
            </w:r>
            <w:r>
              <w:rPr>
                <w:rFonts w:hint="eastAsia" w:ascii="宋体" w:hAnsi="宋体"/>
                <w:color w:val="000000"/>
                <w:kern w:val="0"/>
                <w:sz w:val="18"/>
                <w:szCs w:val="18"/>
              </w:rPr>
              <w:t>年实现</w:t>
            </w:r>
            <w:r>
              <w:rPr>
                <w:rFonts w:hint="eastAsia" w:ascii="Times New Roman" w:hAnsi="Times New Roman" w:cs="Times New Roman"/>
                <w:color w:val="000000"/>
                <w:kern w:val="0"/>
                <w:sz w:val="18"/>
                <w:szCs w:val="18"/>
              </w:rPr>
              <w:t>85%</w:t>
            </w:r>
            <w:r>
              <w:rPr>
                <w:rFonts w:hint="eastAsia" w:ascii="宋体" w:hAnsi="宋体"/>
                <w:color w:val="000000"/>
                <w:kern w:val="0"/>
                <w:sz w:val="18"/>
                <w:szCs w:val="18"/>
              </w:rPr>
              <w:t>的社保公共服务事项全区通办；完成人社部确定的</w:t>
            </w:r>
            <w:r>
              <w:rPr>
                <w:rFonts w:hint="eastAsia" w:ascii="Times New Roman" w:hAnsi="Times New Roman" w:cs="Times New Roman"/>
                <w:color w:val="000000"/>
                <w:kern w:val="0"/>
                <w:sz w:val="18"/>
                <w:szCs w:val="18"/>
              </w:rPr>
              <w:t>2021</w:t>
            </w:r>
            <w:r>
              <w:rPr>
                <w:rFonts w:hint="eastAsia" w:ascii="宋体" w:hAnsi="宋体"/>
                <w:color w:val="000000"/>
                <w:kern w:val="0"/>
                <w:sz w:val="18"/>
                <w:szCs w:val="18"/>
              </w:rPr>
              <w:t>年</w:t>
            </w:r>
            <w:r>
              <w:rPr>
                <w:rFonts w:hint="eastAsia" w:ascii="Times New Roman" w:hAnsi="Times New Roman" w:cs="Times New Roman"/>
                <w:color w:val="000000"/>
                <w:kern w:val="0"/>
                <w:sz w:val="18"/>
                <w:szCs w:val="18"/>
              </w:rPr>
              <w:t>8</w:t>
            </w:r>
            <w:r>
              <w:rPr>
                <w:rFonts w:hint="eastAsia" w:ascii="宋体" w:hAnsi="宋体"/>
                <w:color w:val="000000"/>
                <w:kern w:val="0"/>
                <w:sz w:val="18"/>
                <w:szCs w:val="18"/>
              </w:rPr>
              <w:t>项社保业务跨省通办任务目标。</w:t>
            </w:r>
          </w:p>
        </w:tc>
        <w:tc>
          <w:tcPr>
            <w:tcW w:w="1095"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2021</w:t>
            </w:r>
            <w:r>
              <w:rPr>
                <w:rFonts w:hint="eastAsia" w:ascii="宋体" w:hAnsi="宋体"/>
                <w:color w:val="000000"/>
                <w:kern w:val="0"/>
                <w:sz w:val="18"/>
                <w:szCs w:val="18"/>
              </w:rPr>
              <w:t>年</w:t>
            </w:r>
            <w:r>
              <w:rPr>
                <w:rFonts w:hint="eastAsia" w:ascii="Times New Roman" w:hAnsi="Times New Roman" w:cs="Times New Roman"/>
                <w:color w:val="000000"/>
                <w:kern w:val="0"/>
                <w:sz w:val="18"/>
                <w:szCs w:val="18"/>
              </w:rPr>
              <w:t>12</w:t>
            </w:r>
            <w:r>
              <w:rPr>
                <w:rFonts w:hint="eastAsia" w:ascii="宋体" w:hAnsi="宋体"/>
                <w:color w:val="000000"/>
                <w:kern w:val="0"/>
                <w:sz w:val="18"/>
                <w:szCs w:val="18"/>
              </w:rPr>
              <w:t>月底</w:t>
            </w:r>
          </w:p>
          <w:p>
            <w:pPr>
              <w:jc w:val="left"/>
              <w:rPr>
                <w:rFonts w:ascii="Times New Roman" w:hAnsi="Times New Roman"/>
                <w:color w:val="000000"/>
                <w:kern w:val="0"/>
                <w:sz w:val="18"/>
                <w:szCs w:val="18"/>
              </w:rPr>
            </w:pPr>
            <w:r>
              <w:rPr>
                <w:rFonts w:ascii="Times New Roman" w:hAnsi="Times New Roman"/>
                <w:color w:val="FF0000"/>
                <w:kern w:val="0"/>
                <w:sz w:val="18"/>
                <w:szCs w:val="18"/>
              </w:rPr>
              <w:t> </w:t>
            </w:r>
          </w:p>
        </w:tc>
        <w:tc>
          <w:tcPr>
            <w:tcW w:w="1593" w:type="dxa"/>
            <w:gridSpan w:val="2"/>
            <w:tcBorders>
              <w:top w:val="single" w:color="auto" w:sz="4" w:space="0"/>
              <w:left w:val="nil"/>
              <w:bottom w:val="single" w:color="auto" w:sz="4" w:space="0"/>
              <w:right w:val="single" w:color="auto" w:sz="4" w:space="0"/>
            </w:tcBorders>
            <w:noWrap w:val="0"/>
            <w:vAlign w:val="center"/>
          </w:tcPr>
          <w:p>
            <w:pPr>
              <w:widowControl/>
              <w:jc w:val="left"/>
              <w:rPr>
                <w:rFonts w:hint="eastAsia" w:ascii="Times New Roman" w:hAnsi="Times New Roman" w:eastAsia="宋体"/>
                <w:color w:val="000000"/>
                <w:kern w:val="0"/>
                <w:sz w:val="18"/>
                <w:szCs w:val="18"/>
                <w:lang w:eastAsia="zh-CN"/>
              </w:rPr>
            </w:pPr>
            <w:r>
              <w:rPr>
                <w:rFonts w:hint="eastAsia" w:ascii="Times New Roman" w:hAnsi="Times New Roman"/>
                <w:color w:val="000000"/>
                <w:kern w:val="0"/>
                <w:sz w:val="18"/>
                <w:szCs w:val="18"/>
                <w:lang w:eastAsia="zh-CN"/>
              </w:rPr>
              <w:t>县人力资源社会保障局</w:t>
            </w:r>
          </w:p>
        </w:tc>
      </w:tr>
      <w:tr>
        <w:tblPrEx>
          <w:tblCellMar>
            <w:top w:w="0" w:type="dxa"/>
            <w:left w:w="108" w:type="dxa"/>
            <w:bottom w:w="0" w:type="dxa"/>
            <w:right w:w="108" w:type="dxa"/>
          </w:tblCellMar>
        </w:tblPrEx>
        <w:trPr>
          <w:trHeight w:val="685"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vMerge w:val="continue"/>
            <w:tcBorders>
              <w:left w:val="nil"/>
              <w:bottom w:val="single" w:color="auto" w:sz="4" w:space="0"/>
              <w:right w:val="single" w:color="auto" w:sz="4" w:space="0"/>
            </w:tcBorders>
            <w:noWrap w:val="0"/>
            <w:vAlign w:val="center"/>
          </w:tcPr>
          <w:p>
            <w:pPr>
              <w:widowControl/>
              <w:jc w:val="left"/>
              <w:rPr>
                <w:rFonts w:hint="eastAsia" w:ascii="Times New Roman" w:hAnsi="Times New Roman"/>
                <w:color w:val="000000"/>
                <w:kern w:val="0"/>
                <w:sz w:val="18"/>
                <w:szCs w:val="18"/>
              </w:rPr>
            </w:pPr>
          </w:p>
        </w:tc>
        <w:tc>
          <w:tcPr>
            <w:tcW w:w="1682" w:type="dxa"/>
            <w:vMerge w:val="continue"/>
            <w:tcBorders>
              <w:left w:val="nil"/>
              <w:bottom w:val="single" w:color="auto" w:sz="4" w:space="0"/>
              <w:right w:val="single" w:color="auto" w:sz="4" w:space="0"/>
            </w:tcBorders>
            <w:noWrap w:val="0"/>
            <w:vAlign w:val="center"/>
          </w:tcPr>
          <w:p>
            <w:pPr>
              <w:widowControl/>
              <w:jc w:val="left"/>
              <w:rPr>
                <w:rFonts w:hint="eastAsia" w:ascii="Times New Roman" w:hAnsi="Times New Roman"/>
                <w:color w:val="000000"/>
                <w:kern w:val="0"/>
                <w:sz w:val="18"/>
                <w:szCs w:val="18"/>
              </w:rPr>
            </w:pPr>
          </w:p>
        </w:tc>
        <w:tc>
          <w:tcPr>
            <w:tcW w:w="4187" w:type="dxa"/>
            <w:tcBorders>
              <w:top w:val="single" w:color="auto" w:sz="4" w:space="0"/>
              <w:left w:val="nil"/>
              <w:bottom w:val="single" w:color="auto" w:sz="4" w:space="0"/>
              <w:right w:val="single" w:color="auto" w:sz="4" w:space="0"/>
            </w:tcBorders>
            <w:noWrap w:val="0"/>
            <w:vAlign w:val="center"/>
          </w:tcPr>
          <w:p>
            <w:pPr>
              <w:widowControl/>
              <w:jc w:val="left"/>
              <w:rPr>
                <w:rFonts w:hint="eastAsia" w:ascii="Times New Roman" w:hAnsi="Times New Roman"/>
                <w:color w:val="000000"/>
                <w:kern w:val="0"/>
                <w:sz w:val="18"/>
                <w:szCs w:val="18"/>
              </w:rPr>
            </w:pPr>
            <w:r>
              <w:rPr>
                <w:rFonts w:hint="eastAsia" w:ascii="宋体" w:hAnsi="宋体"/>
                <w:color w:val="000000"/>
                <w:kern w:val="0"/>
                <w:sz w:val="18"/>
                <w:szCs w:val="18"/>
                <w:lang w:eastAsia="zh-CN"/>
              </w:rPr>
              <w:t>（</w:t>
            </w:r>
            <w:r>
              <w:rPr>
                <w:rFonts w:hint="eastAsia" w:ascii="宋体" w:hAnsi="宋体"/>
                <w:color w:val="000000"/>
                <w:kern w:val="0"/>
                <w:sz w:val="18"/>
                <w:szCs w:val="18"/>
                <w:lang w:val="en-US" w:eastAsia="zh-CN"/>
              </w:rPr>
              <w:t>2）</w:t>
            </w:r>
            <w:r>
              <w:rPr>
                <w:rFonts w:hint="eastAsia" w:ascii="宋体" w:hAnsi="宋体"/>
                <w:color w:val="000000"/>
                <w:kern w:val="0"/>
                <w:sz w:val="18"/>
                <w:szCs w:val="18"/>
              </w:rPr>
              <w:t>完善全</w:t>
            </w:r>
            <w:r>
              <w:rPr>
                <w:rFonts w:hint="eastAsia" w:ascii="宋体" w:hAnsi="宋体"/>
                <w:color w:val="000000"/>
                <w:kern w:val="0"/>
                <w:sz w:val="18"/>
                <w:szCs w:val="18"/>
                <w:lang w:eastAsia="zh-CN"/>
              </w:rPr>
              <w:t>县</w:t>
            </w:r>
            <w:r>
              <w:rPr>
                <w:rFonts w:hint="eastAsia" w:ascii="宋体" w:hAnsi="宋体"/>
                <w:color w:val="000000"/>
                <w:kern w:val="0"/>
                <w:sz w:val="18"/>
                <w:szCs w:val="18"/>
              </w:rPr>
              <w:t>村级就业社保服务平台建设。</w:t>
            </w:r>
          </w:p>
        </w:tc>
        <w:tc>
          <w:tcPr>
            <w:tcW w:w="1095" w:type="dxa"/>
            <w:tcBorders>
              <w:top w:val="single" w:color="auto" w:sz="4" w:space="0"/>
              <w:left w:val="nil"/>
              <w:bottom w:val="single" w:color="auto" w:sz="4" w:space="0"/>
              <w:right w:val="single" w:color="auto" w:sz="4" w:space="0"/>
            </w:tcBorders>
            <w:noWrap w:val="0"/>
            <w:vAlign w:val="center"/>
          </w:tcPr>
          <w:p>
            <w:pPr>
              <w:widowControl/>
              <w:jc w:val="left"/>
              <w:rPr>
                <w:rFonts w:hint="eastAsia" w:ascii="Times New Roman" w:hAnsi="Times New Roman"/>
                <w:color w:val="000000"/>
                <w:kern w:val="0"/>
                <w:sz w:val="18"/>
                <w:szCs w:val="18"/>
              </w:rPr>
            </w:pPr>
            <w:r>
              <w:rPr>
                <w:rFonts w:hint="eastAsia" w:ascii="Times New Roman" w:hAnsi="Times New Roman"/>
                <w:color w:val="000000"/>
                <w:kern w:val="0"/>
                <w:sz w:val="18"/>
                <w:szCs w:val="18"/>
              </w:rPr>
              <w:t>2021</w:t>
            </w:r>
            <w:r>
              <w:rPr>
                <w:rFonts w:hint="eastAsia" w:ascii="宋体" w:hAnsi="宋体"/>
                <w:color w:val="000000"/>
                <w:kern w:val="0"/>
                <w:sz w:val="18"/>
                <w:szCs w:val="18"/>
              </w:rPr>
              <w:t>年</w:t>
            </w:r>
            <w:r>
              <w:rPr>
                <w:rFonts w:hint="eastAsia" w:ascii="Times New Roman" w:hAnsi="Times New Roman" w:cs="Times New Roman"/>
                <w:color w:val="000000"/>
                <w:kern w:val="0"/>
                <w:sz w:val="18"/>
                <w:szCs w:val="18"/>
              </w:rPr>
              <w:t>12</w:t>
            </w:r>
            <w:r>
              <w:rPr>
                <w:rFonts w:hint="eastAsia" w:ascii="宋体" w:hAnsi="宋体"/>
                <w:color w:val="000000"/>
                <w:kern w:val="0"/>
                <w:sz w:val="18"/>
                <w:szCs w:val="18"/>
              </w:rPr>
              <w:t>月底</w:t>
            </w:r>
          </w:p>
        </w:tc>
        <w:tc>
          <w:tcPr>
            <w:tcW w:w="1593" w:type="dxa"/>
            <w:gridSpan w:val="2"/>
            <w:tcBorders>
              <w:top w:val="single" w:color="auto" w:sz="4" w:space="0"/>
              <w:left w:val="nil"/>
              <w:bottom w:val="single" w:color="auto" w:sz="4" w:space="0"/>
              <w:right w:val="single" w:color="auto" w:sz="4" w:space="0"/>
            </w:tcBorders>
            <w:noWrap w:val="0"/>
            <w:vAlign w:val="center"/>
          </w:tcPr>
          <w:p>
            <w:pPr>
              <w:widowControl/>
              <w:jc w:val="left"/>
              <w:rPr>
                <w:rFonts w:hint="eastAsia" w:ascii="Times New Roman" w:hAnsi="Times New Roman"/>
                <w:color w:val="000000"/>
                <w:kern w:val="0"/>
                <w:sz w:val="18"/>
                <w:szCs w:val="18"/>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p>
        </w:tc>
      </w:tr>
      <w:tr>
        <w:tblPrEx>
          <w:tblCellMar>
            <w:top w:w="0" w:type="dxa"/>
            <w:left w:w="108" w:type="dxa"/>
            <w:bottom w:w="0" w:type="dxa"/>
            <w:right w:w="108" w:type="dxa"/>
          </w:tblCellMar>
        </w:tblPrEx>
        <w:trPr>
          <w:trHeight w:val="1335"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p>
        </w:tc>
        <w:tc>
          <w:tcPr>
            <w:tcW w:w="1467"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（七）强化责任落实</w:t>
            </w:r>
          </w:p>
        </w:tc>
        <w:tc>
          <w:tcPr>
            <w:tcW w:w="1682"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制定基本基本养老保险扩面征缴工作细案</w:t>
            </w:r>
          </w:p>
        </w:tc>
        <w:tc>
          <w:tcPr>
            <w:tcW w:w="4187"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人民政府结合工作实际，制定本级基本养老保险扩面征缴工作细案，明确工作项目、内容、措施、工作责任人和推进时间表等，实施任务清单销账制度。</w:t>
            </w:r>
          </w:p>
        </w:tc>
        <w:tc>
          <w:tcPr>
            <w:tcW w:w="1095"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2021</w:t>
            </w:r>
            <w:r>
              <w:rPr>
                <w:rFonts w:hint="eastAsia" w:ascii="宋体" w:hAnsi="宋体"/>
                <w:color w:val="000000"/>
                <w:kern w:val="0"/>
                <w:sz w:val="18"/>
                <w:szCs w:val="18"/>
              </w:rPr>
              <w:t>年</w:t>
            </w:r>
            <w:r>
              <w:rPr>
                <w:rFonts w:hint="eastAsia" w:cs="Times New Roman"/>
                <w:color w:val="000000"/>
                <w:kern w:val="0"/>
                <w:sz w:val="18"/>
                <w:szCs w:val="18"/>
                <w:lang w:val="en-US" w:eastAsia="zh-CN"/>
              </w:rPr>
              <w:t>10</w:t>
            </w:r>
            <w:r>
              <w:rPr>
                <w:rFonts w:hint="eastAsia" w:ascii="宋体" w:hAnsi="宋体"/>
                <w:color w:val="000000"/>
                <w:kern w:val="0"/>
                <w:sz w:val="18"/>
                <w:szCs w:val="18"/>
              </w:rPr>
              <w:t>月底前</w:t>
            </w:r>
          </w:p>
        </w:tc>
        <w:tc>
          <w:tcPr>
            <w:tcW w:w="1593"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 w:val="18"/>
                <w:szCs w:val="18"/>
              </w:rPr>
            </w:pPr>
            <w:r>
              <w:rPr>
                <w:rFonts w:hint="eastAsia" w:ascii="Times New Roman" w:hAnsi="Times New Roman"/>
                <w:color w:val="000000"/>
                <w:kern w:val="0"/>
                <w:sz w:val="18"/>
                <w:szCs w:val="18"/>
              </w:rPr>
              <w:t>各</w:t>
            </w:r>
            <w:r>
              <w:rPr>
                <w:rFonts w:hint="eastAsia"/>
                <w:color w:val="000000"/>
                <w:kern w:val="0"/>
                <w:sz w:val="18"/>
                <w:szCs w:val="18"/>
                <w:lang w:eastAsia="zh-CN"/>
              </w:rPr>
              <w:t>乡（镇）</w:t>
            </w:r>
            <w:r>
              <w:rPr>
                <w:rFonts w:hint="eastAsia" w:ascii="Times New Roman" w:hAnsi="Times New Roman"/>
                <w:color w:val="000000"/>
                <w:kern w:val="0"/>
                <w:sz w:val="18"/>
                <w:szCs w:val="18"/>
              </w:rPr>
              <w:t>人民政府</w:t>
            </w:r>
          </w:p>
        </w:tc>
      </w:tr>
    </w:tbl>
    <w:p>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ascii="Times New Roman" w:hAnsi="Times New Roman"/>
          <w:sz w:val="10"/>
          <w:szCs w:val="10"/>
        </w:rPr>
      </w:pPr>
      <w:r>
        <w:rPr>
          <w:rFonts w:hint="eastAsia" w:ascii="Times New Roman" w:hAnsi="Times New Roman"/>
          <w:sz w:val="32"/>
          <w:szCs w:val="32"/>
        </w:rPr>
        <w:t xml:space="preserve"> </w:t>
      </w:r>
    </w:p>
    <w:p>
      <w:pPr>
        <w:keepNext w:val="0"/>
        <w:keepLines w:val="0"/>
        <w:pageBreakBefore w:val="0"/>
        <w:widowControl w:val="0"/>
        <w:kinsoku/>
        <w:wordWrap/>
        <w:overflowPunct/>
        <w:topLinePunct w:val="0"/>
        <w:autoSpaceDE/>
        <w:autoSpaceDN/>
        <w:bidi w:val="0"/>
        <w:adjustRightInd/>
        <w:snapToGrid/>
        <w:spacing w:line="20" w:lineRule="exact"/>
        <w:textAlignment w:val="auto"/>
      </w:pPr>
    </w:p>
    <w:p>
      <w:pPr>
        <w:pStyle w:val="2"/>
        <w:keepNext w:val="0"/>
        <w:keepLines w:val="0"/>
        <w:pageBreakBefore w:val="0"/>
        <w:widowControl w:val="0"/>
        <w:kinsoku/>
        <w:wordWrap/>
        <w:overflowPunct/>
        <w:topLinePunct w:val="0"/>
        <w:bidi w:val="0"/>
        <w:snapToGrid/>
        <w:spacing w:line="586" w:lineRule="exact"/>
        <w:ind w:left="1646" w:leftChars="304" w:hanging="1008" w:hangingChars="300"/>
        <w:textAlignment w:val="auto"/>
        <w:rPr>
          <w:rFonts w:hint="default" w:ascii="Times New Roman" w:hAnsi="Times New Roman" w:eastAsia="仿宋_GB2312" w:cs="Times New Roman"/>
          <w:spacing w:val="8"/>
          <w:sz w:val="32"/>
          <w:szCs w:val="44"/>
          <w:lang w:eastAsia="zh-CN"/>
        </w:rPr>
      </w:pPr>
    </w:p>
    <w:p>
      <w:pPr>
        <w:pStyle w:val="2"/>
        <w:keepNext w:val="0"/>
        <w:keepLines w:val="0"/>
        <w:pageBreakBefore w:val="0"/>
        <w:widowControl w:val="0"/>
        <w:kinsoku/>
        <w:wordWrap/>
        <w:overflowPunct/>
        <w:topLinePunct w:val="0"/>
        <w:bidi w:val="0"/>
        <w:snapToGrid/>
        <w:spacing w:line="586" w:lineRule="exact"/>
        <w:ind w:left="1646" w:leftChars="304" w:hanging="1008" w:hangingChars="300"/>
        <w:textAlignment w:val="auto"/>
        <w:rPr>
          <w:rFonts w:hint="default" w:ascii="Times New Roman" w:hAnsi="Times New Roman" w:eastAsia="仿宋_GB2312" w:cs="Times New Roman"/>
          <w:spacing w:val="8"/>
          <w:sz w:val="32"/>
          <w:szCs w:val="44"/>
          <w:lang w:eastAsia="zh-CN"/>
        </w:rPr>
      </w:pPr>
    </w:p>
    <w:p>
      <w:pPr>
        <w:keepNext w:val="0"/>
        <w:keepLines w:val="0"/>
        <w:pageBreakBefore w:val="0"/>
        <w:widowControl w:val="0"/>
        <w:kinsoku/>
        <w:wordWrap/>
        <w:overflowPunct/>
        <w:topLinePunct w:val="0"/>
        <w:autoSpaceDE/>
        <w:autoSpaceDN/>
        <w:bidi w:val="0"/>
        <w:adjustRightInd/>
        <w:snapToGrid/>
        <w:spacing w:line="14" w:lineRule="exact"/>
        <w:textAlignment w:val="auto"/>
        <w:outlineLvl w:val="9"/>
        <w:rPr>
          <w:rFonts w:hint="eastAsia"/>
          <w:szCs w:val="32"/>
        </w:rPr>
      </w:pPr>
      <w:bookmarkStart w:id="0" w:name="_GoBack"/>
      <w:bookmarkEnd w:id="0"/>
    </w:p>
    <w:sectPr>
      <w:footerReference r:id="rId3" w:type="default"/>
      <w:footerReference r:id="rId4" w:type="even"/>
      <w:pgSz w:w="11906" w:h="16838"/>
      <w:pgMar w:top="2098" w:right="1304" w:bottom="1304" w:left="1588" w:header="851" w:footer="1361" w:gutter="0"/>
      <w:pgNumType w:fmt="decimal" w:start="2"/>
      <w:cols w:space="720" w:num="1"/>
      <w:docGrid w:linePitch="610" w:charSpace="2292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D7E0DAA-A3AE-405D-BD5B-66BDD0AC56DA}"/>
  </w:font>
  <w:font w:name="Arial">
    <w:panose1 w:val="020B0604020202020204"/>
    <w:charset w:val="01"/>
    <w:family w:val="swiss"/>
    <w:pitch w:val="default"/>
    <w:sig w:usb0="E0002AFF" w:usb1="C0007843" w:usb2="00000009" w:usb3="00000000" w:csb0="400001FF" w:csb1="FFFF0000"/>
    <w:embedRegular r:id="rId2" w:fontKey="{58F5130E-BCC2-48F4-B2E1-06103D503058}"/>
  </w:font>
  <w:font w:name="黑体">
    <w:panose1 w:val="02010609060101010101"/>
    <w:charset w:val="86"/>
    <w:family w:val="auto"/>
    <w:pitch w:val="default"/>
    <w:sig w:usb0="800002BF" w:usb1="38CF7CFA" w:usb2="00000016" w:usb3="00000000" w:csb0="00040001" w:csb1="00000000"/>
    <w:embedRegular r:id="rId3" w:fontKey="{FBCDE0AA-C6E5-4328-8359-D19E46925474}"/>
  </w:font>
  <w:font w:name="Courier New">
    <w:panose1 w:val="02070309020205020404"/>
    <w:charset w:val="01"/>
    <w:family w:val="modern"/>
    <w:pitch w:val="default"/>
    <w:sig w:usb0="E0002AFF" w:usb1="C0007843" w:usb2="00000009" w:usb3="00000000" w:csb0="400001FF" w:csb1="FFFF0000"/>
    <w:embedRegular r:id="rId4" w:fontKey="{46E8B19C-DB7C-4E14-922E-D99E77E72893}"/>
  </w:font>
  <w:font w:name="Symbol">
    <w:panose1 w:val="05050102010706020507"/>
    <w:charset w:val="02"/>
    <w:family w:val="roman"/>
    <w:pitch w:val="default"/>
    <w:sig w:usb0="00000000" w:usb1="00000000" w:usb2="00000000" w:usb3="00000000" w:csb0="80000000" w:csb1="00000000"/>
    <w:embedRegular r:id="rId5" w:fontKey="{C35FE498-29B8-4F26-996A-24EA94105B62}"/>
  </w:font>
  <w:font w:name="Calibri">
    <w:panose1 w:val="020F0502020204030204"/>
    <w:charset w:val="00"/>
    <w:family w:val="swiss"/>
    <w:pitch w:val="default"/>
    <w:sig w:usb0="E00002FF" w:usb1="4000ACFF" w:usb2="00000001" w:usb3="00000000" w:csb0="2000019F" w:csb1="00000000"/>
    <w:embedRegular r:id="rId6" w:fontKey="{6687BBBE-5B64-4782-89E6-46C28D057D0C}"/>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7" w:fontKey="{1FA1C09D-2402-4F72-8B0E-2821244BA70E}"/>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right="354"/>
      <w:jc w:val="right"/>
      <w:rPr>
        <w:rFonts w:ascii="宋体" w:hAnsi="宋体"/>
        <w:spacing w:val="-8"/>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wordWrap w:val="0"/>
                            <w:ind w:right="354"/>
                            <w:jc w:val="right"/>
                          </w:pPr>
                          <w:r>
                            <w:rPr>
                              <w:rStyle w:val="13"/>
                              <w:rFonts w:ascii="宋体" w:hAnsi="宋体"/>
                              <w:spacing w:val="-8"/>
                              <w:sz w:val="28"/>
                              <w:szCs w:val="28"/>
                            </w:rPr>
                            <w:t>—</w:t>
                          </w:r>
                          <w:r>
                            <w:rPr>
                              <w:rStyle w:val="13"/>
                              <w:rFonts w:hint="eastAsia" w:ascii="宋体" w:hAnsi="宋体"/>
                              <w:spacing w:val="-8"/>
                              <w:sz w:val="28"/>
                              <w:szCs w:val="28"/>
                            </w:rPr>
                            <w:t xml:space="preserve"> </w:t>
                          </w:r>
                          <w:r>
                            <w:rPr>
                              <w:rFonts w:ascii="宋体" w:hAnsi="宋体"/>
                              <w:spacing w:val="-8"/>
                              <w:sz w:val="28"/>
                              <w:szCs w:val="28"/>
                            </w:rPr>
                            <w:fldChar w:fldCharType="begin"/>
                          </w:r>
                          <w:r>
                            <w:rPr>
                              <w:rStyle w:val="13"/>
                              <w:rFonts w:ascii="宋体" w:hAnsi="宋体"/>
                              <w:spacing w:val="-8"/>
                              <w:sz w:val="28"/>
                              <w:szCs w:val="28"/>
                            </w:rPr>
                            <w:instrText xml:space="preserve"> PAGE </w:instrText>
                          </w:r>
                          <w:r>
                            <w:rPr>
                              <w:rFonts w:ascii="宋体" w:hAnsi="宋体"/>
                              <w:spacing w:val="-8"/>
                              <w:sz w:val="28"/>
                              <w:szCs w:val="28"/>
                            </w:rPr>
                            <w:fldChar w:fldCharType="separate"/>
                          </w:r>
                          <w:r>
                            <w:rPr>
                              <w:rStyle w:val="13"/>
                              <w:rFonts w:ascii="宋体" w:hAnsi="宋体"/>
                              <w:spacing w:val="-8"/>
                              <w:sz w:val="28"/>
                              <w:szCs w:val="28"/>
                            </w:rPr>
                            <w:t>1</w:t>
                          </w:r>
                          <w:r>
                            <w:rPr>
                              <w:rFonts w:ascii="宋体" w:hAnsi="宋体"/>
                              <w:spacing w:val="-8"/>
                              <w:sz w:val="28"/>
                              <w:szCs w:val="28"/>
                            </w:rPr>
                            <w:fldChar w:fldCharType="end"/>
                          </w:r>
                          <w:r>
                            <w:rPr>
                              <w:rStyle w:val="13"/>
                              <w:rFonts w:hint="eastAsia" w:ascii="宋体" w:hAnsi="宋体"/>
                              <w:spacing w:val="-8"/>
                              <w:sz w:val="28"/>
                              <w:szCs w:val="28"/>
                            </w:rPr>
                            <w:t xml:space="preserve"> </w:t>
                          </w:r>
                          <w:r>
                            <w:rPr>
                              <w:rStyle w:val="13"/>
                              <w:rFonts w:ascii="宋体" w:hAnsi="宋体"/>
                              <w:spacing w:val="-8"/>
                              <w:sz w:val="28"/>
                              <w:szCs w:val="28"/>
                            </w:rPr>
                            <w:t>—</w:t>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XKTBvgAQAAuQMAAA4AAAAA&#10;AAAAAQAgAAAAHgEAAGRycy9lMm9Eb2MueG1sUEsFBgAAAAAGAAYAWQEAAHAFAAAAAA==&#10;">
              <v:fill on="f" focussize="0,0"/>
              <v:stroke on="f"/>
              <v:imagedata o:title=""/>
              <o:lock v:ext="edit" aspectratio="f"/>
              <v:textbox inset="0mm,0mm,0mm,0mm" style="mso-fit-shape-to-text:t;">
                <w:txbxContent>
                  <w:p>
                    <w:pPr>
                      <w:pStyle w:val="5"/>
                      <w:wordWrap w:val="0"/>
                      <w:ind w:right="354"/>
                      <w:jc w:val="right"/>
                    </w:pPr>
                    <w:r>
                      <w:rPr>
                        <w:rStyle w:val="13"/>
                        <w:rFonts w:ascii="宋体" w:hAnsi="宋体"/>
                        <w:spacing w:val="-8"/>
                        <w:sz w:val="28"/>
                        <w:szCs w:val="28"/>
                      </w:rPr>
                      <w:t>—</w:t>
                    </w:r>
                    <w:r>
                      <w:rPr>
                        <w:rStyle w:val="13"/>
                        <w:rFonts w:hint="eastAsia" w:ascii="宋体" w:hAnsi="宋体"/>
                        <w:spacing w:val="-8"/>
                        <w:sz w:val="28"/>
                        <w:szCs w:val="28"/>
                      </w:rPr>
                      <w:t xml:space="preserve"> </w:t>
                    </w:r>
                    <w:r>
                      <w:rPr>
                        <w:rFonts w:ascii="宋体" w:hAnsi="宋体"/>
                        <w:spacing w:val="-8"/>
                        <w:sz w:val="28"/>
                        <w:szCs w:val="28"/>
                      </w:rPr>
                      <w:fldChar w:fldCharType="begin"/>
                    </w:r>
                    <w:r>
                      <w:rPr>
                        <w:rStyle w:val="13"/>
                        <w:rFonts w:ascii="宋体" w:hAnsi="宋体"/>
                        <w:spacing w:val="-8"/>
                        <w:sz w:val="28"/>
                        <w:szCs w:val="28"/>
                      </w:rPr>
                      <w:instrText xml:space="preserve"> PAGE </w:instrText>
                    </w:r>
                    <w:r>
                      <w:rPr>
                        <w:rFonts w:ascii="宋体" w:hAnsi="宋体"/>
                        <w:spacing w:val="-8"/>
                        <w:sz w:val="28"/>
                        <w:szCs w:val="28"/>
                      </w:rPr>
                      <w:fldChar w:fldCharType="separate"/>
                    </w:r>
                    <w:r>
                      <w:rPr>
                        <w:rStyle w:val="13"/>
                        <w:rFonts w:ascii="宋体" w:hAnsi="宋体"/>
                        <w:spacing w:val="-8"/>
                        <w:sz w:val="28"/>
                        <w:szCs w:val="28"/>
                      </w:rPr>
                      <w:t>1</w:t>
                    </w:r>
                    <w:r>
                      <w:rPr>
                        <w:rFonts w:ascii="宋体" w:hAnsi="宋体"/>
                        <w:spacing w:val="-8"/>
                        <w:sz w:val="28"/>
                        <w:szCs w:val="28"/>
                      </w:rPr>
                      <w:fldChar w:fldCharType="end"/>
                    </w:r>
                    <w:r>
                      <w:rPr>
                        <w:rStyle w:val="13"/>
                        <w:rFonts w:hint="eastAsia" w:ascii="宋体" w:hAnsi="宋体"/>
                        <w:spacing w:val="-8"/>
                        <w:sz w:val="28"/>
                        <w:szCs w:val="28"/>
                      </w:rPr>
                      <w:t xml:space="preserve"> </w:t>
                    </w:r>
                    <w:r>
                      <w:rPr>
                        <w:rStyle w:val="13"/>
                        <w:rFonts w:ascii="宋体" w:hAnsi="宋体"/>
                        <w:spacing w:val="-8"/>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140" w:firstLineChars="50"/>
      <w:rPr>
        <w:rFonts w:ascii="宋体" w:hAnsi="宋体"/>
        <w:spacing w:val="-8"/>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ind w:firstLine="132" w:firstLineChars="50"/>
                          </w:pPr>
                          <w:r>
                            <w:rPr>
                              <w:rStyle w:val="13"/>
                              <w:rFonts w:ascii="宋体" w:hAnsi="宋体"/>
                              <w:spacing w:val="-8"/>
                              <w:sz w:val="28"/>
                              <w:szCs w:val="28"/>
                            </w:rPr>
                            <w:t>—</w:t>
                          </w:r>
                          <w:r>
                            <w:rPr>
                              <w:rStyle w:val="13"/>
                              <w:rFonts w:hint="eastAsia" w:ascii="宋体" w:hAnsi="宋体"/>
                              <w:spacing w:val="-8"/>
                              <w:sz w:val="28"/>
                              <w:szCs w:val="28"/>
                            </w:rPr>
                            <w:t xml:space="preserve"> </w:t>
                          </w:r>
                          <w:r>
                            <w:rPr>
                              <w:rFonts w:ascii="宋体" w:hAnsi="宋体"/>
                              <w:spacing w:val="-8"/>
                              <w:sz w:val="28"/>
                              <w:szCs w:val="28"/>
                            </w:rPr>
                            <w:fldChar w:fldCharType="begin"/>
                          </w:r>
                          <w:r>
                            <w:rPr>
                              <w:rStyle w:val="13"/>
                              <w:rFonts w:ascii="宋体" w:hAnsi="宋体"/>
                              <w:spacing w:val="-8"/>
                              <w:sz w:val="28"/>
                              <w:szCs w:val="28"/>
                            </w:rPr>
                            <w:instrText xml:space="preserve"> PAGE </w:instrText>
                          </w:r>
                          <w:r>
                            <w:rPr>
                              <w:rFonts w:ascii="宋体" w:hAnsi="宋体"/>
                              <w:spacing w:val="-8"/>
                              <w:sz w:val="28"/>
                              <w:szCs w:val="28"/>
                            </w:rPr>
                            <w:fldChar w:fldCharType="separate"/>
                          </w:r>
                          <w:r>
                            <w:rPr>
                              <w:rStyle w:val="13"/>
                              <w:rFonts w:ascii="宋体" w:hAnsi="宋体"/>
                              <w:spacing w:val="-8"/>
                              <w:sz w:val="28"/>
                              <w:szCs w:val="28"/>
                            </w:rPr>
                            <w:t>2</w:t>
                          </w:r>
                          <w:r>
                            <w:rPr>
                              <w:rFonts w:ascii="宋体" w:hAnsi="宋体"/>
                              <w:spacing w:val="-8"/>
                              <w:sz w:val="28"/>
                              <w:szCs w:val="28"/>
                            </w:rPr>
                            <w:fldChar w:fldCharType="end"/>
                          </w:r>
                          <w:r>
                            <w:rPr>
                              <w:rStyle w:val="13"/>
                              <w:rFonts w:hint="eastAsia" w:ascii="宋体" w:hAnsi="宋体"/>
                              <w:spacing w:val="-8"/>
                              <w:sz w:val="28"/>
                              <w:szCs w:val="28"/>
                            </w:rPr>
                            <w:t xml:space="preserve"> </w:t>
                          </w:r>
                          <w:r>
                            <w:rPr>
                              <w:rStyle w:val="13"/>
                              <w:rFonts w:ascii="宋体" w:hAnsi="宋体"/>
                              <w:spacing w:val="-8"/>
                              <w:sz w:val="28"/>
                              <w:szCs w:val="28"/>
                            </w:rPr>
                            <w:t>—</w:t>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yG6N44QEAALkDAAAOAAAA&#10;AAAAAAEAIAAAAB4BAABkcnMvZTJvRG9jLnhtbFBLBQYAAAAABgAGAFkBAABxBQAAAAA=&#10;">
              <v:fill on="f" focussize="0,0"/>
              <v:stroke on="f"/>
              <v:imagedata o:title=""/>
              <o:lock v:ext="edit" aspectratio="f"/>
              <v:textbox inset="0mm,0mm,0mm,0mm" style="mso-fit-shape-to-text:t;">
                <w:txbxContent>
                  <w:p>
                    <w:pPr>
                      <w:pStyle w:val="5"/>
                      <w:ind w:firstLine="132" w:firstLineChars="50"/>
                    </w:pPr>
                    <w:r>
                      <w:rPr>
                        <w:rStyle w:val="13"/>
                        <w:rFonts w:ascii="宋体" w:hAnsi="宋体"/>
                        <w:spacing w:val="-8"/>
                        <w:sz w:val="28"/>
                        <w:szCs w:val="28"/>
                      </w:rPr>
                      <w:t>—</w:t>
                    </w:r>
                    <w:r>
                      <w:rPr>
                        <w:rStyle w:val="13"/>
                        <w:rFonts w:hint="eastAsia" w:ascii="宋体" w:hAnsi="宋体"/>
                        <w:spacing w:val="-8"/>
                        <w:sz w:val="28"/>
                        <w:szCs w:val="28"/>
                      </w:rPr>
                      <w:t xml:space="preserve"> </w:t>
                    </w:r>
                    <w:r>
                      <w:rPr>
                        <w:rFonts w:ascii="宋体" w:hAnsi="宋体"/>
                        <w:spacing w:val="-8"/>
                        <w:sz w:val="28"/>
                        <w:szCs w:val="28"/>
                      </w:rPr>
                      <w:fldChar w:fldCharType="begin"/>
                    </w:r>
                    <w:r>
                      <w:rPr>
                        <w:rStyle w:val="13"/>
                        <w:rFonts w:ascii="宋体" w:hAnsi="宋体"/>
                        <w:spacing w:val="-8"/>
                        <w:sz w:val="28"/>
                        <w:szCs w:val="28"/>
                      </w:rPr>
                      <w:instrText xml:space="preserve"> PAGE </w:instrText>
                    </w:r>
                    <w:r>
                      <w:rPr>
                        <w:rFonts w:ascii="宋体" w:hAnsi="宋体"/>
                        <w:spacing w:val="-8"/>
                        <w:sz w:val="28"/>
                        <w:szCs w:val="28"/>
                      </w:rPr>
                      <w:fldChar w:fldCharType="separate"/>
                    </w:r>
                    <w:r>
                      <w:rPr>
                        <w:rStyle w:val="13"/>
                        <w:rFonts w:ascii="宋体" w:hAnsi="宋体"/>
                        <w:spacing w:val="-8"/>
                        <w:sz w:val="28"/>
                        <w:szCs w:val="28"/>
                      </w:rPr>
                      <w:t>2</w:t>
                    </w:r>
                    <w:r>
                      <w:rPr>
                        <w:rFonts w:ascii="宋体" w:hAnsi="宋体"/>
                        <w:spacing w:val="-8"/>
                        <w:sz w:val="28"/>
                        <w:szCs w:val="28"/>
                      </w:rPr>
                      <w:fldChar w:fldCharType="end"/>
                    </w:r>
                    <w:r>
                      <w:rPr>
                        <w:rStyle w:val="13"/>
                        <w:rFonts w:hint="eastAsia" w:ascii="宋体" w:hAnsi="宋体"/>
                        <w:spacing w:val="-8"/>
                        <w:sz w:val="28"/>
                        <w:szCs w:val="28"/>
                      </w:rPr>
                      <w:t xml:space="preserve"> </w:t>
                    </w:r>
                    <w:r>
                      <w:rPr>
                        <w:rStyle w:val="13"/>
                        <w:rFonts w:ascii="宋体" w:hAnsi="宋体"/>
                        <w:spacing w:val="-8"/>
                        <w:sz w:val="28"/>
                        <w:szCs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HorizontalSpacing w:val="16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D6457F"/>
    <w:rsid w:val="000E0658"/>
    <w:rsid w:val="00175194"/>
    <w:rsid w:val="001F39A7"/>
    <w:rsid w:val="0024275F"/>
    <w:rsid w:val="00250C2A"/>
    <w:rsid w:val="00335E6F"/>
    <w:rsid w:val="005E5AB4"/>
    <w:rsid w:val="00826CA9"/>
    <w:rsid w:val="00894BAC"/>
    <w:rsid w:val="0092196E"/>
    <w:rsid w:val="009F588F"/>
    <w:rsid w:val="00B06ACD"/>
    <w:rsid w:val="00B07A5A"/>
    <w:rsid w:val="00B50020"/>
    <w:rsid w:val="00B7695E"/>
    <w:rsid w:val="00BC3ECF"/>
    <w:rsid w:val="00CE0228"/>
    <w:rsid w:val="00DC675F"/>
    <w:rsid w:val="00E630DA"/>
    <w:rsid w:val="00F55A9F"/>
    <w:rsid w:val="00FD6BA8"/>
    <w:rsid w:val="02236FEB"/>
    <w:rsid w:val="04432A89"/>
    <w:rsid w:val="04C77B62"/>
    <w:rsid w:val="0B4C2B93"/>
    <w:rsid w:val="0F3003B5"/>
    <w:rsid w:val="10EE0F51"/>
    <w:rsid w:val="12C72636"/>
    <w:rsid w:val="16FC20D6"/>
    <w:rsid w:val="173C26F0"/>
    <w:rsid w:val="22B41E7B"/>
    <w:rsid w:val="23550742"/>
    <w:rsid w:val="2512373A"/>
    <w:rsid w:val="25B03538"/>
    <w:rsid w:val="279C272F"/>
    <w:rsid w:val="2FCA7A3D"/>
    <w:rsid w:val="30D6457F"/>
    <w:rsid w:val="34F906D3"/>
    <w:rsid w:val="36C82257"/>
    <w:rsid w:val="38287830"/>
    <w:rsid w:val="386204B1"/>
    <w:rsid w:val="3C7C4CE8"/>
    <w:rsid w:val="3E0A13D3"/>
    <w:rsid w:val="44596532"/>
    <w:rsid w:val="45065DCA"/>
    <w:rsid w:val="496744E6"/>
    <w:rsid w:val="4BB570CF"/>
    <w:rsid w:val="4C651937"/>
    <w:rsid w:val="514308D6"/>
    <w:rsid w:val="517C4BFF"/>
    <w:rsid w:val="5364766C"/>
    <w:rsid w:val="540A05AA"/>
    <w:rsid w:val="56847224"/>
    <w:rsid w:val="568C1EF7"/>
    <w:rsid w:val="601459CB"/>
    <w:rsid w:val="617E48A8"/>
    <w:rsid w:val="65B67072"/>
    <w:rsid w:val="6990478A"/>
    <w:rsid w:val="69AD3D4B"/>
    <w:rsid w:val="703E1988"/>
    <w:rsid w:val="70515495"/>
    <w:rsid w:val="72EA37CA"/>
    <w:rsid w:val="74921570"/>
    <w:rsid w:val="7547005E"/>
    <w:rsid w:val="75A65D87"/>
    <w:rsid w:val="79231CB2"/>
    <w:rsid w:val="7ADA4690"/>
    <w:rsid w:val="7C0F67F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link w:val="11"/>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Default"/>
    <w:unhideWhenUsed/>
    <w:qFormat/>
    <w:uiPriority w:val="0"/>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paragraph" w:styleId="3">
    <w:name w:val="Document Map"/>
    <w:basedOn w:val="1"/>
    <w:semiHidden/>
    <w:qFormat/>
    <w:uiPriority w:val="0"/>
    <w:pPr>
      <w:shd w:val="clear" w:color="auto" w:fill="000080"/>
    </w:p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Char"/>
    <w:basedOn w:val="3"/>
    <w:link w:val="10"/>
    <w:qFormat/>
    <w:uiPriority w:val="0"/>
    <w:pPr>
      <w:adjustRightInd w:val="0"/>
      <w:spacing w:line="436" w:lineRule="exact"/>
    </w:pPr>
    <w:rPr>
      <w:szCs w:val="20"/>
    </w:rPr>
  </w:style>
  <w:style w:type="character" w:styleId="12">
    <w:name w:val="Strong"/>
    <w:basedOn w:val="10"/>
    <w:qFormat/>
    <w:uiPriority w:val="22"/>
    <w:rPr>
      <w:bCs/>
    </w:rPr>
  </w:style>
  <w:style w:type="character" w:styleId="13">
    <w:name w:val="page number"/>
    <w:basedOn w:val="10"/>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wps\zh_CN\&#20840;&#25919;&#21150;&#2098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全政办函.dot</Template>
  <Pages>2</Pages>
  <Words>76</Words>
  <Characters>85</Characters>
  <Lines>1</Lines>
  <Paragraphs>1</Paragraphs>
  <TotalTime>24</TotalTime>
  <ScaleCrop>false</ScaleCrop>
  <LinksUpToDate>false</LinksUpToDate>
  <CharactersWithSpaces>150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2021-03-24T01:37:00Z</dcterms:created>
  <dc:creator>谭琼</dc:creator>
  <cp:lastModifiedBy>提拉米书</cp:lastModifiedBy>
  <cp:lastPrinted>2021-10-27T08:23:00Z</cp:lastPrinted>
  <dcterms:modified xsi:type="dcterms:W3CDTF">2021-12-27T02:34:13Z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0_embed</vt:lpwstr>
  </property>
  <property fmtid="{D5CDD505-2E9C-101B-9397-08002B2CF9AE}" pid="4" name="ICV">
    <vt:lpwstr>C75523CA8245428887DBAED87CDDCBDA</vt:lpwstr>
  </property>
</Properties>
</file>