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396" w:tblpY="775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27"/>
        <w:gridCol w:w="951"/>
        <w:gridCol w:w="951"/>
        <w:gridCol w:w="951"/>
        <w:gridCol w:w="952"/>
        <w:gridCol w:w="779"/>
        <w:gridCol w:w="875"/>
        <w:gridCol w:w="1333"/>
      </w:tblGrid>
      <w:tr w14:paraId="17B46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101" w:type="dxa"/>
            <w:vMerge w:val="restart"/>
            <w:noWrap w:val="0"/>
            <w:vAlign w:val="center"/>
          </w:tcPr>
          <w:p w14:paraId="184D9826">
            <w:pPr>
              <w:rPr>
                <w:rFonts w:hint="default"/>
              </w:rPr>
            </w:pPr>
            <w:r>
              <w:rPr>
                <w:rFonts w:hint="default"/>
              </w:rPr>
              <w:t>名称</w:t>
            </w:r>
          </w:p>
        </w:tc>
        <w:tc>
          <w:tcPr>
            <w:tcW w:w="1227" w:type="dxa"/>
            <w:vMerge w:val="restart"/>
            <w:noWrap w:val="0"/>
            <w:vAlign w:val="center"/>
          </w:tcPr>
          <w:p w14:paraId="440F4D1F">
            <w:pPr>
              <w:rPr>
                <w:rFonts w:hint="default"/>
              </w:rPr>
            </w:pPr>
            <w:r>
              <w:rPr>
                <w:rFonts w:hint="default"/>
              </w:rPr>
              <w:t>金额</w:t>
            </w:r>
          </w:p>
          <w:p w14:paraId="4AC6A190">
            <w:pPr>
              <w:rPr>
                <w:rFonts w:hint="default"/>
              </w:rPr>
            </w:pPr>
            <w:r>
              <w:rPr>
                <w:rFonts w:hint="default"/>
              </w:rPr>
              <w:t>（万</w:t>
            </w:r>
            <w:r>
              <w:rPr>
                <w:rFonts w:hint="default"/>
                <w:lang w:eastAsia="zh-CN"/>
              </w:rPr>
              <w:t>元</w:t>
            </w:r>
            <w:r>
              <w:rPr>
                <w:rFonts w:hint="default"/>
              </w:rPr>
              <w:t>）</w:t>
            </w:r>
          </w:p>
        </w:tc>
        <w:tc>
          <w:tcPr>
            <w:tcW w:w="1902" w:type="dxa"/>
            <w:gridSpan w:val="2"/>
            <w:noWrap w:val="0"/>
            <w:vAlign w:val="center"/>
          </w:tcPr>
          <w:p w14:paraId="32A2DA0A">
            <w:pPr>
              <w:rPr>
                <w:rFonts w:hint="default"/>
              </w:rPr>
            </w:pPr>
            <w:r>
              <w:rPr>
                <w:rFonts w:hint="default"/>
              </w:rPr>
              <w:t>招标范围</w:t>
            </w:r>
          </w:p>
        </w:tc>
        <w:tc>
          <w:tcPr>
            <w:tcW w:w="1903" w:type="dxa"/>
            <w:gridSpan w:val="2"/>
            <w:noWrap w:val="0"/>
            <w:vAlign w:val="center"/>
          </w:tcPr>
          <w:p w14:paraId="5298805A">
            <w:pPr>
              <w:rPr>
                <w:rFonts w:hint="default"/>
              </w:rPr>
            </w:pPr>
            <w:r>
              <w:rPr>
                <w:rFonts w:hint="default"/>
              </w:rPr>
              <w:t>招标组织</w:t>
            </w:r>
          </w:p>
          <w:p w14:paraId="6C87C720">
            <w:pPr>
              <w:rPr>
                <w:rFonts w:hint="default"/>
              </w:rPr>
            </w:pPr>
            <w:r>
              <w:rPr>
                <w:rFonts w:hint="default"/>
              </w:rPr>
              <w:t>形式</w:t>
            </w:r>
          </w:p>
        </w:tc>
        <w:tc>
          <w:tcPr>
            <w:tcW w:w="165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F73EFFF">
            <w:pPr>
              <w:rPr>
                <w:rFonts w:hint="default"/>
              </w:rPr>
            </w:pPr>
            <w:r>
              <w:rPr>
                <w:rFonts w:hint="default"/>
              </w:rPr>
              <w:t>招标方式</w:t>
            </w:r>
          </w:p>
        </w:tc>
        <w:tc>
          <w:tcPr>
            <w:tcW w:w="13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C08F8">
            <w:p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不采用招标方式</w:t>
            </w:r>
          </w:p>
        </w:tc>
      </w:tr>
      <w:tr w14:paraId="40B5D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101" w:type="dxa"/>
            <w:vMerge w:val="continue"/>
            <w:noWrap w:val="0"/>
            <w:vAlign w:val="center"/>
          </w:tcPr>
          <w:p w14:paraId="5AA17638">
            <w:pPr>
              <w:rPr>
                <w:rFonts w:hint="default"/>
              </w:rPr>
            </w:pPr>
          </w:p>
        </w:tc>
        <w:tc>
          <w:tcPr>
            <w:tcW w:w="1227" w:type="dxa"/>
            <w:vMerge w:val="continue"/>
            <w:noWrap w:val="0"/>
            <w:vAlign w:val="center"/>
          </w:tcPr>
          <w:p w14:paraId="437026F6">
            <w:pPr>
              <w:rPr>
                <w:rFonts w:hint="default"/>
              </w:rPr>
            </w:pPr>
          </w:p>
        </w:tc>
        <w:tc>
          <w:tcPr>
            <w:tcW w:w="951" w:type="dxa"/>
            <w:noWrap w:val="0"/>
            <w:vAlign w:val="center"/>
          </w:tcPr>
          <w:p w14:paraId="1A811A5D">
            <w:pPr>
              <w:rPr>
                <w:rFonts w:hint="default"/>
              </w:rPr>
            </w:pPr>
            <w:r>
              <w:rPr>
                <w:rFonts w:hint="default"/>
              </w:rPr>
              <w:t>全部招标</w:t>
            </w:r>
          </w:p>
        </w:tc>
        <w:tc>
          <w:tcPr>
            <w:tcW w:w="951" w:type="dxa"/>
            <w:noWrap w:val="0"/>
            <w:vAlign w:val="center"/>
          </w:tcPr>
          <w:p w14:paraId="57A2F90B">
            <w:pPr>
              <w:rPr>
                <w:rFonts w:hint="default"/>
              </w:rPr>
            </w:pPr>
            <w:r>
              <w:rPr>
                <w:rFonts w:hint="default"/>
              </w:rPr>
              <w:t>部分招标</w:t>
            </w:r>
          </w:p>
        </w:tc>
        <w:tc>
          <w:tcPr>
            <w:tcW w:w="951" w:type="dxa"/>
            <w:noWrap w:val="0"/>
            <w:vAlign w:val="center"/>
          </w:tcPr>
          <w:p w14:paraId="53606808">
            <w:pPr>
              <w:rPr>
                <w:rFonts w:hint="default"/>
              </w:rPr>
            </w:pPr>
            <w:r>
              <w:rPr>
                <w:rFonts w:hint="default"/>
              </w:rPr>
              <w:t>自行招标</w:t>
            </w:r>
          </w:p>
        </w:tc>
        <w:tc>
          <w:tcPr>
            <w:tcW w:w="952" w:type="dxa"/>
            <w:noWrap w:val="0"/>
            <w:vAlign w:val="center"/>
          </w:tcPr>
          <w:p w14:paraId="14767D7E">
            <w:pPr>
              <w:rPr>
                <w:rFonts w:hint="default"/>
              </w:rPr>
            </w:pPr>
            <w:r>
              <w:rPr>
                <w:rFonts w:hint="default"/>
              </w:rPr>
              <w:t>委托招标</w:t>
            </w:r>
          </w:p>
        </w:tc>
        <w:tc>
          <w:tcPr>
            <w:tcW w:w="779" w:type="dxa"/>
            <w:noWrap w:val="0"/>
            <w:vAlign w:val="center"/>
          </w:tcPr>
          <w:p w14:paraId="4C7638AE">
            <w:pPr>
              <w:rPr>
                <w:rFonts w:hint="default"/>
              </w:rPr>
            </w:pPr>
            <w:r>
              <w:rPr>
                <w:rFonts w:hint="default"/>
              </w:rPr>
              <w:t>公开招标</w:t>
            </w:r>
          </w:p>
        </w:tc>
        <w:tc>
          <w:tcPr>
            <w:tcW w:w="875" w:type="dxa"/>
            <w:tcBorders>
              <w:right w:val="single" w:color="auto" w:sz="4" w:space="0"/>
            </w:tcBorders>
            <w:noWrap w:val="0"/>
            <w:vAlign w:val="center"/>
          </w:tcPr>
          <w:p w14:paraId="182283C8">
            <w:pPr>
              <w:rPr>
                <w:rFonts w:hint="default"/>
              </w:rPr>
            </w:pPr>
            <w:r>
              <w:rPr>
                <w:rFonts w:hint="default"/>
              </w:rPr>
              <w:t>邀请招标</w:t>
            </w:r>
          </w:p>
        </w:tc>
        <w:tc>
          <w:tcPr>
            <w:tcW w:w="13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9FDB3">
            <w:pPr>
              <w:rPr>
                <w:rFonts w:hint="default"/>
              </w:rPr>
            </w:pPr>
          </w:p>
        </w:tc>
      </w:tr>
      <w:tr w14:paraId="28887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01" w:type="dxa"/>
            <w:noWrap w:val="0"/>
            <w:vAlign w:val="center"/>
          </w:tcPr>
          <w:p w14:paraId="77A388EA">
            <w:pPr>
              <w:rPr>
                <w:rFonts w:hint="default"/>
              </w:rPr>
            </w:pPr>
            <w:r>
              <w:rPr>
                <w:rFonts w:hint="default"/>
              </w:rPr>
              <w:t>勘察</w:t>
            </w:r>
          </w:p>
        </w:tc>
        <w:tc>
          <w:tcPr>
            <w:tcW w:w="1227" w:type="dxa"/>
            <w:noWrap w:val="0"/>
            <w:vAlign w:val="center"/>
          </w:tcPr>
          <w:p w14:paraId="3D7F9EFD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1.31</w:t>
            </w:r>
          </w:p>
        </w:tc>
        <w:tc>
          <w:tcPr>
            <w:tcW w:w="951" w:type="dxa"/>
            <w:tcBorders>
              <w:bottom w:val="single" w:color="auto" w:sz="4" w:space="0"/>
            </w:tcBorders>
            <w:noWrap w:val="0"/>
            <w:vAlign w:val="center"/>
          </w:tcPr>
          <w:p w14:paraId="0A01E4E2">
            <w:pPr>
              <w:rPr>
                <w:rFonts w:hint="default"/>
              </w:rPr>
            </w:pPr>
          </w:p>
        </w:tc>
        <w:tc>
          <w:tcPr>
            <w:tcW w:w="951" w:type="dxa"/>
            <w:tcBorders>
              <w:bottom w:val="single" w:color="auto" w:sz="4" w:space="0"/>
            </w:tcBorders>
            <w:noWrap w:val="0"/>
            <w:vAlign w:val="center"/>
          </w:tcPr>
          <w:p w14:paraId="571CECF5">
            <w:pPr>
              <w:rPr>
                <w:rFonts w:hint="default"/>
              </w:rPr>
            </w:pPr>
            <w:bookmarkStart w:id="0" w:name="_GoBack"/>
            <w:bookmarkEnd w:id="0"/>
          </w:p>
        </w:tc>
        <w:tc>
          <w:tcPr>
            <w:tcW w:w="951" w:type="dxa"/>
            <w:tcBorders>
              <w:bottom w:val="single" w:color="auto" w:sz="4" w:space="0"/>
            </w:tcBorders>
            <w:noWrap w:val="0"/>
            <w:vAlign w:val="center"/>
          </w:tcPr>
          <w:p w14:paraId="12C3A251">
            <w:pPr>
              <w:rPr>
                <w:rFonts w:hint="default"/>
              </w:rPr>
            </w:pPr>
          </w:p>
        </w:tc>
        <w:tc>
          <w:tcPr>
            <w:tcW w:w="952" w:type="dxa"/>
            <w:tcBorders>
              <w:bottom w:val="single" w:color="auto" w:sz="4" w:space="0"/>
            </w:tcBorders>
            <w:noWrap w:val="0"/>
            <w:vAlign w:val="center"/>
          </w:tcPr>
          <w:p w14:paraId="4C88F703">
            <w:pPr>
              <w:rPr>
                <w:rFonts w:hint="default"/>
              </w:rPr>
            </w:pPr>
          </w:p>
        </w:tc>
        <w:tc>
          <w:tcPr>
            <w:tcW w:w="779" w:type="dxa"/>
            <w:tcBorders>
              <w:bottom w:val="single" w:color="auto" w:sz="4" w:space="0"/>
            </w:tcBorders>
            <w:noWrap w:val="0"/>
            <w:vAlign w:val="center"/>
          </w:tcPr>
          <w:p w14:paraId="4D00E005">
            <w:pPr>
              <w:rPr>
                <w:rFonts w:hint="default"/>
              </w:rPr>
            </w:pPr>
          </w:p>
        </w:tc>
        <w:tc>
          <w:tcPr>
            <w:tcW w:w="875" w:type="dxa"/>
            <w:noWrap w:val="0"/>
            <w:vAlign w:val="center"/>
          </w:tcPr>
          <w:p w14:paraId="3B347D50">
            <w:pPr>
              <w:rPr>
                <w:rFonts w:hint="default"/>
              </w:rPr>
            </w:pPr>
          </w:p>
        </w:tc>
        <w:tc>
          <w:tcPr>
            <w:tcW w:w="1333" w:type="dxa"/>
            <w:tcBorders>
              <w:top w:val="single" w:color="auto" w:sz="4" w:space="0"/>
            </w:tcBorders>
            <w:noWrap w:val="0"/>
            <w:vAlign w:val="center"/>
          </w:tcPr>
          <w:p w14:paraId="565A45C4">
            <w:pPr>
              <w:rPr>
                <w:rFonts w:hint="default"/>
              </w:rPr>
            </w:pPr>
            <w:r>
              <w:rPr>
                <w:rFonts w:hint="default"/>
                <w:lang w:eastAsia="zh-CN"/>
              </w:rPr>
              <w:t>√</w:t>
            </w:r>
          </w:p>
        </w:tc>
      </w:tr>
      <w:tr w14:paraId="7C699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01" w:type="dxa"/>
            <w:noWrap w:val="0"/>
            <w:vAlign w:val="center"/>
          </w:tcPr>
          <w:p w14:paraId="033D2AF2">
            <w:pPr>
              <w:rPr>
                <w:rFonts w:hint="default"/>
              </w:rPr>
            </w:pPr>
            <w:r>
              <w:rPr>
                <w:rFonts w:hint="default"/>
              </w:rPr>
              <w:t>设计</w:t>
            </w:r>
          </w:p>
        </w:tc>
        <w:tc>
          <w:tcPr>
            <w:tcW w:w="1227" w:type="dxa"/>
            <w:noWrap w:val="0"/>
            <w:vAlign w:val="center"/>
          </w:tcPr>
          <w:p w14:paraId="45E67DE0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17.95</w:t>
            </w:r>
          </w:p>
        </w:tc>
        <w:tc>
          <w:tcPr>
            <w:tcW w:w="9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DC945E">
            <w:pPr>
              <w:rPr>
                <w:rFonts w:hint="default"/>
              </w:rPr>
            </w:pPr>
          </w:p>
        </w:tc>
        <w:tc>
          <w:tcPr>
            <w:tcW w:w="9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949DB6">
            <w:pPr>
              <w:rPr>
                <w:rFonts w:hint="default"/>
              </w:rPr>
            </w:pPr>
          </w:p>
        </w:tc>
        <w:tc>
          <w:tcPr>
            <w:tcW w:w="9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E750EB">
            <w:pPr>
              <w:rPr>
                <w:rFonts w:hint="default"/>
              </w:rPr>
            </w:pPr>
          </w:p>
        </w:tc>
        <w:tc>
          <w:tcPr>
            <w:tcW w:w="95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DFC8BF">
            <w:pPr>
              <w:rPr>
                <w:rFonts w:hint="default"/>
              </w:rPr>
            </w:pPr>
          </w:p>
        </w:tc>
        <w:tc>
          <w:tcPr>
            <w:tcW w:w="77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6FC1E1">
            <w:pPr>
              <w:rPr>
                <w:rFonts w:hint="default"/>
              </w:rPr>
            </w:pPr>
          </w:p>
        </w:tc>
        <w:tc>
          <w:tcPr>
            <w:tcW w:w="875" w:type="dxa"/>
            <w:noWrap w:val="0"/>
            <w:vAlign w:val="center"/>
          </w:tcPr>
          <w:p w14:paraId="26343762">
            <w:pPr>
              <w:rPr>
                <w:rFonts w:hint="default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1209E841">
            <w:pPr>
              <w:rPr>
                <w:rFonts w:hint="default"/>
              </w:rPr>
            </w:pPr>
            <w:r>
              <w:rPr>
                <w:rFonts w:hint="default"/>
                <w:lang w:eastAsia="zh-CN"/>
              </w:rPr>
              <w:t>√</w:t>
            </w:r>
          </w:p>
        </w:tc>
      </w:tr>
      <w:tr w14:paraId="2467C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101" w:type="dxa"/>
            <w:noWrap w:val="0"/>
            <w:vAlign w:val="center"/>
          </w:tcPr>
          <w:p w14:paraId="74368C35">
            <w:pPr>
              <w:rPr>
                <w:rFonts w:hint="default"/>
              </w:rPr>
            </w:pPr>
            <w:r>
              <w:rPr>
                <w:rFonts w:hint="default"/>
              </w:rPr>
              <w:t>建筑安装工程</w:t>
            </w:r>
          </w:p>
        </w:tc>
        <w:tc>
          <w:tcPr>
            <w:tcW w:w="1227" w:type="dxa"/>
            <w:noWrap w:val="0"/>
            <w:vAlign w:val="center"/>
          </w:tcPr>
          <w:p w14:paraId="14208FC3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327.34</w:t>
            </w:r>
          </w:p>
        </w:tc>
        <w:tc>
          <w:tcPr>
            <w:tcW w:w="9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D2DD6D">
            <w:pPr>
              <w:rPr>
                <w:rFonts w:hint="default"/>
                <w:lang w:eastAsia="zh-CN"/>
              </w:rPr>
            </w:pPr>
          </w:p>
        </w:tc>
        <w:tc>
          <w:tcPr>
            <w:tcW w:w="9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DFAB4AD">
            <w:pPr>
              <w:rPr>
                <w:rFonts w:hint="default"/>
              </w:rPr>
            </w:pPr>
          </w:p>
        </w:tc>
        <w:tc>
          <w:tcPr>
            <w:tcW w:w="9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9E68B2">
            <w:pPr>
              <w:rPr>
                <w:rFonts w:hint="default"/>
              </w:rPr>
            </w:pPr>
          </w:p>
        </w:tc>
        <w:tc>
          <w:tcPr>
            <w:tcW w:w="95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AA031FA">
            <w:pPr>
              <w:rPr>
                <w:rFonts w:hint="default"/>
              </w:rPr>
            </w:pPr>
          </w:p>
        </w:tc>
        <w:tc>
          <w:tcPr>
            <w:tcW w:w="77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C174BB">
            <w:pPr>
              <w:rPr>
                <w:rFonts w:hint="default"/>
              </w:rPr>
            </w:pPr>
          </w:p>
        </w:tc>
        <w:tc>
          <w:tcPr>
            <w:tcW w:w="875" w:type="dxa"/>
            <w:noWrap w:val="0"/>
            <w:vAlign w:val="center"/>
          </w:tcPr>
          <w:p w14:paraId="724C6FA4">
            <w:pPr>
              <w:rPr>
                <w:rFonts w:hint="default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7EEC3933">
            <w:pPr>
              <w:rPr>
                <w:rFonts w:hint="default"/>
              </w:rPr>
            </w:pPr>
            <w:r>
              <w:rPr>
                <w:rFonts w:hint="default"/>
                <w:lang w:eastAsia="zh-CN"/>
              </w:rPr>
              <w:t>√</w:t>
            </w:r>
          </w:p>
        </w:tc>
      </w:tr>
      <w:tr w14:paraId="703E2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101" w:type="dxa"/>
            <w:noWrap w:val="0"/>
            <w:vAlign w:val="center"/>
          </w:tcPr>
          <w:p w14:paraId="6D31E404">
            <w:pPr>
              <w:rPr>
                <w:rFonts w:hint="default"/>
              </w:rPr>
            </w:pPr>
            <w:r>
              <w:rPr>
                <w:rFonts w:hint="default"/>
              </w:rPr>
              <w:t>监理</w:t>
            </w:r>
          </w:p>
          <w:p w14:paraId="18CC578F">
            <w:pPr>
              <w:rPr>
                <w:rFonts w:hint="default"/>
              </w:rPr>
            </w:pPr>
            <w:r>
              <w:rPr>
                <w:rFonts w:hint="default"/>
              </w:rPr>
              <w:t>工程</w:t>
            </w:r>
          </w:p>
        </w:tc>
        <w:tc>
          <w:tcPr>
            <w:tcW w:w="1227" w:type="dxa"/>
            <w:noWrap w:val="0"/>
            <w:vAlign w:val="center"/>
          </w:tcPr>
          <w:p w14:paraId="34C0D85F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4.53</w:t>
            </w:r>
          </w:p>
        </w:tc>
        <w:tc>
          <w:tcPr>
            <w:tcW w:w="951" w:type="dxa"/>
            <w:tcBorders>
              <w:top w:val="single" w:color="auto" w:sz="4" w:space="0"/>
            </w:tcBorders>
            <w:noWrap w:val="0"/>
            <w:vAlign w:val="center"/>
          </w:tcPr>
          <w:p w14:paraId="7C923571">
            <w:pPr>
              <w:rPr>
                <w:rFonts w:hint="default"/>
              </w:rPr>
            </w:pPr>
          </w:p>
        </w:tc>
        <w:tc>
          <w:tcPr>
            <w:tcW w:w="951" w:type="dxa"/>
            <w:tcBorders>
              <w:top w:val="single" w:color="auto" w:sz="4" w:space="0"/>
            </w:tcBorders>
            <w:noWrap w:val="0"/>
            <w:vAlign w:val="center"/>
          </w:tcPr>
          <w:p w14:paraId="1A4E0A66">
            <w:pPr>
              <w:rPr>
                <w:rFonts w:hint="default"/>
              </w:rPr>
            </w:pPr>
          </w:p>
        </w:tc>
        <w:tc>
          <w:tcPr>
            <w:tcW w:w="951" w:type="dxa"/>
            <w:tcBorders>
              <w:top w:val="single" w:color="auto" w:sz="4" w:space="0"/>
            </w:tcBorders>
            <w:noWrap w:val="0"/>
            <w:vAlign w:val="center"/>
          </w:tcPr>
          <w:p w14:paraId="6A8AD1ED">
            <w:pPr>
              <w:rPr>
                <w:rFonts w:hint="default"/>
              </w:rPr>
            </w:pPr>
          </w:p>
        </w:tc>
        <w:tc>
          <w:tcPr>
            <w:tcW w:w="952" w:type="dxa"/>
            <w:tcBorders>
              <w:top w:val="single" w:color="auto" w:sz="4" w:space="0"/>
            </w:tcBorders>
            <w:noWrap w:val="0"/>
            <w:vAlign w:val="center"/>
          </w:tcPr>
          <w:p w14:paraId="772ADE4D">
            <w:pPr>
              <w:rPr>
                <w:rFonts w:hint="default"/>
              </w:rPr>
            </w:pPr>
          </w:p>
        </w:tc>
        <w:tc>
          <w:tcPr>
            <w:tcW w:w="779" w:type="dxa"/>
            <w:tcBorders>
              <w:top w:val="single" w:color="auto" w:sz="4" w:space="0"/>
            </w:tcBorders>
            <w:noWrap w:val="0"/>
            <w:vAlign w:val="center"/>
          </w:tcPr>
          <w:p w14:paraId="3143B17D">
            <w:pPr>
              <w:rPr>
                <w:rFonts w:hint="default"/>
              </w:rPr>
            </w:pPr>
          </w:p>
        </w:tc>
        <w:tc>
          <w:tcPr>
            <w:tcW w:w="875" w:type="dxa"/>
            <w:noWrap w:val="0"/>
            <w:vAlign w:val="center"/>
          </w:tcPr>
          <w:p w14:paraId="2B3673BF">
            <w:pPr>
              <w:rPr>
                <w:rFonts w:hint="default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7AB87A4B">
            <w:pPr>
              <w:rPr>
                <w:rFonts w:hint="default"/>
              </w:rPr>
            </w:pPr>
            <w:r>
              <w:rPr>
                <w:rFonts w:hint="default"/>
                <w:lang w:eastAsia="zh-CN"/>
              </w:rPr>
              <w:t>√</w:t>
            </w:r>
          </w:p>
        </w:tc>
      </w:tr>
      <w:tr w14:paraId="3FEA2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101" w:type="dxa"/>
            <w:noWrap w:val="0"/>
            <w:vAlign w:val="center"/>
          </w:tcPr>
          <w:p w14:paraId="13D85C55">
            <w:pPr>
              <w:rPr>
                <w:rFonts w:hint="default"/>
              </w:rPr>
            </w:pPr>
            <w:r>
              <w:rPr>
                <w:rFonts w:hint="default"/>
              </w:rPr>
              <w:t>主要</w:t>
            </w:r>
          </w:p>
          <w:p w14:paraId="6B6DE564">
            <w:pPr>
              <w:rPr>
                <w:rFonts w:hint="default"/>
              </w:rPr>
            </w:pPr>
            <w:r>
              <w:rPr>
                <w:rFonts w:hint="default"/>
              </w:rPr>
              <w:t>设备</w:t>
            </w:r>
          </w:p>
        </w:tc>
        <w:tc>
          <w:tcPr>
            <w:tcW w:w="1227" w:type="dxa"/>
            <w:noWrap w:val="0"/>
            <w:vAlign w:val="center"/>
          </w:tcPr>
          <w:p w14:paraId="2CAF83D6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--</w:t>
            </w:r>
          </w:p>
        </w:tc>
        <w:tc>
          <w:tcPr>
            <w:tcW w:w="951" w:type="dxa"/>
            <w:noWrap w:val="0"/>
            <w:vAlign w:val="center"/>
          </w:tcPr>
          <w:p w14:paraId="28A904A7">
            <w:pPr>
              <w:rPr>
                <w:rFonts w:hint="default"/>
              </w:rPr>
            </w:pPr>
          </w:p>
        </w:tc>
        <w:tc>
          <w:tcPr>
            <w:tcW w:w="951" w:type="dxa"/>
            <w:noWrap w:val="0"/>
            <w:vAlign w:val="center"/>
          </w:tcPr>
          <w:p w14:paraId="470EB0E9">
            <w:pPr>
              <w:rPr>
                <w:rFonts w:hint="default"/>
              </w:rPr>
            </w:pPr>
          </w:p>
        </w:tc>
        <w:tc>
          <w:tcPr>
            <w:tcW w:w="951" w:type="dxa"/>
            <w:noWrap w:val="0"/>
            <w:vAlign w:val="center"/>
          </w:tcPr>
          <w:p w14:paraId="07569464">
            <w:pPr>
              <w:rPr>
                <w:rFonts w:hint="default"/>
              </w:rPr>
            </w:pPr>
          </w:p>
        </w:tc>
        <w:tc>
          <w:tcPr>
            <w:tcW w:w="952" w:type="dxa"/>
            <w:noWrap w:val="0"/>
            <w:vAlign w:val="center"/>
          </w:tcPr>
          <w:p w14:paraId="5CEAFAF6">
            <w:pPr>
              <w:rPr>
                <w:rFonts w:hint="default"/>
              </w:rPr>
            </w:pPr>
          </w:p>
        </w:tc>
        <w:tc>
          <w:tcPr>
            <w:tcW w:w="779" w:type="dxa"/>
            <w:noWrap w:val="0"/>
            <w:vAlign w:val="center"/>
          </w:tcPr>
          <w:p w14:paraId="2C7A5A70">
            <w:pPr>
              <w:rPr>
                <w:rFonts w:hint="default"/>
              </w:rPr>
            </w:pPr>
          </w:p>
        </w:tc>
        <w:tc>
          <w:tcPr>
            <w:tcW w:w="875" w:type="dxa"/>
            <w:noWrap w:val="0"/>
            <w:vAlign w:val="center"/>
          </w:tcPr>
          <w:p w14:paraId="3CDBB84B">
            <w:pPr>
              <w:rPr>
                <w:rFonts w:hint="default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76035A43">
            <w:pPr>
              <w:rPr>
                <w:rFonts w:hint="default"/>
              </w:rPr>
            </w:pPr>
          </w:p>
        </w:tc>
      </w:tr>
      <w:tr w14:paraId="474D4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101" w:type="dxa"/>
            <w:noWrap w:val="0"/>
            <w:vAlign w:val="center"/>
          </w:tcPr>
          <w:p w14:paraId="74348F3C">
            <w:pPr>
              <w:rPr>
                <w:rFonts w:hint="default"/>
              </w:rPr>
            </w:pPr>
            <w:r>
              <w:rPr>
                <w:rFonts w:hint="default"/>
              </w:rPr>
              <w:t>其他</w:t>
            </w:r>
          </w:p>
        </w:tc>
        <w:tc>
          <w:tcPr>
            <w:tcW w:w="1227" w:type="dxa"/>
            <w:noWrap w:val="0"/>
            <w:vAlign w:val="center"/>
          </w:tcPr>
          <w:p w14:paraId="50791ABB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--</w:t>
            </w:r>
          </w:p>
        </w:tc>
        <w:tc>
          <w:tcPr>
            <w:tcW w:w="951" w:type="dxa"/>
            <w:noWrap w:val="0"/>
            <w:vAlign w:val="center"/>
          </w:tcPr>
          <w:p w14:paraId="2A3A517D">
            <w:pPr>
              <w:rPr>
                <w:rFonts w:hint="default"/>
              </w:rPr>
            </w:pPr>
          </w:p>
        </w:tc>
        <w:tc>
          <w:tcPr>
            <w:tcW w:w="951" w:type="dxa"/>
            <w:noWrap w:val="0"/>
            <w:vAlign w:val="center"/>
          </w:tcPr>
          <w:p w14:paraId="3BCBA777">
            <w:pPr>
              <w:rPr>
                <w:rFonts w:hint="default"/>
              </w:rPr>
            </w:pPr>
          </w:p>
        </w:tc>
        <w:tc>
          <w:tcPr>
            <w:tcW w:w="951" w:type="dxa"/>
            <w:noWrap w:val="0"/>
            <w:vAlign w:val="center"/>
          </w:tcPr>
          <w:p w14:paraId="14A65DFE">
            <w:pPr>
              <w:rPr>
                <w:rFonts w:hint="default"/>
              </w:rPr>
            </w:pPr>
          </w:p>
        </w:tc>
        <w:tc>
          <w:tcPr>
            <w:tcW w:w="952" w:type="dxa"/>
            <w:noWrap w:val="0"/>
            <w:vAlign w:val="center"/>
          </w:tcPr>
          <w:p w14:paraId="2722A579">
            <w:pPr>
              <w:rPr>
                <w:rFonts w:hint="default"/>
              </w:rPr>
            </w:pPr>
          </w:p>
        </w:tc>
        <w:tc>
          <w:tcPr>
            <w:tcW w:w="779" w:type="dxa"/>
            <w:noWrap w:val="0"/>
            <w:vAlign w:val="center"/>
          </w:tcPr>
          <w:p w14:paraId="5BF1A19E">
            <w:pPr>
              <w:rPr>
                <w:rFonts w:hint="default"/>
              </w:rPr>
            </w:pPr>
          </w:p>
        </w:tc>
        <w:tc>
          <w:tcPr>
            <w:tcW w:w="875" w:type="dxa"/>
            <w:noWrap w:val="0"/>
            <w:vAlign w:val="center"/>
          </w:tcPr>
          <w:p w14:paraId="65002F19">
            <w:pPr>
              <w:rPr>
                <w:rFonts w:hint="default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77EE80C7">
            <w:pPr>
              <w:rPr>
                <w:rFonts w:hint="default"/>
              </w:rPr>
            </w:pPr>
          </w:p>
        </w:tc>
      </w:tr>
    </w:tbl>
    <w:p w14:paraId="04425BA7">
      <w:pPr>
        <w:rPr>
          <w:rFonts w:hint="default"/>
        </w:rPr>
      </w:pPr>
    </w:p>
    <w:tbl>
      <w:tblPr>
        <w:tblStyle w:val="2"/>
        <w:tblpPr w:leftFromText="180" w:rightFromText="180" w:vertAnchor="text" w:horzAnchor="page" w:tblpX="1396" w:tblpY="775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0"/>
      </w:tblGrid>
      <w:tr w14:paraId="69A5A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5" w:hRule="atLeast"/>
          <w:jc w:val="center"/>
        </w:trPr>
        <w:tc>
          <w:tcPr>
            <w:tcW w:w="9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C2E649">
            <w:pPr>
              <w:rPr>
                <w:rFonts w:hint="default"/>
              </w:rPr>
            </w:pPr>
            <w:r>
              <w:rPr>
                <w:rFonts w:hint="default"/>
              </w:rPr>
              <w:t>审批部门核准意见说明：</w:t>
            </w:r>
          </w:p>
          <w:p w14:paraId="612E0F2A">
            <w:pPr>
              <w:rPr>
                <w:rFonts w:hint="default"/>
              </w:rPr>
            </w:pPr>
            <w:r>
              <w:rPr>
                <w:rFonts w:hint="default"/>
              </w:rPr>
              <w:t>1.本项目</w:t>
            </w:r>
            <w:r>
              <w:rPr>
                <w:rFonts w:hint="default"/>
                <w:lang w:val="en-US" w:eastAsia="zh-CN"/>
              </w:rPr>
              <w:t>为以工代赈项目，</w:t>
            </w:r>
            <w:r>
              <w:rPr>
                <w:rFonts w:hint="default"/>
              </w:rPr>
              <w:t>勘察、设计、建筑安装、监理、主要设备等工程招标核准意见根据《国家以工代赈管理办法》规定</w:t>
            </w:r>
            <w:r>
              <w:rPr>
                <w:rFonts w:hint="default"/>
                <w:lang w:eastAsia="zh-CN"/>
              </w:rPr>
              <w:t>作出，</w:t>
            </w:r>
            <w:r>
              <w:rPr>
                <w:rFonts w:hint="default"/>
              </w:rPr>
              <w:t>《国家以工代赈管理办法》规定</w:t>
            </w:r>
            <w:r>
              <w:rPr>
                <w:rFonts w:hint="default"/>
                <w:lang w:val="en-US" w:eastAsia="zh-CN"/>
              </w:rPr>
              <w:t>以工代赈项目</w:t>
            </w:r>
            <w:r>
              <w:rPr>
                <w:rFonts w:hint="default"/>
              </w:rPr>
              <w:t>按照招标投标法和村庄建设项目施行简易审批的有关规定要求，以工代赈项目可以不进行招标，任何单位和个人不得强制要求招标，不得另行制定必须招标的范围和规模标准作出</w:t>
            </w:r>
            <w:r>
              <w:rPr>
                <w:rFonts w:hint="default"/>
                <w:lang w:eastAsia="zh-CN"/>
              </w:rPr>
              <w:t>。</w:t>
            </w:r>
            <w:r>
              <w:rPr>
                <w:rFonts w:hint="default"/>
              </w:rPr>
              <w:t>业主自主决定内容为自主决定是否招标及采用何种招标方式。</w:t>
            </w:r>
          </w:p>
          <w:p w14:paraId="72305481">
            <w:pPr>
              <w:rPr>
                <w:rFonts w:hint="default"/>
              </w:rPr>
            </w:pPr>
            <w:r>
              <w:rPr>
                <w:rFonts w:hint="default"/>
              </w:rPr>
              <w:t>2.请业主单位依据以上核准事项依法开展招标工作。</w:t>
            </w:r>
          </w:p>
          <w:p w14:paraId="1C5E36A4">
            <w:pPr>
              <w:rPr>
                <w:rFonts w:hint="default"/>
              </w:rPr>
            </w:pPr>
            <w:r>
              <w:rPr>
                <w:rFonts w:hint="default"/>
              </w:rPr>
              <w:t xml:space="preserve">                                       </w:t>
            </w:r>
          </w:p>
          <w:p w14:paraId="5F15A45B">
            <w:pPr>
              <w:rPr>
                <w:rFonts w:hint="default"/>
              </w:rPr>
            </w:pPr>
            <w:r>
              <w:rPr>
                <w:rFonts w:hint="default"/>
              </w:rPr>
              <w:t>审批部门盖章</w:t>
            </w:r>
          </w:p>
          <w:p w14:paraId="34008F2B">
            <w:pPr>
              <w:rPr>
                <w:rFonts w:hint="default"/>
              </w:rPr>
            </w:pPr>
            <w:r>
              <w:rPr>
                <w:rFonts w:hint="default"/>
              </w:rPr>
              <w:t xml:space="preserve">                                           </w:t>
            </w:r>
            <w:r>
              <w:rPr>
                <w:rFonts w:hint="default"/>
                <w:lang w:val="en-US" w:eastAsia="zh-CN"/>
              </w:rPr>
              <w:t>2025</w:t>
            </w:r>
            <w:r>
              <w:rPr>
                <w:rFonts w:hint="default"/>
              </w:rPr>
              <w:t>年</w:t>
            </w:r>
            <w:r>
              <w:rPr>
                <w:rFonts w:hint="eastAsia"/>
                <w:lang w:val="en-US" w:eastAsia="zh-CN"/>
              </w:rPr>
              <w:t>11</w:t>
            </w:r>
            <w:r>
              <w:rPr>
                <w:rFonts w:hint="default"/>
              </w:rPr>
              <w:t>月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default"/>
              </w:rPr>
              <w:t>日</w:t>
            </w:r>
          </w:p>
        </w:tc>
      </w:tr>
    </w:tbl>
    <w:p w14:paraId="62C4D2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24394E"/>
    <w:rsid w:val="01373E04"/>
    <w:rsid w:val="03805BAA"/>
    <w:rsid w:val="07C96A6E"/>
    <w:rsid w:val="0CB63A3A"/>
    <w:rsid w:val="131D5E95"/>
    <w:rsid w:val="17322EB0"/>
    <w:rsid w:val="20DF1E0B"/>
    <w:rsid w:val="26CB6844"/>
    <w:rsid w:val="2FD87D8F"/>
    <w:rsid w:val="32F726B7"/>
    <w:rsid w:val="45FA3E5C"/>
    <w:rsid w:val="48485368"/>
    <w:rsid w:val="4A0C7D4F"/>
    <w:rsid w:val="5124394E"/>
    <w:rsid w:val="651135E3"/>
    <w:rsid w:val="7B8F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2025-12-30T01:17:00Z</dcterms:created>
  <dc:creator>静静林。</dc:creator>
  <cp:lastModifiedBy>静静林。</cp:lastModifiedBy>
  <dcterms:modified xsi:type="dcterms:W3CDTF">2025-12-30T01:18:06Z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FDF2A5B3B565434F99BF36A98D5F6309_11</vt:lpwstr>
  </property>
  <property fmtid="{D5CDD505-2E9C-101B-9397-08002B2CF9AE}" pid="4" name="KSOTemplateDocerSaveRecord">
    <vt:lpwstr>eyJoZGlkIjoiMDIzMzQxNjNkZDJlN2I0NzFhNzRiMWQ5MjI1YzNiYzgiLCJ1c2VySWQiOiIzNzE4MDg5MDUifQ==</vt:lpwstr>
  </property>
</Properties>
</file>