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2975D">
      <w:pPr>
        <w:adjustRightInd w:val="0"/>
        <w:snapToGrid w:val="0"/>
        <w:spacing w:line="600" w:lineRule="exact"/>
        <w:rPr>
          <w:rFonts w:ascii="Times New Roman" w:hAnsi="Times New Roman" w:eastAsia="黑体" w:cs="Times New Roman"/>
          <w:bCs/>
          <w:sz w:val="36"/>
          <w:szCs w:val="44"/>
        </w:rPr>
      </w:pPr>
      <w:r>
        <w:rPr>
          <w:rFonts w:hint="eastAsia" w:ascii="Times New Roman" w:hAnsi="Times New Roman" w:eastAsia="黑体" w:cs="Times New Roman"/>
          <w:bCs/>
          <w:sz w:val="28"/>
          <w:szCs w:val="28"/>
        </w:rPr>
        <w:t>附件</w:t>
      </w:r>
    </w:p>
    <w:p w14:paraId="039D0508">
      <w:pPr>
        <w:adjustRightInd w:val="0"/>
        <w:snapToGrid w:val="0"/>
        <w:spacing w:line="600" w:lineRule="exact"/>
        <w:jc w:val="center"/>
        <w:rPr>
          <w:rFonts w:hint="eastAsia" w:ascii="Times New Roman" w:hAnsi="Times New Roman" w:eastAsia="黑体" w:cs="Times New Roman"/>
          <w:bCs/>
          <w:sz w:val="36"/>
          <w:szCs w:val="44"/>
        </w:rPr>
      </w:pPr>
    </w:p>
    <w:p w14:paraId="5F101336">
      <w:pPr>
        <w:adjustRightInd w:val="0"/>
        <w:snapToGrid w:val="0"/>
        <w:spacing w:line="600" w:lineRule="exact"/>
        <w:jc w:val="center"/>
        <w:rPr>
          <w:rFonts w:hint="eastAsia" w:ascii="Times New Roman" w:hAnsi="Times New Roman" w:eastAsia="黑体" w:cs="Times New Roman"/>
          <w:bCs/>
          <w:sz w:val="36"/>
          <w:szCs w:val="44"/>
        </w:rPr>
      </w:pPr>
      <w:r>
        <w:rPr>
          <w:rFonts w:hint="eastAsia" w:ascii="Times New Roman" w:hAnsi="Times New Roman" w:eastAsia="黑体" w:cs="Times New Roman"/>
          <w:bCs/>
          <w:sz w:val="36"/>
          <w:szCs w:val="44"/>
        </w:rPr>
        <w:t>关于全州县化工新材料产业园水土保持</w:t>
      </w:r>
    </w:p>
    <w:p w14:paraId="2FB35D6C">
      <w:pPr>
        <w:adjustRightInd w:val="0"/>
        <w:snapToGrid w:val="0"/>
        <w:spacing w:line="600" w:lineRule="exact"/>
        <w:jc w:val="center"/>
        <w:rPr>
          <w:rFonts w:ascii="Times New Roman" w:hAnsi="Times New Roman" w:eastAsia="黑体" w:cs="Times New Roman"/>
          <w:bCs/>
          <w:sz w:val="36"/>
          <w:szCs w:val="44"/>
        </w:rPr>
      </w:pPr>
      <w:r>
        <w:rPr>
          <w:rFonts w:hint="eastAsia" w:ascii="Times New Roman" w:hAnsi="Times New Roman" w:eastAsia="黑体" w:cs="Times New Roman"/>
          <w:bCs/>
          <w:sz w:val="36"/>
          <w:szCs w:val="44"/>
        </w:rPr>
        <w:t>方案报告书的复核意见</w:t>
      </w:r>
    </w:p>
    <w:p w14:paraId="78ACCF9D">
      <w:pPr>
        <w:adjustRightInd w:val="0"/>
        <w:snapToGrid w:val="0"/>
        <w:spacing w:line="500" w:lineRule="exact"/>
        <w:ind w:firstLine="720" w:firstLineChars="200"/>
        <w:jc w:val="center"/>
        <w:rPr>
          <w:rFonts w:eastAsia="黑体"/>
          <w:bCs/>
          <w:sz w:val="36"/>
          <w:szCs w:val="44"/>
        </w:rPr>
      </w:pPr>
    </w:p>
    <w:p w14:paraId="37210E1F">
      <w:pPr>
        <w:pStyle w:val="24"/>
        <w:spacing w:line="360" w:lineRule="auto"/>
        <w:ind w:firstLine="600" w:firstLineChars="200"/>
        <w:rPr>
          <w:rFonts w:hint="eastAsia" w:ascii="仿宋_GB2312" w:hAnsi="仿宋_GB2312" w:eastAsia="仿宋_GB2312" w:cs="仿宋_GB2312"/>
          <w:color w:val="FF0000"/>
          <w:lang w:val="en-US" w:eastAsia="zh-CN" w:bidi="ar-SA"/>
        </w:rPr>
      </w:pPr>
      <w:r>
        <w:rPr>
          <w:rFonts w:hint="eastAsia" w:ascii="仿宋_GB2312" w:hAnsi="仿宋_GB2312" w:eastAsia="仿宋_GB2312" w:cs="仿宋_GB2312"/>
          <w:lang w:val="en-US" w:eastAsia="zh-CN" w:bidi="ar-SA"/>
        </w:rPr>
        <w:t>2026年1月23日，受全州县水利局委托，桂林万恒环保工程有限公司在全州县组织专家及相关单位代表召开了《全州县化工新材料产业园水土保持方案报告书》（以下简称《报告书》）技术评审会，提出了专家组技术评审意见。建设单位全州县盛源投资管理有限责任公司组织编制单位广西华信工程咨询有限公司根据专家组的意见要求进行了修改和完善,经桂林万恒环保工程有限公司进行了审核，认为修改完善后的《报告书》已基本达到相关技术标准要求，提出了技术审查意见（水保审查〔2026〕02号）。经我站复核，基本同意修改完善后的《报告书》，现提出复核意见如下：</w:t>
      </w:r>
    </w:p>
    <w:p w14:paraId="63A31013">
      <w:pPr>
        <w:pStyle w:val="24"/>
        <w:spacing w:line="360" w:lineRule="auto"/>
        <w:ind w:firstLine="600" w:firstLineChars="200"/>
        <w:rPr>
          <w:rFonts w:hint="eastAsia" w:ascii="仿宋_GB2312" w:hAnsi="仿宋_GB2312" w:eastAsia="仿宋_GB2312" w:cs="仿宋_GB2312"/>
          <w:color w:val="FF0000"/>
          <w:lang w:val="en-US" w:eastAsia="zh-CN" w:bidi="ar-SA"/>
        </w:rPr>
      </w:pPr>
      <w:r>
        <w:rPr>
          <w:rFonts w:hint="eastAsia" w:ascii="仿宋_GB2312" w:hAnsi="仿宋_GB2312" w:eastAsia="仿宋_GB2312" w:cs="仿宋_GB2312"/>
          <w:lang w:val="en-US" w:eastAsia="zh-CN" w:bidi="ar-SA"/>
        </w:rPr>
        <w:t>一、全州县化工新材料产业园</w:t>
      </w:r>
      <w:r>
        <w:rPr>
          <w:rFonts w:hint="eastAsia" w:ascii="仿宋_GB2312" w:hAnsi="仿宋_GB2312" w:eastAsia="仿宋_GB2312" w:cs="仿宋_GB2312"/>
          <w:color w:val="auto"/>
          <w:lang w:val="en-US" w:eastAsia="zh-CN" w:bidi="ar-SA"/>
        </w:rPr>
        <w:t>属新建建设类项目（项目代码：2101-450324-04-01-491632），位于全州县城西工业园区内，用地中心地理坐标为：东经111°00'22.02"，北纬25°54'46.92"。项目建设总占地面积为13.04hm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（即130376.42m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），均为永久占地。总建筑面积为180930m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建筑密度55%，容积率1.52，绿地率5.67%。主要建设标准厂房及仓储等用房，配套建设园区道路、给排水、供配电、停车场等公用工程。项目已于2025年7月开工，计划2027年3月完工，工期共21个月，分四期建设。项目总投资60000万元，其中土建投资42553.01万元，资金来源于申请上级补助资金、地方政府专项债、地方财政配套及业主自筹。项目建设总挖方为10.09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vertAlign w:val="baseline"/>
          <w:lang w:val="en-US" w:eastAsia="zh-CN" w:bidi="ar-SA"/>
        </w:rPr>
        <w:t>（含表土0.20万</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vertAlign w:val="baseline"/>
          <w:lang w:val="en-US" w:eastAsia="zh-CN" w:bidi="ar-SA"/>
        </w:rPr>
        <w:t>）</w:t>
      </w:r>
      <w:r>
        <w:rPr>
          <w:rFonts w:hint="eastAsia" w:ascii="仿宋_GB2312" w:hAnsi="仿宋_GB2312" w:eastAsia="仿宋_GB2312" w:cs="仿宋_GB2312"/>
          <w:color w:val="auto"/>
          <w:lang w:val="en-US" w:eastAsia="zh-CN" w:bidi="ar-SA"/>
        </w:rPr>
        <w:t>，总填方为30.19万m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vertAlign w:val="baseline"/>
          <w:lang w:val="en-US" w:eastAsia="zh-CN" w:bidi="ar-SA"/>
        </w:rPr>
        <w:t>（含表土0.20万</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vertAlign w:val="baseline"/>
          <w:lang w:val="en-US" w:eastAsia="zh-CN" w:bidi="ar-SA"/>
        </w:rPr>
        <w:t>）</w:t>
      </w:r>
      <w:r>
        <w:rPr>
          <w:rFonts w:hint="eastAsia" w:ascii="仿宋_GB2312" w:hAnsi="仿宋_GB2312" w:eastAsia="仿宋_GB2312" w:cs="仿宋_GB2312"/>
          <w:color w:val="auto"/>
          <w:lang w:val="en-US" w:eastAsia="zh-CN" w:bidi="ar-SA"/>
        </w:rPr>
        <w:t>，借方20.10万m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（其中4.60万m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来源于全州县农民工返乡创业园项目——新材料产业园及路网连接线项目地块，2.40万m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来源于金桂福智能化生产线扩建项目，2.60万m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来源于金桂福智能化生产线扩建项目（二期），10.50万m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lang w:val="en-US" w:eastAsia="zh-CN" w:bidi="ar-SA"/>
        </w:rPr>
        <w:t>来源于全州能源生态下游配套炉渣综合利用项目），无弃方。本项目拆除房屋1900m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，拆迁及安置工作由全州县工业园区管理委员会负责，项目不涉及专项设施改（迁）建项目。</w:t>
      </w:r>
    </w:p>
    <w:p w14:paraId="127112D6">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lang w:val="en-US" w:eastAsia="zh-CN" w:bidi="ar-SA"/>
        </w:rPr>
        <w:t>项目区为丘陵地貌，属亚热带季风气候区，多年平均温度18.1℃，多年平均降雨量为1565.9mm。土壤类型为红壤；项目区属亚热带常绿阔叶林区，原地貌林草覆盖率约91.72%。项目所在地全州县属于湘资沅上游国家级水土流失重点预防区。项目区水土流失以水力侵蚀为主，土壤侵蚀强度为微度。原地貌土壤侵蚀模数为463t/（k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·a），容许土壤流失量为500t/（km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bidi="ar-SA"/>
        </w:rPr>
        <w:t>·a）。</w:t>
      </w:r>
    </w:p>
    <w:p w14:paraId="35299348">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二、该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报告书</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编制依据</w:t>
      </w:r>
      <w:r>
        <w:rPr>
          <w:rFonts w:hint="eastAsia" w:ascii="仿宋_GB2312" w:hAnsi="仿宋_GB2312" w:eastAsia="仿宋_GB2312" w:cs="仿宋_GB2312"/>
          <w:color w:val="auto"/>
          <w:lang w:eastAsia="zh-CN"/>
        </w:rPr>
        <w:t>较</w:t>
      </w:r>
      <w:r>
        <w:rPr>
          <w:rFonts w:hint="eastAsia" w:ascii="仿宋_GB2312" w:hAnsi="仿宋_GB2312" w:eastAsia="仿宋_GB2312" w:cs="仿宋_GB2312"/>
          <w:color w:val="auto"/>
        </w:rPr>
        <w:t>充分，内容基本全面，基础资料较</w:t>
      </w:r>
      <w:r>
        <w:rPr>
          <w:rFonts w:hint="eastAsia" w:ascii="仿宋_GB2312" w:hAnsi="仿宋_GB2312" w:eastAsia="仿宋_GB2312" w:cs="仿宋_GB2312"/>
          <w:color w:val="auto"/>
          <w:lang w:val="en-US" w:eastAsia="zh-CN"/>
        </w:rPr>
        <w:t>翔</w:t>
      </w:r>
      <w:r>
        <w:rPr>
          <w:rFonts w:hint="eastAsia" w:ascii="仿宋_GB2312" w:hAnsi="仿宋_GB2312" w:eastAsia="仿宋_GB2312" w:cs="仿宋_GB2312"/>
          <w:color w:val="auto"/>
        </w:rPr>
        <w:t>实，水土流失防治责任范围基本明确，水土保持措施总体布局及分区防治措施基本可行，满足有关水土保持技术规范、标准的规定，可作为下阶段水土保持工作的依据。</w:t>
      </w:r>
    </w:p>
    <w:p w14:paraId="0E867D51">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三、基本同意水土流失防治责任范围确定的原则和方法，项目区水土流失防治责任范围面积</w:t>
      </w:r>
      <w:r>
        <w:rPr>
          <w:rFonts w:hint="eastAsia" w:ascii="仿宋_GB2312" w:hAnsi="仿宋_GB2312" w:eastAsia="仿宋_GB2312" w:cs="仿宋_GB2312"/>
          <w:color w:val="auto"/>
          <w:lang w:val="en-US" w:eastAsia="zh-CN"/>
        </w:rPr>
        <w:t>13.04</w:t>
      </w:r>
      <w:r>
        <w:rPr>
          <w:rFonts w:hint="eastAsia" w:ascii="仿宋_GB2312" w:hAnsi="仿宋_GB2312" w:eastAsia="仿宋_GB2312" w:cs="仿宋_GB2312"/>
          <w:color w:val="auto"/>
        </w:rPr>
        <w:t>hm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eastAsia="zh-CN"/>
        </w:rPr>
        <w:t>（1</w:t>
      </w:r>
      <w:r>
        <w:rPr>
          <w:rFonts w:hint="eastAsia" w:ascii="仿宋_GB2312" w:hAnsi="仿宋_GB2312" w:eastAsia="仿宋_GB2312" w:cs="仿宋_GB2312"/>
          <w:color w:val="auto"/>
          <w:lang w:val="en-US" w:eastAsia="zh-CN"/>
        </w:rPr>
        <w:t>30376.42</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w:t>
      </w:r>
    </w:p>
    <w:p w14:paraId="695A79D6">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四、同意水土流失防治标准采用南方红壤区一级标准，</w:t>
      </w:r>
      <w:r>
        <w:rPr>
          <w:rFonts w:hint="eastAsia" w:ascii="仿宋_GB2312" w:hAnsi="仿宋_GB2312" w:eastAsia="仿宋_GB2312" w:cs="仿宋_GB2312"/>
          <w:color w:val="auto"/>
          <w:lang w:eastAsia="zh-CN"/>
        </w:rPr>
        <w:t>设计水平年水土流失综合防治目标为：</w:t>
      </w:r>
      <w:r>
        <w:rPr>
          <w:rFonts w:hint="eastAsia" w:ascii="仿宋_GB2312" w:hAnsi="仿宋_GB2312" w:eastAsia="仿宋_GB2312" w:cs="仿宋_GB2312"/>
          <w:color w:val="auto"/>
        </w:rPr>
        <w:t>水土流失治理度98%，土壤流失控制比1.0</w:t>
      </w:r>
      <w:r>
        <w:rPr>
          <w:rFonts w:hint="eastAsia" w:ascii="仿宋_GB2312" w:hAnsi="仿宋_GB2312" w:eastAsia="仿宋_GB2312" w:cs="仿宋_GB2312"/>
          <w:color w:val="auto"/>
          <w:lang w:eastAsia="zh-CN"/>
        </w:rPr>
        <w:t>，渣土防护率</w:t>
      </w:r>
      <w:r>
        <w:rPr>
          <w:rFonts w:hint="eastAsia" w:ascii="仿宋_GB2312" w:hAnsi="仿宋_GB2312" w:eastAsia="仿宋_GB2312" w:cs="仿宋_GB2312"/>
          <w:color w:val="auto"/>
          <w:lang w:val="en-US" w:eastAsia="zh-CN"/>
        </w:rPr>
        <w:t>99%</w:t>
      </w:r>
      <w:r>
        <w:rPr>
          <w:rFonts w:hint="eastAsia" w:ascii="仿宋_GB2312" w:hAnsi="仿宋_GB2312" w:eastAsia="仿宋_GB2312" w:cs="仿宋_GB2312"/>
          <w:color w:val="auto"/>
          <w:lang w:eastAsia="zh-CN"/>
        </w:rPr>
        <w:t>，表土保护率92%，</w:t>
      </w:r>
      <w:r>
        <w:rPr>
          <w:rFonts w:hint="eastAsia" w:ascii="仿宋_GB2312" w:hAnsi="仿宋_GB2312" w:eastAsia="仿宋_GB2312" w:cs="仿宋_GB2312"/>
          <w:color w:val="auto"/>
        </w:rPr>
        <w:t>林草植被恢复率98%，林草覆盖率</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w:t>
      </w:r>
    </w:p>
    <w:p w14:paraId="3F6B23AF">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五、基本同意水土流失预测方法和预测结果。</w:t>
      </w:r>
      <w:r>
        <w:rPr>
          <w:rFonts w:hint="eastAsia" w:ascii="仿宋_GB2312" w:hAnsi="仿宋_GB2312" w:eastAsia="仿宋_GB2312" w:cs="仿宋_GB2312"/>
          <w:color w:val="auto"/>
          <w:lang w:eastAsia="zh-CN"/>
        </w:rPr>
        <w:t>预测</w:t>
      </w:r>
      <w:r>
        <w:rPr>
          <w:rFonts w:hint="eastAsia" w:ascii="仿宋_GB2312" w:hAnsi="仿宋_GB2312" w:eastAsia="仿宋_GB2312" w:cs="仿宋_GB2312"/>
          <w:color w:val="auto"/>
        </w:rPr>
        <w:t>项目</w:t>
      </w:r>
      <w:r>
        <w:rPr>
          <w:rFonts w:hint="eastAsia" w:ascii="仿宋_GB2312" w:hAnsi="仿宋_GB2312" w:eastAsia="仿宋_GB2312" w:cs="仿宋_GB2312"/>
          <w:color w:val="auto"/>
          <w:lang w:eastAsia="zh-CN"/>
        </w:rPr>
        <w:t>建设可能</w:t>
      </w:r>
      <w:r>
        <w:rPr>
          <w:rFonts w:hint="eastAsia" w:ascii="仿宋_GB2312" w:hAnsi="仿宋_GB2312" w:eastAsia="仿宋_GB2312" w:cs="仿宋_GB2312"/>
          <w:color w:val="auto"/>
        </w:rPr>
        <w:t>产生水土流失总量</w:t>
      </w:r>
      <w:r>
        <w:rPr>
          <w:rFonts w:hint="eastAsia" w:ascii="仿宋_GB2312" w:hAnsi="仿宋_GB2312" w:eastAsia="仿宋_GB2312" w:cs="仿宋_GB2312"/>
          <w:color w:val="auto"/>
          <w:lang w:val="en-US" w:eastAsia="zh-CN"/>
        </w:rPr>
        <w:t>925.48</w:t>
      </w:r>
      <w:r>
        <w:rPr>
          <w:rFonts w:hint="eastAsia" w:ascii="仿宋_GB2312" w:hAnsi="仿宋_GB2312" w:eastAsia="仿宋_GB2312" w:cs="仿宋_GB2312"/>
          <w:color w:val="auto"/>
        </w:rPr>
        <w:t>t，</w:t>
      </w:r>
      <w:r>
        <w:rPr>
          <w:rFonts w:hint="eastAsia" w:ascii="仿宋_GB2312" w:hAnsi="仿宋_GB2312" w:eastAsia="仿宋_GB2312" w:cs="仿宋_GB2312"/>
          <w:color w:val="auto"/>
          <w:lang w:eastAsia="zh-CN"/>
        </w:rPr>
        <w:t>其中可能</w:t>
      </w:r>
      <w:r>
        <w:rPr>
          <w:rFonts w:hint="eastAsia" w:ascii="仿宋_GB2312" w:hAnsi="仿宋_GB2312" w:eastAsia="仿宋_GB2312" w:cs="仿宋_GB2312"/>
          <w:color w:val="auto"/>
        </w:rPr>
        <w:t>新增水土流失总量</w:t>
      </w:r>
      <w:r>
        <w:rPr>
          <w:rFonts w:hint="eastAsia" w:ascii="仿宋_GB2312" w:hAnsi="仿宋_GB2312" w:eastAsia="仿宋_GB2312" w:cs="仿宋_GB2312"/>
          <w:color w:val="auto"/>
          <w:lang w:val="en-US" w:eastAsia="zh-CN"/>
        </w:rPr>
        <w:t>851.92</w:t>
      </w:r>
      <w:r>
        <w:rPr>
          <w:rFonts w:hint="eastAsia" w:ascii="仿宋_GB2312" w:hAnsi="仿宋_GB2312" w:eastAsia="仿宋_GB2312" w:cs="仿宋_GB2312"/>
          <w:color w:val="auto"/>
        </w:rPr>
        <w:t>t。</w:t>
      </w:r>
    </w:p>
    <w:p w14:paraId="567224AB">
      <w:pPr>
        <w:pStyle w:val="24"/>
        <w:spacing w:line="360" w:lineRule="auto"/>
        <w:ind w:firstLine="600" w:firstLineChars="200"/>
        <w:rPr>
          <w:rFonts w:hint="eastAsia" w:ascii="仿宋_GB2312" w:hAnsi="仿宋_GB2312" w:eastAsia="仿宋_GB2312" w:cs="仿宋_GB2312"/>
          <w:color w:val="FF0000"/>
          <w:lang w:val="en-US" w:eastAsia="zh-CN"/>
        </w:rPr>
      </w:pPr>
      <w:r>
        <w:rPr>
          <w:rFonts w:hint="eastAsia" w:ascii="仿宋_GB2312" w:hAnsi="仿宋_GB2312" w:eastAsia="仿宋_GB2312" w:cs="仿宋_GB2312"/>
          <w:color w:val="auto"/>
        </w:rPr>
        <w:t>六、同意水土流失防治分区划分为</w:t>
      </w:r>
      <w:r>
        <w:rPr>
          <w:rFonts w:hint="eastAsia" w:ascii="仿宋_GB2312" w:hAnsi="仿宋_GB2312" w:eastAsia="仿宋_GB2312" w:cs="仿宋_GB2312"/>
          <w:color w:val="auto"/>
          <w:lang w:eastAsia="zh-CN"/>
        </w:rPr>
        <w:t>主体工程</w:t>
      </w:r>
      <w:r>
        <w:rPr>
          <w:rFonts w:hint="eastAsia" w:ascii="仿宋_GB2312" w:hAnsi="仿宋_GB2312" w:eastAsia="仿宋_GB2312" w:cs="仿宋_GB2312"/>
          <w:color w:val="auto"/>
        </w:rPr>
        <w:t>区、</w:t>
      </w:r>
      <w:r>
        <w:rPr>
          <w:rFonts w:hint="eastAsia" w:ascii="仿宋_GB2312" w:hAnsi="仿宋_GB2312" w:eastAsia="仿宋_GB2312" w:cs="仿宋_GB2312"/>
          <w:color w:val="auto"/>
          <w:lang w:val="en-US" w:eastAsia="zh-CN"/>
        </w:rPr>
        <w:t>施工生产生活区、表土堆放场、土方中转场共4个一级防治区；</w:t>
      </w:r>
      <w:r>
        <w:rPr>
          <w:rFonts w:hint="eastAsia" w:ascii="仿宋_GB2312" w:hAnsi="仿宋_GB2312" w:eastAsia="仿宋_GB2312" w:cs="仿宋_GB2312"/>
          <w:color w:val="auto"/>
        </w:rPr>
        <w:t>主体工程区又分为二期、三期、四期、五期四个二级分区，施工生产生活区分为1#～5#五个二级分区。</w:t>
      </w:r>
    </w:p>
    <w:p w14:paraId="28770048">
      <w:pPr>
        <w:pStyle w:val="24"/>
        <w:spacing w:line="360" w:lineRule="auto"/>
        <w:ind w:firstLine="60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七、基本同意水土流失防治措施体系总体布局。各项措施如下：</w:t>
      </w:r>
    </w:p>
    <w:p w14:paraId="1F140F3C">
      <w:pPr>
        <w:pStyle w:val="24"/>
        <w:spacing w:line="360" w:lineRule="auto"/>
        <w:ind w:firstLine="60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工程措施：雨水管</w:t>
      </w:r>
      <w:r>
        <w:rPr>
          <w:rFonts w:hint="eastAsia" w:ascii="仿宋_GB2312" w:hAnsi="仿宋_GB2312" w:eastAsia="仿宋_GB2312" w:cs="仿宋_GB2312"/>
          <w:color w:val="auto"/>
          <w:lang w:val="en-US" w:eastAsia="zh-CN"/>
        </w:rPr>
        <w:t>网</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双壁波纹管理DN</w:t>
      </w:r>
      <w:r>
        <w:rPr>
          <w:rFonts w:hint="eastAsia" w:ascii="仿宋_GB2312" w:hAnsi="仿宋_GB2312" w:eastAsia="仿宋_GB2312" w:cs="仿宋_GB2312"/>
          <w:color w:val="auto"/>
        </w:rPr>
        <w:t>300～</w:t>
      </w:r>
      <w:r>
        <w:rPr>
          <w:rFonts w:hint="eastAsia" w:ascii="仿宋_GB2312" w:hAnsi="仿宋_GB2312" w:eastAsia="仿宋_GB2312" w:cs="仿宋_GB2312"/>
          <w:color w:val="auto"/>
          <w:lang w:val="en-US" w:eastAsia="zh-CN"/>
        </w:rPr>
        <w:t>DN</w:t>
      </w:r>
      <w:r>
        <w:rPr>
          <w:rFonts w:hint="eastAsia" w:ascii="仿宋_GB2312" w:hAnsi="仿宋_GB2312" w:eastAsia="仿宋_GB2312" w:cs="仿宋_GB2312"/>
          <w:color w:val="auto"/>
        </w:rPr>
        <w:t>500）</w:t>
      </w:r>
      <w:r>
        <w:rPr>
          <w:rFonts w:hint="eastAsia" w:ascii="仿宋_GB2312" w:hAnsi="仿宋_GB2312" w:eastAsia="仿宋_GB2312" w:cs="仿宋_GB2312"/>
          <w:color w:val="auto"/>
          <w:lang w:val="en-US" w:eastAsia="zh-CN"/>
        </w:rPr>
        <w:t>2800</w:t>
      </w:r>
      <w:r>
        <w:rPr>
          <w:rFonts w:hint="eastAsia" w:ascii="仿宋_GB2312" w:hAnsi="仿宋_GB2312" w:eastAsia="仿宋_GB2312" w:cs="仿宋_GB2312"/>
          <w:color w:val="auto"/>
        </w:rPr>
        <w:t>m、</w:t>
      </w:r>
      <w:r>
        <w:rPr>
          <w:rFonts w:hint="eastAsia" w:ascii="仿宋_GB2312" w:hAnsi="仿宋_GB2312" w:eastAsia="仿宋_GB2312" w:cs="仿宋_GB2312"/>
          <w:color w:val="auto"/>
          <w:lang w:val="en-US" w:eastAsia="zh-CN"/>
        </w:rPr>
        <w:t>雨水口</w:t>
      </w:r>
      <w:r>
        <w:rPr>
          <w:rFonts w:hint="eastAsia" w:ascii="仿宋_GB2312" w:hAnsi="仿宋_GB2312" w:eastAsia="仿宋_GB2312" w:cs="仿宋_GB2312"/>
          <w:color w:val="auto"/>
        </w:rPr>
        <w:t>1</w:t>
      </w:r>
      <w:r>
        <w:rPr>
          <w:rFonts w:hint="eastAsia" w:ascii="仿宋_GB2312" w:hAnsi="仿宋_GB2312" w:eastAsia="仿宋_GB2312" w:cs="仿宋_GB2312"/>
          <w:color w:val="auto"/>
          <w:lang w:val="en-US" w:eastAsia="zh-CN"/>
        </w:rPr>
        <w:t>93</w:t>
      </w:r>
      <w:r>
        <w:rPr>
          <w:rFonts w:hint="eastAsia" w:ascii="仿宋_GB2312" w:hAnsi="仿宋_GB2312" w:eastAsia="仿宋_GB2312" w:cs="仿宋_GB2312"/>
          <w:color w:val="auto"/>
        </w:rPr>
        <w:t>个、</w:t>
      </w:r>
      <w:r>
        <w:rPr>
          <w:rFonts w:hint="eastAsia" w:ascii="仿宋_GB2312" w:hAnsi="仿宋_GB2312" w:eastAsia="仿宋_GB2312" w:cs="仿宋_GB2312"/>
          <w:color w:val="auto"/>
          <w:lang w:val="en-US" w:eastAsia="zh-CN"/>
        </w:rPr>
        <w:t>生态停车场植草砖铺装3506.25</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rPr>
        <w:t>土地整治0.</w:t>
      </w:r>
      <w:r>
        <w:rPr>
          <w:rFonts w:hint="eastAsia" w:ascii="仿宋_GB2312" w:hAnsi="仿宋_GB2312" w:eastAsia="仿宋_GB2312" w:cs="仿宋_GB2312"/>
          <w:color w:val="auto"/>
          <w:lang w:val="en-US" w:eastAsia="zh-CN"/>
        </w:rPr>
        <w:t>828</w:t>
      </w:r>
      <w:r>
        <w:rPr>
          <w:rFonts w:hint="eastAsia" w:ascii="仿宋_GB2312" w:hAnsi="仿宋_GB2312" w:eastAsia="仿宋_GB2312" w:cs="仿宋_GB2312"/>
          <w:color w:val="auto"/>
        </w:rPr>
        <w:t>h</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其中</w:t>
      </w:r>
      <w:r>
        <w:rPr>
          <w:rFonts w:hint="eastAsia" w:ascii="仿宋_GB2312" w:hAnsi="仿宋_GB2312" w:eastAsia="仿宋_GB2312" w:cs="仿宋_GB2312"/>
          <w:color w:val="auto"/>
        </w:rPr>
        <w:t>土壤改良</w:t>
      </w:r>
      <w:r>
        <w:rPr>
          <w:rFonts w:hint="eastAsia" w:ascii="仿宋_GB2312" w:hAnsi="仿宋_GB2312" w:eastAsia="仿宋_GB2312" w:cs="仿宋_GB2312"/>
          <w:color w:val="auto"/>
          <w:lang w:val="en-US" w:eastAsia="zh-CN"/>
        </w:rPr>
        <w:t>面积0.139</w:t>
      </w:r>
      <w:r>
        <w:rPr>
          <w:rFonts w:hint="eastAsia" w:ascii="仿宋_GB2312" w:hAnsi="仿宋_GB2312" w:eastAsia="仿宋_GB2312" w:cs="仿宋_GB2312"/>
          <w:color w:val="auto"/>
        </w:rPr>
        <w:t>h</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rPr>
        <w:t>，回覆表土面积0.689</w:t>
      </w:r>
      <w:r>
        <w:rPr>
          <w:rFonts w:hint="eastAsia" w:ascii="仿宋_GB2312" w:hAnsi="仿宋_GB2312" w:eastAsia="仿宋_GB2312" w:cs="仿宋_GB2312"/>
          <w:color w:val="auto"/>
        </w:rPr>
        <w:t>h</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lang w:val="en-US" w:eastAsia="zh-CN"/>
        </w:rPr>
        <w:t>，回覆表土2000</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表土剥离2000</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3</w:t>
      </w:r>
      <w:r>
        <w:rPr>
          <w:rFonts w:hint="eastAsia" w:ascii="仿宋_GB2312" w:hAnsi="仿宋_GB2312" w:eastAsia="仿宋_GB2312" w:cs="仿宋_GB2312"/>
          <w:color w:val="auto"/>
        </w:rPr>
        <w:t>。</w:t>
      </w:r>
    </w:p>
    <w:p w14:paraId="502A51F5">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rPr>
        <w:t>植物措施：景观</w:t>
      </w:r>
      <w:r>
        <w:rPr>
          <w:rFonts w:hint="eastAsia" w:ascii="仿宋_GB2312" w:hAnsi="仿宋_GB2312" w:eastAsia="仿宋_GB2312" w:cs="仿宋_GB2312"/>
          <w:color w:val="auto"/>
          <w:lang w:val="en-US" w:eastAsia="zh-CN" w:bidi="ar-SA"/>
        </w:rPr>
        <w:t>绿化7402.51m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vertAlign w:val="baseline"/>
          <w:lang w:val="en-US" w:eastAsia="zh-CN" w:bidi="ar-SA"/>
        </w:rPr>
        <w:t>、生态停车场折合绿化面积876.56</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val="en-US" w:eastAsia="zh-CN" w:bidi="ar-SA"/>
        </w:rPr>
        <w:t>。</w:t>
      </w:r>
    </w:p>
    <w:p w14:paraId="6FA24F7E">
      <w:pPr>
        <w:pStyle w:val="24"/>
        <w:spacing w:line="360" w:lineRule="auto"/>
        <w:ind w:firstLine="60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临时措施：</w:t>
      </w:r>
      <w:r>
        <w:rPr>
          <w:rFonts w:hint="eastAsia" w:ascii="仿宋_GB2312" w:hAnsi="仿宋_GB2312" w:eastAsia="仿宋_GB2312" w:cs="仿宋_GB2312"/>
          <w:color w:val="auto"/>
          <w:lang w:val="en-US" w:eastAsia="zh-CN"/>
        </w:rPr>
        <w:t>土质</w:t>
      </w:r>
      <w:r>
        <w:rPr>
          <w:rFonts w:hint="eastAsia" w:ascii="仿宋_GB2312" w:hAnsi="仿宋_GB2312" w:eastAsia="仿宋_GB2312" w:cs="仿宋_GB2312"/>
          <w:color w:val="auto"/>
        </w:rPr>
        <w:t>排水沟</w:t>
      </w:r>
      <w:r>
        <w:rPr>
          <w:rFonts w:hint="eastAsia" w:ascii="仿宋_GB2312" w:hAnsi="仿宋_GB2312" w:eastAsia="仿宋_GB2312" w:cs="仿宋_GB2312"/>
          <w:color w:val="auto"/>
          <w:lang w:val="en-US" w:eastAsia="zh-CN"/>
        </w:rPr>
        <w:t>1623</w:t>
      </w:r>
      <w:r>
        <w:rPr>
          <w:rFonts w:hint="eastAsia" w:ascii="仿宋_GB2312" w:hAnsi="仿宋_GB2312" w:eastAsia="仿宋_GB2312" w:cs="仿宋_GB2312"/>
          <w:color w:val="auto"/>
        </w:rPr>
        <w:t>m</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土质沉沙</w:t>
      </w:r>
      <w:r>
        <w:rPr>
          <w:rFonts w:hint="eastAsia" w:ascii="仿宋_GB2312" w:hAnsi="仿宋_GB2312" w:eastAsia="仿宋_GB2312" w:cs="仿宋_GB2312"/>
          <w:color w:val="auto"/>
        </w:rPr>
        <w:t>池</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个、</w:t>
      </w:r>
      <w:r>
        <w:rPr>
          <w:rFonts w:hint="eastAsia" w:ascii="仿宋_GB2312" w:hAnsi="仿宋_GB2312" w:eastAsia="仿宋_GB2312" w:cs="仿宋_GB2312"/>
          <w:color w:val="auto"/>
        </w:rPr>
        <w:t>临时拦挡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编织袋</w:t>
      </w:r>
      <w:r>
        <w:rPr>
          <w:rFonts w:hint="eastAsia" w:ascii="仿宋_GB2312" w:hAnsi="仿宋_GB2312" w:eastAsia="仿宋_GB2312" w:cs="仿宋_GB2312"/>
          <w:color w:val="auto"/>
          <w:lang w:val="en-US" w:eastAsia="zh-CN"/>
        </w:rPr>
        <w:t>装</w:t>
      </w:r>
      <w:r>
        <w:rPr>
          <w:rFonts w:hint="eastAsia" w:ascii="仿宋_GB2312" w:hAnsi="仿宋_GB2312" w:eastAsia="仿宋_GB2312" w:cs="仿宋_GB2312"/>
          <w:color w:val="auto"/>
        </w:rPr>
        <w:t>土</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305.6</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3</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长382</w:t>
      </w:r>
      <w:r>
        <w:rPr>
          <w:rFonts w:hint="eastAsia" w:ascii="仿宋_GB2312" w:hAnsi="仿宋_GB2312" w:eastAsia="仿宋_GB2312" w:cs="仿宋_GB2312"/>
          <w:color w:val="auto"/>
        </w:rPr>
        <w:t>m）</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密目网临时苫盖</w:t>
      </w:r>
      <w:r>
        <w:rPr>
          <w:rFonts w:hint="eastAsia" w:ascii="仿宋_GB2312" w:hAnsi="仿宋_GB2312" w:eastAsia="仿宋_GB2312" w:cs="仿宋_GB2312"/>
          <w:color w:val="auto"/>
          <w:lang w:val="en-US" w:eastAsia="zh-CN"/>
        </w:rPr>
        <w:t>14850</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彩条布临时苫盖</w:t>
      </w:r>
      <w:r>
        <w:rPr>
          <w:rFonts w:hint="eastAsia" w:ascii="仿宋_GB2312" w:hAnsi="仿宋_GB2312" w:eastAsia="仿宋_GB2312" w:cs="仿宋_GB2312"/>
          <w:color w:val="auto"/>
          <w:lang w:val="en-US" w:eastAsia="zh-CN"/>
        </w:rPr>
        <w:t>2162</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superscript"/>
        </w:rPr>
        <w:t>2</w:t>
      </w:r>
      <w:r>
        <w:rPr>
          <w:rFonts w:hint="eastAsia" w:ascii="仿宋_GB2312" w:hAnsi="仿宋_GB2312" w:eastAsia="仿宋_GB2312" w:cs="仿宋_GB2312"/>
          <w:color w:val="auto"/>
          <w:vertAlign w:val="baseline"/>
          <w:lang w:eastAsia="zh-CN"/>
        </w:rPr>
        <w:t>、</w:t>
      </w:r>
      <w:r>
        <w:rPr>
          <w:rFonts w:hint="eastAsia" w:ascii="仿宋_GB2312" w:hAnsi="仿宋_GB2312" w:eastAsia="仿宋_GB2312" w:cs="仿宋_GB2312"/>
          <w:color w:val="auto"/>
          <w:vertAlign w:val="baseline"/>
          <w:lang w:val="en-US" w:eastAsia="zh-CN"/>
        </w:rPr>
        <w:t>播撒猪屎豆草籽0.10</w:t>
      </w:r>
      <w:r>
        <w:rPr>
          <w:rFonts w:hint="eastAsia" w:ascii="仿宋_GB2312" w:hAnsi="仿宋_GB2312" w:eastAsia="仿宋_GB2312" w:cs="仿宋_GB2312"/>
          <w:color w:val="auto"/>
        </w:rPr>
        <w:t>h</w:t>
      </w:r>
      <w:r>
        <w:rPr>
          <w:rFonts w:hint="eastAsia" w:ascii="仿宋_GB2312" w:hAnsi="仿宋_GB2312" w:eastAsia="仿宋_GB2312" w:cs="仿宋_GB2312"/>
          <w:color w:val="auto"/>
          <w:lang w:val="en-US" w:eastAsia="zh-CN" w:bidi="ar-SA"/>
        </w:rPr>
        <w:t>m</w:t>
      </w:r>
      <w:r>
        <w:rPr>
          <w:rFonts w:hint="eastAsia" w:ascii="仿宋_GB2312" w:hAnsi="仿宋_GB2312" w:eastAsia="仿宋_GB2312" w:cs="仿宋_GB2312"/>
          <w:color w:val="auto"/>
          <w:vertAlign w:val="superscript"/>
          <w:lang w:val="en-US" w:eastAsia="zh-CN" w:bidi="ar-SA"/>
        </w:rPr>
        <w:t>2</w:t>
      </w:r>
      <w:r>
        <w:rPr>
          <w:rFonts w:hint="eastAsia" w:ascii="仿宋_GB2312" w:hAnsi="仿宋_GB2312" w:eastAsia="仿宋_GB2312" w:cs="仿宋_GB2312"/>
          <w:color w:val="auto"/>
          <w:vertAlign w:val="baseline"/>
          <w:lang w:val="en-US" w:eastAsia="zh-CN"/>
        </w:rPr>
        <w:t>、砖砌排水沟332</w:t>
      </w:r>
      <w:r>
        <w:rPr>
          <w:rFonts w:hint="eastAsia" w:ascii="仿宋_GB2312" w:hAnsi="仿宋_GB2312" w:eastAsia="仿宋_GB2312" w:cs="仿宋_GB2312"/>
          <w:color w:val="auto"/>
        </w:rPr>
        <w:t>m</w:t>
      </w:r>
      <w:r>
        <w:rPr>
          <w:rFonts w:hint="eastAsia" w:ascii="仿宋_GB2312" w:hAnsi="仿宋_GB2312" w:eastAsia="仿宋_GB2312" w:cs="仿宋_GB2312"/>
          <w:color w:val="auto"/>
          <w:vertAlign w:val="baseline"/>
          <w:lang w:val="en-US" w:eastAsia="zh-CN"/>
        </w:rPr>
        <w:t>、砖砌沉沙池2个、洗车池3个</w:t>
      </w:r>
      <w:r>
        <w:rPr>
          <w:rFonts w:hint="eastAsia" w:ascii="仿宋_GB2312" w:hAnsi="仿宋_GB2312" w:eastAsia="仿宋_GB2312" w:cs="仿宋_GB2312"/>
          <w:color w:val="auto"/>
        </w:rPr>
        <w:t>。</w:t>
      </w:r>
    </w:p>
    <w:p w14:paraId="76E6B296">
      <w:pPr>
        <w:tabs>
          <w:tab w:val="left" w:pos="7200"/>
        </w:tabs>
        <w:spacing w:line="360" w:lineRule="auto"/>
        <w:ind w:firstLine="600" w:firstLineChars="200"/>
        <w:jc w:val="left"/>
        <w:outlineLvl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八、基本同意水土保持监测内容、方法、监测时段和监测频次。</w:t>
      </w:r>
    </w:p>
    <w:p w14:paraId="503188CD">
      <w:pPr>
        <w:adjustRightInd w:val="0"/>
        <w:snapToGrid w:val="0"/>
        <w:spacing w:line="360" w:lineRule="auto"/>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九、基本同意投资估算的编制原则、依据、方法和结论。</w:t>
      </w:r>
    </w:p>
    <w:p w14:paraId="228DDD73">
      <w:pPr>
        <w:pStyle w:val="24"/>
        <w:spacing w:line="360" w:lineRule="auto"/>
        <w:ind w:firstLine="600" w:firstLineChars="200"/>
        <w:rPr>
          <w:rFonts w:hint="eastAsia" w:ascii="仿宋_GB2312" w:hAnsi="仿宋_GB2312" w:eastAsia="仿宋_GB2312" w:cs="仿宋_GB2312"/>
          <w:color w:val="auto"/>
          <w:lang w:val="en-US" w:eastAsia="zh-CN" w:bidi="ar-SA"/>
        </w:rPr>
      </w:pPr>
      <w:r>
        <w:rPr>
          <w:rFonts w:hint="eastAsia" w:ascii="仿宋_GB2312" w:hAnsi="仿宋_GB2312" w:eastAsia="仿宋_GB2312" w:cs="仿宋_GB2312"/>
          <w:color w:val="auto"/>
          <w:lang w:val="en-US" w:eastAsia="zh-CN" w:bidi="ar-SA"/>
        </w:rPr>
        <w:t>本项目水土保持估算总投资326.88万元，其中主体已有措施投资251.46万元，方案新增水土保持投资75.42万元。工程措施投资为131.18万元，植物措施投资为118.93万元，临时措施投资为30.54万元，独立费用28.43万元(其中水土保持监理费2.00万元，水土保持监测费11.85万元)，基本预备费为3.46万元，水土保持补偿费14.34万元（143414.06元）。</w:t>
      </w:r>
      <w:bookmarkStart w:id="0" w:name="_GoBack"/>
      <w:bookmarkEnd w:id="0"/>
    </w:p>
    <w:p w14:paraId="75DF8816">
      <w:pPr>
        <w:tabs>
          <w:tab w:val="left" w:pos="7200"/>
        </w:tabs>
        <w:spacing w:line="360" w:lineRule="auto"/>
        <w:jc w:val="left"/>
        <w:outlineLvl w:val="0"/>
        <w:rPr>
          <w:rFonts w:hint="eastAsia" w:ascii="仿宋_GB2312" w:hAnsi="仿宋_GB2312" w:eastAsia="仿宋_GB2312" w:cs="仿宋_GB2312"/>
          <w:color w:val="FF0000"/>
          <w:sz w:val="30"/>
          <w:szCs w:val="30"/>
        </w:rPr>
      </w:pPr>
    </w:p>
    <w:p w14:paraId="63328CAA">
      <w:pPr>
        <w:tabs>
          <w:tab w:val="left" w:pos="7200"/>
        </w:tabs>
        <w:spacing w:line="360" w:lineRule="auto"/>
        <w:jc w:val="left"/>
        <w:outlineLvl w:val="0"/>
        <w:rPr>
          <w:rFonts w:hint="eastAsia" w:ascii="仿宋_GB2312" w:hAnsi="仿宋_GB2312" w:eastAsia="仿宋_GB2312" w:cs="仿宋_GB2312"/>
          <w:sz w:val="30"/>
          <w:szCs w:val="30"/>
        </w:rPr>
      </w:pPr>
    </w:p>
    <w:p w14:paraId="3EFEEC19">
      <w:pPr>
        <w:tabs>
          <w:tab w:val="left" w:pos="7200"/>
        </w:tabs>
        <w:spacing w:line="360" w:lineRule="auto"/>
        <w:ind w:firstLine="3300" w:firstLineChars="11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全州县水保站（全州县水利局代章）</w:t>
      </w:r>
    </w:p>
    <w:p w14:paraId="62932B2E">
      <w:pPr>
        <w:tabs>
          <w:tab w:val="left" w:pos="7200"/>
        </w:tabs>
        <w:spacing w:line="360" w:lineRule="auto"/>
        <w:ind w:firstLine="600" w:firstLineChars="200"/>
        <w:jc w:val="left"/>
        <w:outlineLvl w:val="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日</w:t>
      </w:r>
    </w:p>
    <w:sectPr>
      <w:headerReference r:id="rId3" w:type="default"/>
      <w:footerReference r:id="rId4" w:type="default"/>
      <w:footerReference r:id="rId5" w:type="even"/>
      <w:pgSz w:w="11907" w:h="16840"/>
      <w:pgMar w:top="1440" w:right="1800" w:bottom="1440" w:left="1800" w:header="851" w:footer="1361"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734E">
    <w:pPr>
      <w:pStyle w:val="8"/>
      <w:tabs>
        <w:tab w:val="left" w:pos="7140"/>
      </w:tabs>
      <w:wordWrap w:val="0"/>
      <w:ind w:right="405" w:firstLine="360"/>
      <w:rPr>
        <w:rFonts w:ascii="宋体" w:hAnsi="宋体"/>
        <w:spacing w:val="-8"/>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438BF19">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D31FB">
    <w:pPr>
      <w:pStyle w:val="8"/>
      <w:ind w:firstLine="372" w:firstLineChars="141"/>
      <w:rPr>
        <w:rFonts w:ascii="宋体" w:hAnsi="宋体"/>
        <w:spacing w:val="-8"/>
        <w:sz w:val="28"/>
        <w:szCs w:val="28"/>
      </w:rPr>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6</w:t>
    </w:r>
    <w:r>
      <w:rPr>
        <w:rFonts w:ascii="宋体" w:hAnsi="宋体"/>
        <w:spacing w:val="-8"/>
        <w:sz w:val="28"/>
        <w:szCs w:val="28"/>
      </w:rPr>
      <w:fldChar w:fldCharType="end"/>
    </w:r>
    <w:r>
      <w:rPr>
        <w:rStyle w:val="13"/>
        <w:rFonts w:hint="eastAsia" w:ascii="宋体" w:hAnsi="宋体"/>
        <w:spacing w:val="-8"/>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70194">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D3A2402"/>
    <w:rsid w:val="00012622"/>
    <w:rsid w:val="00012744"/>
    <w:rsid w:val="00013768"/>
    <w:rsid w:val="000202D5"/>
    <w:rsid w:val="00021467"/>
    <w:rsid w:val="00022BDC"/>
    <w:rsid w:val="00024749"/>
    <w:rsid w:val="00024A9E"/>
    <w:rsid w:val="00031F51"/>
    <w:rsid w:val="0003426D"/>
    <w:rsid w:val="000358BB"/>
    <w:rsid w:val="00036196"/>
    <w:rsid w:val="00044C14"/>
    <w:rsid w:val="0004721D"/>
    <w:rsid w:val="00051778"/>
    <w:rsid w:val="00052067"/>
    <w:rsid w:val="00055045"/>
    <w:rsid w:val="000555E3"/>
    <w:rsid w:val="00057444"/>
    <w:rsid w:val="00057874"/>
    <w:rsid w:val="000608B2"/>
    <w:rsid w:val="000610DE"/>
    <w:rsid w:val="0006253B"/>
    <w:rsid w:val="0006365C"/>
    <w:rsid w:val="00063BEB"/>
    <w:rsid w:val="000669D7"/>
    <w:rsid w:val="00067D89"/>
    <w:rsid w:val="0007338A"/>
    <w:rsid w:val="00074199"/>
    <w:rsid w:val="00080099"/>
    <w:rsid w:val="00080420"/>
    <w:rsid w:val="00083A34"/>
    <w:rsid w:val="00093606"/>
    <w:rsid w:val="00093A54"/>
    <w:rsid w:val="00094AEC"/>
    <w:rsid w:val="00094F2B"/>
    <w:rsid w:val="00096249"/>
    <w:rsid w:val="00097101"/>
    <w:rsid w:val="000A6904"/>
    <w:rsid w:val="000B2CBD"/>
    <w:rsid w:val="000C0FA0"/>
    <w:rsid w:val="000C1D50"/>
    <w:rsid w:val="000C4400"/>
    <w:rsid w:val="000C5E36"/>
    <w:rsid w:val="000C7693"/>
    <w:rsid w:val="000D2650"/>
    <w:rsid w:val="000D5C0B"/>
    <w:rsid w:val="000D5E00"/>
    <w:rsid w:val="000E2C37"/>
    <w:rsid w:val="000E7BCD"/>
    <w:rsid w:val="000F0469"/>
    <w:rsid w:val="000F066B"/>
    <w:rsid w:val="000F0E84"/>
    <w:rsid w:val="000F0F3D"/>
    <w:rsid w:val="000F19B6"/>
    <w:rsid w:val="001012F6"/>
    <w:rsid w:val="001017E0"/>
    <w:rsid w:val="0010193F"/>
    <w:rsid w:val="00106630"/>
    <w:rsid w:val="0010714D"/>
    <w:rsid w:val="0011027F"/>
    <w:rsid w:val="00113A23"/>
    <w:rsid w:val="0013134B"/>
    <w:rsid w:val="00132717"/>
    <w:rsid w:val="00135410"/>
    <w:rsid w:val="00143864"/>
    <w:rsid w:val="00143E5A"/>
    <w:rsid w:val="0014453F"/>
    <w:rsid w:val="00145641"/>
    <w:rsid w:val="00146158"/>
    <w:rsid w:val="00150179"/>
    <w:rsid w:val="0015248D"/>
    <w:rsid w:val="00152719"/>
    <w:rsid w:val="00154C53"/>
    <w:rsid w:val="00157214"/>
    <w:rsid w:val="00157298"/>
    <w:rsid w:val="00164848"/>
    <w:rsid w:val="0017252E"/>
    <w:rsid w:val="001733D0"/>
    <w:rsid w:val="00174413"/>
    <w:rsid w:val="00186015"/>
    <w:rsid w:val="0019058E"/>
    <w:rsid w:val="00191FD1"/>
    <w:rsid w:val="001926A3"/>
    <w:rsid w:val="00197DF9"/>
    <w:rsid w:val="001A7654"/>
    <w:rsid w:val="001A77C6"/>
    <w:rsid w:val="001B691A"/>
    <w:rsid w:val="001C0C77"/>
    <w:rsid w:val="001C454F"/>
    <w:rsid w:val="001C63EA"/>
    <w:rsid w:val="001D06E8"/>
    <w:rsid w:val="001D301F"/>
    <w:rsid w:val="001D3086"/>
    <w:rsid w:val="001D4F0E"/>
    <w:rsid w:val="001D5706"/>
    <w:rsid w:val="001D6366"/>
    <w:rsid w:val="001D63F4"/>
    <w:rsid w:val="001E1764"/>
    <w:rsid w:val="001E1A11"/>
    <w:rsid w:val="001E1B1B"/>
    <w:rsid w:val="001E1E37"/>
    <w:rsid w:val="001F032B"/>
    <w:rsid w:val="001F092A"/>
    <w:rsid w:val="001F3038"/>
    <w:rsid w:val="001F3CB6"/>
    <w:rsid w:val="001F4AE8"/>
    <w:rsid w:val="001F5026"/>
    <w:rsid w:val="001F6410"/>
    <w:rsid w:val="00202716"/>
    <w:rsid w:val="0020363F"/>
    <w:rsid w:val="0020551C"/>
    <w:rsid w:val="002070B1"/>
    <w:rsid w:val="00216F61"/>
    <w:rsid w:val="002215D7"/>
    <w:rsid w:val="00221FF6"/>
    <w:rsid w:val="00221FFB"/>
    <w:rsid w:val="002222D0"/>
    <w:rsid w:val="0022718B"/>
    <w:rsid w:val="002347C4"/>
    <w:rsid w:val="00235B99"/>
    <w:rsid w:val="00247505"/>
    <w:rsid w:val="002577C4"/>
    <w:rsid w:val="00261A87"/>
    <w:rsid w:val="00266417"/>
    <w:rsid w:val="002738DC"/>
    <w:rsid w:val="00275092"/>
    <w:rsid w:val="00283664"/>
    <w:rsid w:val="0028712B"/>
    <w:rsid w:val="002871DB"/>
    <w:rsid w:val="00296170"/>
    <w:rsid w:val="00296C07"/>
    <w:rsid w:val="00297F5A"/>
    <w:rsid w:val="002A4CE2"/>
    <w:rsid w:val="002A503B"/>
    <w:rsid w:val="002A75BA"/>
    <w:rsid w:val="002B4990"/>
    <w:rsid w:val="002C1BA0"/>
    <w:rsid w:val="002C1E10"/>
    <w:rsid w:val="002C2023"/>
    <w:rsid w:val="002C509C"/>
    <w:rsid w:val="002C5792"/>
    <w:rsid w:val="002C7010"/>
    <w:rsid w:val="002D0019"/>
    <w:rsid w:val="002D39D1"/>
    <w:rsid w:val="002D781A"/>
    <w:rsid w:val="002D785C"/>
    <w:rsid w:val="002E28AC"/>
    <w:rsid w:val="002E4A3B"/>
    <w:rsid w:val="002F03B0"/>
    <w:rsid w:val="002F638F"/>
    <w:rsid w:val="002F7637"/>
    <w:rsid w:val="002F7815"/>
    <w:rsid w:val="002F7AFB"/>
    <w:rsid w:val="00300E56"/>
    <w:rsid w:val="00303755"/>
    <w:rsid w:val="0030713E"/>
    <w:rsid w:val="00307CF3"/>
    <w:rsid w:val="003102DF"/>
    <w:rsid w:val="00312BF4"/>
    <w:rsid w:val="00313115"/>
    <w:rsid w:val="00314805"/>
    <w:rsid w:val="00315C64"/>
    <w:rsid w:val="003214FC"/>
    <w:rsid w:val="00323E7C"/>
    <w:rsid w:val="00334E64"/>
    <w:rsid w:val="00344BF7"/>
    <w:rsid w:val="0034663C"/>
    <w:rsid w:val="0034774A"/>
    <w:rsid w:val="00355A53"/>
    <w:rsid w:val="00355E40"/>
    <w:rsid w:val="003577EA"/>
    <w:rsid w:val="00357F47"/>
    <w:rsid w:val="00357FCA"/>
    <w:rsid w:val="00360BFF"/>
    <w:rsid w:val="00363618"/>
    <w:rsid w:val="00364849"/>
    <w:rsid w:val="00365A1D"/>
    <w:rsid w:val="003677E8"/>
    <w:rsid w:val="0037233A"/>
    <w:rsid w:val="00373A59"/>
    <w:rsid w:val="00375587"/>
    <w:rsid w:val="00375E29"/>
    <w:rsid w:val="00377536"/>
    <w:rsid w:val="00380998"/>
    <w:rsid w:val="00382EF0"/>
    <w:rsid w:val="00383B1C"/>
    <w:rsid w:val="00384F1E"/>
    <w:rsid w:val="003873E0"/>
    <w:rsid w:val="003909D3"/>
    <w:rsid w:val="003910DB"/>
    <w:rsid w:val="0039473F"/>
    <w:rsid w:val="003A1E93"/>
    <w:rsid w:val="003A404F"/>
    <w:rsid w:val="003A4875"/>
    <w:rsid w:val="003A735D"/>
    <w:rsid w:val="003A7B1B"/>
    <w:rsid w:val="003B0B8B"/>
    <w:rsid w:val="003B383E"/>
    <w:rsid w:val="003B4EF1"/>
    <w:rsid w:val="003B7453"/>
    <w:rsid w:val="003D1A9E"/>
    <w:rsid w:val="003D20D5"/>
    <w:rsid w:val="003D43C7"/>
    <w:rsid w:val="003D5065"/>
    <w:rsid w:val="003D5D02"/>
    <w:rsid w:val="003D61AA"/>
    <w:rsid w:val="003E0C4E"/>
    <w:rsid w:val="003F091C"/>
    <w:rsid w:val="003F4D9D"/>
    <w:rsid w:val="003F5FD7"/>
    <w:rsid w:val="003F7B2D"/>
    <w:rsid w:val="00406035"/>
    <w:rsid w:val="00406E34"/>
    <w:rsid w:val="00407B5C"/>
    <w:rsid w:val="00410173"/>
    <w:rsid w:val="00412BB4"/>
    <w:rsid w:val="004132F0"/>
    <w:rsid w:val="00415CC0"/>
    <w:rsid w:val="00415DEB"/>
    <w:rsid w:val="00416164"/>
    <w:rsid w:val="00416895"/>
    <w:rsid w:val="00423D24"/>
    <w:rsid w:val="004275E0"/>
    <w:rsid w:val="00430F42"/>
    <w:rsid w:val="004436B4"/>
    <w:rsid w:val="00443C2F"/>
    <w:rsid w:val="004465D9"/>
    <w:rsid w:val="0045455C"/>
    <w:rsid w:val="0045494E"/>
    <w:rsid w:val="00457987"/>
    <w:rsid w:val="004604F5"/>
    <w:rsid w:val="0046334C"/>
    <w:rsid w:val="00463595"/>
    <w:rsid w:val="00463A48"/>
    <w:rsid w:val="00463ACC"/>
    <w:rsid w:val="0046550F"/>
    <w:rsid w:val="00470633"/>
    <w:rsid w:val="004738BA"/>
    <w:rsid w:val="004760E4"/>
    <w:rsid w:val="004802D2"/>
    <w:rsid w:val="00483E88"/>
    <w:rsid w:val="00485711"/>
    <w:rsid w:val="00492B12"/>
    <w:rsid w:val="00492BD4"/>
    <w:rsid w:val="004933A8"/>
    <w:rsid w:val="00494034"/>
    <w:rsid w:val="00494312"/>
    <w:rsid w:val="00494C51"/>
    <w:rsid w:val="004951F8"/>
    <w:rsid w:val="004A20BD"/>
    <w:rsid w:val="004A2331"/>
    <w:rsid w:val="004A4FD8"/>
    <w:rsid w:val="004A7F3A"/>
    <w:rsid w:val="004B0B9A"/>
    <w:rsid w:val="004B3272"/>
    <w:rsid w:val="004B39CA"/>
    <w:rsid w:val="004B4C31"/>
    <w:rsid w:val="004C0772"/>
    <w:rsid w:val="004C3498"/>
    <w:rsid w:val="004C4141"/>
    <w:rsid w:val="004C71D1"/>
    <w:rsid w:val="004D3D20"/>
    <w:rsid w:val="004D4C03"/>
    <w:rsid w:val="004E2B51"/>
    <w:rsid w:val="004E6128"/>
    <w:rsid w:val="004E6242"/>
    <w:rsid w:val="004F0C28"/>
    <w:rsid w:val="004F0E7A"/>
    <w:rsid w:val="004F4AC9"/>
    <w:rsid w:val="0050021D"/>
    <w:rsid w:val="00500BD8"/>
    <w:rsid w:val="00500CED"/>
    <w:rsid w:val="005039D3"/>
    <w:rsid w:val="0050600D"/>
    <w:rsid w:val="00506EEA"/>
    <w:rsid w:val="005125F4"/>
    <w:rsid w:val="00514165"/>
    <w:rsid w:val="00515171"/>
    <w:rsid w:val="00516BA3"/>
    <w:rsid w:val="005170B5"/>
    <w:rsid w:val="005218A7"/>
    <w:rsid w:val="0052286D"/>
    <w:rsid w:val="0052386E"/>
    <w:rsid w:val="00523FF2"/>
    <w:rsid w:val="005260C9"/>
    <w:rsid w:val="00526945"/>
    <w:rsid w:val="005274CD"/>
    <w:rsid w:val="005347E9"/>
    <w:rsid w:val="00535D8E"/>
    <w:rsid w:val="00536185"/>
    <w:rsid w:val="00544319"/>
    <w:rsid w:val="00546B64"/>
    <w:rsid w:val="00550777"/>
    <w:rsid w:val="005510B2"/>
    <w:rsid w:val="00561A00"/>
    <w:rsid w:val="00562BFE"/>
    <w:rsid w:val="00563408"/>
    <w:rsid w:val="00566677"/>
    <w:rsid w:val="005702FD"/>
    <w:rsid w:val="0057088D"/>
    <w:rsid w:val="00570DFE"/>
    <w:rsid w:val="00570F1F"/>
    <w:rsid w:val="00572191"/>
    <w:rsid w:val="00576784"/>
    <w:rsid w:val="005769AD"/>
    <w:rsid w:val="00583595"/>
    <w:rsid w:val="00584136"/>
    <w:rsid w:val="005860FC"/>
    <w:rsid w:val="005A19FD"/>
    <w:rsid w:val="005A30A2"/>
    <w:rsid w:val="005A72EC"/>
    <w:rsid w:val="005B0306"/>
    <w:rsid w:val="005B19BF"/>
    <w:rsid w:val="005B22E2"/>
    <w:rsid w:val="005B36B4"/>
    <w:rsid w:val="005C17D2"/>
    <w:rsid w:val="005C3422"/>
    <w:rsid w:val="005C7AB4"/>
    <w:rsid w:val="005D1148"/>
    <w:rsid w:val="005D2833"/>
    <w:rsid w:val="005D2F93"/>
    <w:rsid w:val="005D7DC2"/>
    <w:rsid w:val="005E0C8D"/>
    <w:rsid w:val="005E101B"/>
    <w:rsid w:val="005E3B75"/>
    <w:rsid w:val="005E74BD"/>
    <w:rsid w:val="005E77A4"/>
    <w:rsid w:val="005E7B79"/>
    <w:rsid w:val="005F188A"/>
    <w:rsid w:val="00601E0B"/>
    <w:rsid w:val="0060328D"/>
    <w:rsid w:val="00603F11"/>
    <w:rsid w:val="006043B6"/>
    <w:rsid w:val="0060456C"/>
    <w:rsid w:val="00610A25"/>
    <w:rsid w:val="00610FEE"/>
    <w:rsid w:val="006123BE"/>
    <w:rsid w:val="006126A3"/>
    <w:rsid w:val="00615377"/>
    <w:rsid w:val="00621062"/>
    <w:rsid w:val="00626424"/>
    <w:rsid w:val="00626CEF"/>
    <w:rsid w:val="00627775"/>
    <w:rsid w:val="006279DE"/>
    <w:rsid w:val="00627EC9"/>
    <w:rsid w:val="006337BF"/>
    <w:rsid w:val="006342B2"/>
    <w:rsid w:val="00637F5D"/>
    <w:rsid w:val="0064029F"/>
    <w:rsid w:val="0064219E"/>
    <w:rsid w:val="00643E2B"/>
    <w:rsid w:val="00653F41"/>
    <w:rsid w:val="006544F7"/>
    <w:rsid w:val="0065488F"/>
    <w:rsid w:val="0065665E"/>
    <w:rsid w:val="00656922"/>
    <w:rsid w:val="00657727"/>
    <w:rsid w:val="00661700"/>
    <w:rsid w:val="00663C68"/>
    <w:rsid w:val="006655B9"/>
    <w:rsid w:val="006659BA"/>
    <w:rsid w:val="0067193C"/>
    <w:rsid w:val="006721AF"/>
    <w:rsid w:val="00672E95"/>
    <w:rsid w:val="00673E80"/>
    <w:rsid w:val="00674C31"/>
    <w:rsid w:val="00676879"/>
    <w:rsid w:val="0068222F"/>
    <w:rsid w:val="00686017"/>
    <w:rsid w:val="0068645A"/>
    <w:rsid w:val="00687300"/>
    <w:rsid w:val="006A17BD"/>
    <w:rsid w:val="006A2368"/>
    <w:rsid w:val="006A2E7D"/>
    <w:rsid w:val="006A5E4A"/>
    <w:rsid w:val="006B0631"/>
    <w:rsid w:val="006B69C6"/>
    <w:rsid w:val="006B7A43"/>
    <w:rsid w:val="006C0E19"/>
    <w:rsid w:val="006C2BE4"/>
    <w:rsid w:val="006C364C"/>
    <w:rsid w:val="006C54E9"/>
    <w:rsid w:val="006C5C73"/>
    <w:rsid w:val="006C6F96"/>
    <w:rsid w:val="006C73DB"/>
    <w:rsid w:val="006D0DFC"/>
    <w:rsid w:val="006D7124"/>
    <w:rsid w:val="006D751F"/>
    <w:rsid w:val="006E5D15"/>
    <w:rsid w:val="006E64CE"/>
    <w:rsid w:val="006E6508"/>
    <w:rsid w:val="006F0E9E"/>
    <w:rsid w:val="006F1205"/>
    <w:rsid w:val="006F1CC9"/>
    <w:rsid w:val="006F5254"/>
    <w:rsid w:val="006F561A"/>
    <w:rsid w:val="006F773C"/>
    <w:rsid w:val="00700190"/>
    <w:rsid w:val="00700A60"/>
    <w:rsid w:val="00704586"/>
    <w:rsid w:val="007046B6"/>
    <w:rsid w:val="00705569"/>
    <w:rsid w:val="007058F4"/>
    <w:rsid w:val="00710BD8"/>
    <w:rsid w:val="007114C2"/>
    <w:rsid w:val="007201A1"/>
    <w:rsid w:val="007207EC"/>
    <w:rsid w:val="007214F6"/>
    <w:rsid w:val="00721BCF"/>
    <w:rsid w:val="00721ED1"/>
    <w:rsid w:val="0072532B"/>
    <w:rsid w:val="007261EE"/>
    <w:rsid w:val="00730D5D"/>
    <w:rsid w:val="00733EA8"/>
    <w:rsid w:val="0073657E"/>
    <w:rsid w:val="0074225F"/>
    <w:rsid w:val="00743361"/>
    <w:rsid w:val="00746E96"/>
    <w:rsid w:val="0076048A"/>
    <w:rsid w:val="00762D35"/>
    <w:rsid w:val="00771758"/>
    <w:rsid w:val="00775E69"/>
    <w:rsid w:val="00776ED0"/>
    <w:rsid w:val="0078021E"/>
    <w:rsid w:val="007830C8"/>
    <w:rsid w:val="00784EE2"/>
    <w:rsid w:val="00786150"/>
    <w:rsid w:val="0079089C"/>
    <w:rsid w:val="007937F4"/>
    <w:rsid w:val="00795D29"/>
    <w:rsid w:val="00796679"/>
    <w:rsid w:val="007A09DC"/>
    <w:rsid w:val="007A3B93"/>
    <w:rsid w:val="007A5622"/>
    <w:rsid w:val="007B0695"/>
    <w:rsid w:val="007B0974"/>
    <w:rsid w:val="007B0C78"/>
    <w:rsid w:val="007B626E"/>
    <w:rsid w:val="007B6CEB"/>
    <w:rsid w:val="007C2264"/>
    <w:rsid w:val="007C3E3E"/>
    <w:rsid w:val="007C52A0"/>
    <w:rsid w:val="007C619D"/>
    <w:rsid w:val="007D099A"/>
    <w:rsid w:val="007D22CF"/>
    <w:rsid w:val="007D4AD7"/>
    <w:rsid w:val="007D78F4"/>
    <w:rsid w:val="007E0B88"/>
    <w:rsid w:val="007E2F3F"/>
    <w:rsid w:val="007E3E73"/>
    <w:rsid w:val="007E615E"/>
    <w:rsid w:val="007E6194"/>
    <w:rsid w:val="007E637A"/>
    <w:rsid w:val="007F4ECE"/>
    <w:rsid w:val="007F5F33"/>
    <w:rsid w:val="008006B2"/>
    <w:rsid w:val="008024F8"/>
    <w:rsid w:val="008110C0"/>
    <w:rsid w:val="0081425E"/>
    <w:rsid w:val="00816B80"/>
    <w:rsid w:val="008208F8"/>
    <w:rsid w:val="008219BF"/>
    <w:rsid w:val="0082317A"/>
    <w:rsid w:val="00824478"/>
    <w:rsid w:val="0083191C"/>
    <w:rsid w:val="00831D52"/>
    <w:rsid w:val="00840432"/>
    <w:rsid w:val="0084245B"/>
    <w:rsid w:val="00844A5E"/>
    <w:rsid w:val="0084575F"/>
    <w:rsid w:val="00853C84"/>
    <w:rsid w:val="008627CC"/>
    <w:rsid w:val="00864148"/>
    <w:rsid w:val="00865C11"/>
    <w:rsid w:val="008678D0"/>
    <w:rsid w:val="00867AF8"/>
    <w:rsid w:val="008720A4"/>
    <w:rsid w:val="0087749D"/>
    <w:rsid w:val="00881839"/>
    <w:rsid w:val="008868B2"/>
    <w:rsid w:val="00890527"/>
    <w:rsid w:val="008A2CC4"/>
    <w:rsid w:val="008A53AD"/>
    <w:rsid w:val="008B1477"/>
    <w:rsid w:val="008B27C2"/>
    <w:rsid w:val="008C24DA"/>
    <w:rsid w:val="008C2CDA"/>
    <w:rsid w:val="008C67DA"/>
    <w:rsid w:val="008C7742"/>
    <w:rsid w:val="008D0BAB"/>
    <w:rsid w:val="008D0C26"/>
    <w:rsid w:val="008D66CE"/>
    <w:rsid w:val="008E0D7E"/>
    <w:rsid w:val="008E1CCE"/>
    <w:rsid w:val="008E2A2B"/>
    <w:rsid w:val="008E71F3"/>
    <w:rsid w:val="008E7FC8"/>
    <w:rsid w:val="008F3AF0"/>
    <w:rsid w:val="008F79A7"/>
    <w:rsid w:val="0090155E"/>
    <w:rsid w:val="00903C73"/>
    <w:rsid w:val="00903FED"/>
    <w:rsid w:val="00905DFB"/>
    <w:rsid w:val="009126C0"/>
    <w:rsid w:val="00913B4E"/>
    <w:rsid w:val="00913FC3"/>
    <w:rsid w:val="00914C8A"/>
    <w:rsid w:val="00916A7F"/>
    <w:rsid w:val="00923FE8"/>
    <w:rsid w:val="0092448B"/>
    <w:rsid w:val="00925BC8"/>
    <w:rsid w:val="00927664"/>
    <w:rsid w:val="0093376C"/>
    <w:rsid w:val="00934CB4"/>
    <w:rsid w:val="00941456"/>
    <w:rsid w:val="00941BC4"/>
    <w:rsid w:val="00944D0E"/>
    <w:rsid w:val="00946997"/>
    <w:rsid w:val="00951012"/>
    <w:rsid w:val="00962F18"/>
    <w:rsid w:val="00964370"/>
    <w:rsid w:val="00970C7A"/>
    <w:rsid w:val="009720C8"/>
    <w:rsid w:val="009722C8"/>
    <w:rsid w:val="00972389"/>
    <w:rsid w:val="00974FD7"/>
    <w:rsid w:val="00976028"/>
    <w:rsid w:val="009836FD"/>
    <w:rsid w:val="0098484A"/>
    <w:rsid w:val="009940EE"/>
    <w:rsid w:val="00994714"/>
    <w:rsid w:val="00995184"/>
    <w:rsid w:val="00996FCF"/>
    <w:rsid w:val="009A06E7"/>
    <w:rsid w:val="009A24E2"/>
    <w:rsid w:val="009A78D2"/>
    <w:rsid w:val="009B06E9"/>
    <w:rsid w:val="009B18E7"/>
    <w:rsid w:val="009B6299"/>
    <w:rsid w:val="009B68D1"/>
    <w:rsid w:val="009B7118"/>
    <w:rsid w:val="009C1695"/>
    <w:rsid w:val="009C193C"/>
    <w:rsid w:val="009C3CF7"/>
    <w:rsid w:val="009D3932"/>
    <w:rsid w:val="009D572D"/>
    <w:rsid w:val="009D6BFB"/>
    <w:rsid w:val="009D7530"/>
    <w:rsid w:val="009E2419"/>
    <w:rsid w:val="009E2A43"/>
    <w:rsid w:val="009E2F3D"/>
    <w:rsid w:val="009E6941"/>
    <w:rsid w:val="009F0D48"/>
    <w:rsid w:val="009F134F"/>
    <w:rsid w:val="009F3B09"/>
    <w:rsid w:val="009F5ECE"/>
    <w:rsid w:val="009F63F0"/>
    <w:rsid w:val="009F6CB3"/>
    <w:rsid w:val="009F7795"/>
    <w:rsid w:val="009F7909"/>
    <w:rsid w:val="009F7C28"/>
    <w:rsid w:val="00A07C4F"/>
    <w:rsid w:val="00A145B4"/>
    <w:rsid w:val="00A15399"/>
    <w:rsid w:val="00A17DCB"/>
    <w:rsid w:val="00A209BD"/>
    <w:rsid w:val="00A223FF"/>
    <w:rsid w:val="00A27136"/>
    <w:rsid w:val="00A30E4B"/>
    <w:rsid w:val="00A33DD0"/>
    <w:rsid w:val="00A3764F"/>
    <w:rsid w:val="00A41C05"/>
    <w:rsid w:val="00A439A9"/>
    <w:rsid w:val="00A46123"/>
    <w:rsid w:val="00A509F8"/>
    <w:rsid w:val="00A53524"/>
    <w:rsid w:val="00A5395B"/>
    <w:rsid w:val="00A5573B"/>
    <w:rsid w:val="00A56716"/>
    <w:rsid w:val="00A609D1"/>
    <w:rsid w:val="00A65DB6"/>
    <w:rsid w:val="00A71741"/>
    <w:rsid w:val="00A73E6E"/>
    <w:rsid w:val="00A76F88"/>
    <w:rsid w:val="00A80BB3"/>
    <w:rsid w:val="00A80FAA"/>
    <w:rsid w:val="00A83768"/>
    <w:rsid w:val="00A904B2"/>
    <w:rsid w:val="00A978FA"/>
    <w:rsid w:val="00AA0D03"/>
    <w:rsid w:val="00AA575A"/>
    <w:rsid w:val="00AA5916"/>
    <w:rsid w:val="00AA780A"/>
    <w:rsid w:val="00AB1880"/>
    <w:rsid w:val="00AB2AE8"/>
    <w:rsid w:val="00AC012C"/>
    <w:rsid w:val="00AC07FD"/>
    <w:rsid w:val="00AC1764"/>
    <w:rsid w:val="00AC18FF"/>
    <w:rsid w:val="00AC230E"/>
    <w:rsid w:val="00AC3B0B"/>
    <w:rsid w:val="00AD1498"/>
    <w:rsid w:val="00AD16BE"/>
    <w:rsid w:val="00AD1A2F"/>
    <w:rsid w:val="00AD20D1"/>
    <w:rsid w:val="00AD71D9"/>
    <w:rsid w:val="00AE20AC"/>
    <w:rsid w:val="00AE270F"/>
    <w:rsid w:val="00AE46A4"/>
    <w:rsid w:val="00AE475E"/>
    <w:rsid w:val="00AE51FB"/>
    <w:rsid w:val="00AF6494"/>
    <w:rsid w:val="00AF6A7C"/>
    <w:rsid w:val="00AF79A4"/>
    <w:rsid w:val="00AF79C9"/>
    <w:rsid w:val="00AF7F5D"/>
    <w:rsid w:val="00B05D2B"/>
    <w:rsid w:val="00B060E9"/>
    <w:rsid w:val="00B06196"/>
    <w:rsid w:val="00B068F7"/>
    <w:rsid w:val="00B107AE"/>
    <w:rsid w:val="00B10FA5"/>
    <w:rsid w:val="00B1250C"/>
    <w:rsid w:val="00B1293D"/>
    <w:rsid w:val="00B132DD"/>
    <w:rsid w:val="00B13C01"/>
    <w:rsid w:val="00B2582D"/>
    <w:rsid w:val="00B27F5D"/>
    <w:rsid w:val="00B3263C"/>
    <w:rsid w:val="00B3563B"/>
    <w:rsid w:val="00B468FA"/>
    <w:rsid w:val="00B519A2"/>
    <w:rsid w:val="00B51EE7"/>
    <w:rsid w:val="00B54E46"/>
    <w:rsid w:val="00B6175B"/>
    <w:rsid w:val="00B619C8"/>
    <w:rsid w:val="00B646FF"/>
    <w:rsid w:val="00B673EC"/>
    <w:rsid w:val="00B67AA2"/>
    <w:rsid w:val="00B72959"/>
    <w:rsid w:val="00B73100"/>
    <w:rsid w:val="00B93A53"/>
    <w:rsid w:val="00B955B7"/>
    <w:rsid w:val="00B959C1"/>
    <w:rsid w:val="00B95BB0"/>
    <w:rsid w:val="00B9678B"/>
    <w:rsid w:val="00BA3B39"/>
    <w:rsid w:val="00BA4C0D"/>
    <w:rsid w:val="00BB08A7"/>
    <w:rsid w:val="00BB1275"/>
    <w:rsid w:val="00BB244D"/>
    <w:rsid w:val="00BB247B"/>
    <w:rsid w:val="00BB29F0"/>
    <w:rsid w:val="00BC17A7"/>
    <w:rsid w:val="00BC5E27"/>
    <w:rsid w:val="00BC6D57"/>
    <w:rsid w:val="00BD521B"/>
    <w:rsid w:val="00BD541A"/>
    <w:rsid w:val="00BD6F83"/>
    <w:rsid w:val="00BE0574"/>
    <w:rsid w:val="00BE3277"/>
    <w:rsid w:val="00BE6663"/>
    <w:rsid w:val="00BF10E9"/>
    <w:rsid w:val="00BF1BFD"/>
    <w:rsid w:val="00BF3748"/>
    <w:rsid w:val="00C012EE"/>
    <w:rsid w:val="00C03C5C"/>
    <w:rsid w:val="00C04D9D"/>
    <w:rsid w:val="00C10514"/>
    <w:rsid w:val="00C1118E"/>
    <w:rsid w:val="00C14A7E"/>
    <w:rsid w:val="00C15921"/>
    <w:rsid w:val="00C17A84"/>
    <w:rsid w:val="00C222D9"/>
    <w:rsid w:val="00C22F29"/>
    <w:rsid w:val="00C24D86"/>
    <w:rsid w:val="00C2603D"/>
    <w:rsid w:val="00C30A88"/>
    <w:rsid w:val="00C33A6C"/>
    <w:rsid w:val="00C37CE0"/>
    <w:rsid w:val="00C401FB"/>
    <w:rsid w:val="00C40980"/>
    <w:rsid w:val="00C417D5"/>
    <w:rsid w:val="00C45592"/>
    <w:rsid w:val="00C53A1C"/>
    <w:rsid w:val="00C632E9"/>
    <w:rsid w:val="00C63D10"/>
    <w:rsid w:val="00C66AA8"/>
    <w:rsid w:val="00C67125"/>
    <w:rsid w:val="00C67ED0"/>
    <w:rsid w:val="00C72B40"/>
    <w:rsid w:val="00C76C00"/>
    <w:rsid w:val="00C80CE8"/>
    <w:rsid w:val="00C81424"/>
    <w:rsid w:val="00C814D8"/>
    <w:rsid w:val="00C90C3F"/>
    <w:rsid w:val="00C93243"/>
    <w:rsid w:val="00C97728"/>
    <w:rsid w:val="00CA29A3"/>
    <w:rsid w:val="00CA33F5"/>
    <w:rsid w:val="00CA4E30"/>
    <w:rsid w:val="00CB1088"/>
    <w:rsid w:val="00CB19E5"/>
    <w:rsid w:val="00CB2FC9"/>
    <w:rsid w:val="00CB4927"/>
    <w:rsid w:val="00CB4BBD"/>
    <w:rsid w:val="00CB4BD4"/>
    <w:rsid w:val="00CB7006"/>
    <w:rsid w:val="00CC171D"/>
    <w:rsid w:val="00CC599F"/>
    <w:rsid w:val="00CC69FB"/>
    <w:rsid w:val="00CE1752"/>
    <w:rsid w:val="00CF0CD0"/>
    <w:rsid w:val="00CF1883"/>
    <w:rsid w:val="00CF3AE0"/>
    <w:rsid w:val="00CF5B1B"/>
    <w:rsid w:val="00D00230"/>
    <w:rsid w:val="00D0195E"/>
    <w:rsid w:val="00D01B47"/>
    <w:rsid w:val="00D03A5F"/>
    <w:rsid w:val="00D06F0D"/>
    <w:rsid w:val="00D10233"/>
    <w:rsid w:val="00D12E17"/>
    <w:rsid w:val="00D140BE"/>
    <w:rsid w:val="00D161D5"/>
    <w:rsid w:val="00D16B6D"/>
    <w:rsid w:val="00D16F0C"/>
    <w:rsid w:val="00D2385C"/>
    <w:rsid w:val="00D24019"/>
    <w:rsid w:val="00D3136E"/>
    <w:rsid w:val="00D31989"/>
    <w:rsid w:val="00D3199D"/>
    <w:rsid w:val="00D33357"/>
    <w:rsid w:val="00D423D0"/>
    <w:rsid w:val="00D42CB0"/>
    <w:rsid w:val="00D53F35"/>
    <w:rsid w:val="00D54F3D"/>
    <w:rsid w:val="00D62BBA"/>
    <w:rsid w:val="00D65288"/>
    <w:rsid w:val="00D7168B"/>
    <w:rsid w:val="00D747FF"/>
    <w:rsid w:val="00D753CA"/>
    <w:rsid w:val="00D76548"/>
    <w:rsid w:val="00D80DD3"/>
    <w:rsid w:val="00D81836"/>
    <w:rsid w:val="00D81A0B"/>
    <w:rsid w:val="00D87405"/>
    <w:rsid w:val="00D928A4"/>
    <w:rsid w:val="00D93DF6"/>
    <w:rsid w:val="00DA3480"/>
    <w:rsid w:val="00DA3DB4"/>
    <w:rsid w:val="00DA5998"/>
    <w:rsid w:val="00DA652F"/>
    <w:rsid w:val="00DA7C30"/>
    <w:rsid w:val="00DC0B90"/>
    <w:rsid w:val="00DC2CA4"/>
    <w:rsid w:val="00DC4A43"/>
    <w:rsid w:val="00DC6086"/>
    <w:rsid w:val="00DD0293"/>
    <w:rsid w:val="00DD3D41"/>
    <w:rsid w:val="00DD546A"/>
    <w:rsid w:val="00DE759B"/>
    <w:rsid w:val="00DF2975"/>
    <w:rsid w:val="00E043E8"/>
    <w:rsid w:val="00E078A1"/>
    <w:rsid w:val="00E15C55"/>
    <w:rsid w:val="00E17A5C"/>
    <w:rsid w:val="00E2244F"/>
    <w:rsid w:val="00E22778"/>
    <w:rsid w:val="00E2349E"/>
    <w:rsid w:val="00E23E7D"/>
    <w:rsid w:val="00E253FD"/>
    <w:rsid w:val="00E26FEB"/>
    <w:rsid w:val="00E27A80"/>
    <w:rsid w:val="00E30083"/>
    <w:rsid w:val="00E3009E"/>
    <w:rsid w:val="00E31783"/>
    <w:rsid w:val="00E32E66"/>
    <w:rsid w:val="00E353D6"/>
    <w:rsid w:val="00E363FD"/>
    <w:rsid w:val="00E372CB"/>
    <w:rsid w:val="00E37A7E"/>
    <w:rsid w:val="00E41AFE"/>
    <w:rsid w:val="00E4587A"/>
    <w:rsid w:val="00E550F0"/>
    <w:rsid w:val="00E5583C"/>
    <w:rsid w:val="00E609A4"/>
    <w:rsid w:val="00E621E9"/>
    <w:rsid w:val="00E768C8"/>
    <w:rsid w:val="00E843CC"/>
    <w:rsid w:val="00E87E7F"/>
    <w:rsid w:val="00E912BD"/>
    <w:rsid w:val="00E9139D"/>
    <w:rsid w:val="00E958AC"/>
    <w:rsid w:val="00E95FDB"/>
    <w:rsid w:val="00E96075"/>
    <w:rsid w:val="00E960B6"/>
    <w:rsid w:val="00E968DF"/>
    <w:rsid w:val="00E972A1"/>
    <w:rsid w:val="00EA5B7E"/>
    <w:rsid w:val="00EA7F09"/>
    <w:rsid w:val="00EB11B0"/>
    <w:rsid w:val="00EB47C4"/>
    <w:rsid w:val="00EB5F54"/>
    <w:rsid w:val="00EB6D25"/>
    <w:rsid w:val="00EC0407"/>
    <w:rsid w:val="00EC358A"/>
    <w:rsid w:val="00EC6331"/>
    <w:rsid w:val="00EC7331"/>
    <w:rsid w:val="00ED0664"/>
    <w:rsid w:val="00ED39C4"/>
    <w:rsid w:val="00ED4238"/>
    <w:rsid w:val="00ED4BCF"/>
    <w:rsid w:val="00ED5728"/>
    <w:rsid w:val="00EE4379"/>
    <w:rsid w:val="00EE64A4"/>
    <w:rsid w:val="00EE65C9"/>
    <w:rsid w:val="00EE7809"/>
    <w:rsid w:val="00EF02E2"/>
    <w:rsid w:val="00EF0634"/>
    <w:rsid w:val="00EF4421"/>
    <w:rsid w:val="00EF679D"/>
    <w:rsid w:val="00EF685B"/>
    <w:rsid w:val="00F0652D"/>
    <w:rsid w:val="00F147CD"/>
    <w:rsid w:val="00F1673D"/>
    <w:rsid w:val="00F20C2F"/>
    <w:rsid w:val="00F242CF"/>
    <w:rsid w:val="00F270F2"/>
    <w:rsid w:val="00F34187"/>
    <w:rsid w:val="00F42CF8"/>
    <w:rsid w:val="00F46B1B"/>
    <w:rsid w:val="00F50432"/>
    <w:rsid w:val="00F50657"/>
    <w:rsid w:val="00F52DE6"/>
    <w:rsid w:val="00F577B1"/>
    <w:rsid w:val="00F60DBF"/>
    <w:rsid w:val="00F6143A"/>
    <w:rsid w:val="00F6336C"/>
    <w:rsid w:val="00F63C6E"/>
    <w:rsid w:val="00F65E43"/>
    <w:rsid w:val="00F676B0"/>
    <w:rsid w:val="00F70D11"/>
    <w:rsid w:val="00F71675"/>
    <w:rsid w:val="00F73FD8"/>
    <w:rsid w:val="00F8073B"/>
    <w:rsid w:val="00F811E1"/>
    <w:rsid w:val="00F8251F"/>
    <w:rsid w:val="00F83312"/>
    <w:rsid w:val="00F8421A"/>
    <w:rsid w:val="00F84A71"/>
    <w:rsid w:val="00F87BCC"/>
    <w:rsid w:val="00F91725"/>
    <w:rsid w:val="00F9261C"/>
    <w:rsid w:val="00F939CB"/>
    <w:rsid w:val="00FA033A"/>
    <w:rsid w:val="00FB6580"/>
    <w:rsid w:val="00FC28FE"/>
    <w:rsid w:val="00FC5564"/>
    <w:rsid w:val="00FD1955"/>
    <w:rsid w:val="00FD2554"/>
    <w:rsid w:val="00FD3677"/>
    <w:rsid w:val="00FD395A"/>
    <w:rsid w:val="00FD3BBF"/>
    <w:rsid w:val="00FD490D"/>
    <w:rsid w:val="00FD6B51"/>
    <w:rsid w:val="00FE1410"/>
    <w:rsid w:val="00FE2813"/>
    <w:rsid w:val="00FE3297"/>
    <w:rsid w:val="00FE45FB"/>
    <w:rsid w:val="00FF0BD8"/>
    <w:rsid w:val="00FF0F2E"/>
    <w:rsid w:val="00FF159B"/>
    <w:rsid w:val="00FF1A7D"/>
    <w:rsid w:val="00FF4820"/>
    <w:rsid w:val="014C4DA3"/>
    <w:rsid w:val="02A12B3D"/>
    <w:rsid w:val="03BC3220"/>
    <w:rsid w:val="0701310E"/>
    <w:rsid w:val="097E2B09"/>
    <w:rsid w:val="0A3A75EB"/>
    <w:rsid w:val="0D7C0718"/>
    <w:rsid w:val="10816367"/>
    <w:rsid w:val="11833309"/>
    <w:rsid w:val="13DC58F2"/>
    <w:rsid w:val="149B2B28"/>
    <w:rsid w:val="162437A1"/>
    <w:rsid w:val="1C0C5403"/>
    <w:rsid w:val="32F508B5"/>
    <w:rsid w:val="39044EBF"/>
    <w:rsid w:val="39D8492D"/>
    <w:rsid w:val="3A9730A1"/>
    <w:rsid w:val="3B9362B8"/>
    <w:rsid w:val="3D4F681B"/>
    <w:rsid w:val="47A56099"/>
    <w:rsid w:val="4E743F1E"/>
    <w:rsid w:val="50EF3D02"/>
    <w:rsid w:val="5406215C"/>
    <w:rsid w:val="570E20E0"/>
    <w:rsid w:val="59660152"/>
    <w:rsid w:val="5D3A2402"/>
    <w:rsid w:val="5E137E1D"/>
    <w:rsid w:val="5E600603"/>
    <w:rsid w:val="5EBF6504"/>
    <w:rsid w:val="5EFF58FC"/>
    <w:rsid w:val="60A10571"/>
    <w:rsid w:val="6B5E5380"/>
    <w:rsid w:val="6CD61F9E"/>
    <w:rsid w:val="6F2969B3"/>
    <w:rsid w:val="703D286A"/>
    <w:rsid w:val="735A56FD"/>
    <w:rsid w:val="74F6722B"/>
    <w:rsid w:val="77BF0AF8"/>
    <w:rsid w:val="78A551F0"/>
    <w:rsid w:val="7A273C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3"/>
    <w:qFormat/>
    <w:uiPriority w:val="0"/>
    <w:pPr>
      <w:spacing w:line="580" w:lineRule="exact"/>
    </w:pPr>
    <w:rPr>
      <w:sz w:val="28"/>
      <w:szCs w:val="20"/>
    </w:rPr>
  </w:style>
  <w:style w:type="paragraph" w:styleId="3">
    <w:name w:val="Document Map"/>
    <w:basedOn w:val="1"/>
    <w:qFormat/>
    <w:uiPriority w:val="0"/>
    <w:pPr>
      <w:shd w:val="clear" w:color="auto" w:fill="000080"/>
    </w:pPr>
  </w:style>
  <w:style w:type="paragraph" w:styleId="4">
    <w:name w:val="Body Text Indent"/>
    <w:basedOn w:val="1"/>
    <w:qFormat/>
    <w:uiPriority w:val="0"/>
    <w:pPr>
      <w:spacing w:after="120"/>
      <w:ind w:left="420" w:leftChars="200"/>
    </w:pPr>
  </w:style>
  <w:style w:type="paragraph" w:styleId="5">
    <w:name w:val="Date"/>
    <w:basedOn w:val="1"/>
    <w:next w:val="1"/>
    <w:link w:val="22"/>
    <w:qFormat/>
    <w:uiPriority w:val="0"/>
    <w:pPr>
      <w:ind w:left="100" w:leftChars="2500"/>
    </w:pPr>
  </w:style>
  <w:style w:type="paragraph" w:styleId="6">
    <w:name w:val="Body Text Indent 2"/>
    <w:basedOn w:val="1"/>
    <w:link w:val="25"/>
    <w:qFormat/>
    <w:uiPriority w:val="0"/>
    <w:pPr>
      <w:spacing w:after="120" w:line="480" w:lineRule="auto"/>
      <w:ind w:left="420" w:leftChars="2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leftChars="200"/>
    </w:pPr>
    <w:rPr>
      <w:sz w:val="16"/>
      <w:szCs w:val="16"/>
    </w:rPr>
  </w:style>
  <w:style w:type="character" w:styleId="13">
    <w:name w:val="page number"/>
    <w:basedOn w:val="12"/>
    <w:qFormat/>
    <w:uiPriority w:val="0"/>
  </w:style>
  <w:style w:type="paragraph" w:customStyle="1" w:styleId="14">
    <w:name w:val="Char"/>
    <w:basedOn w:val="3"/>
    <w:qFormat/>
    <w:uiPriority w:val="0"/>
    <w:pPr>
      <w:adjustRightInd w:val="0"/>
      <w:spacing w:line="436" w:lineRule="exact"/>
    </w:pPr>
    <w:rPr>
      <w:szCs w:val="20"/>
    </w:rPr>
  </w:style>
  <w:style w:type="paragraph" w:styleId="15">
    <w:name w:val="List Paragraph"/>
    <w:basedOn w:val="1"/>
    <w:unhideWhenUsed/>
    <w:qFormat/>
    <w:uiPriority w:val="99"/>
    <w:pPr>
      <w:ind w:firstLine="420" w:firstLineChars="200"/>
    </w:pPr>
  </w:style>
  <w:style w:type="paragraph" w:customStyle="1" w:styleId="16">
    <w:name w:val="Char Char Char"/>
    <w:basedOn w:val="1"/>
    <w:qFormat/>
    <w:uiPriority w:val="0"/>
    <w:rPr>
      <w:rFonts w:ascii="Times New Roman" w:hAnsi="Times New Roman" w:eastAsia="宋体" w:cs="Times New Roman"/>
      <w:szCs w:val="20"/>
    </w:rPr>
  </w:style>
  <w:style w:type="character" w:customStyle="1" w:styleId="17">
    <w:name w:val="批注框文本 Char"/>
    <w:basedOn w:val="12"/>
    <w:link w:val="7"/>
    <w:qFormat/>
    <w:uiPriority w:val="0"/>
    <w:rPr>
      <w:kern w:val="2"/>
      <w:sz w:val="18"/>
      <w:szCs w:val="18"/>
    </w:rPr>
  </w:style>
  <w:style w:type="paragraph" w:customStyle="1" w:styleId="18">
    <w:name w:val="Char Char Char1"/>
    <w:basedOn w:val="1"/>
    <w:qFormat/>
    <w:uiPriority w:val="0"/>
    <w:rPr>
      <w:rFonts w:ascii="Times New Roman" w:hAnsi="Times New Roman" w:eastAsia="宋体" w:cs="Times New Roman"/>
      <w:szCs w:val="20"/>
    </w:rPr>
  </w:style>
  <w:style w:type="paragraph" w:customStyle="1" w:styleId="19">
    <w:name w:val="Char Char Char2"/>
    <w:basedOn w:val="1"/>
    <w:qFormat/>
    <w:uiPriority w:val="0"/>
    <w:rPr>
      <w:rFonts w:ascii="Times New Roman" w:hAnsi="Times New Roman" w:eastAsia="宋体" w:cs="Times New Roman"/>
      <w:szCs w:val="20"/>
    </w:rPr>
  </w:style>
  <w:style w:type="paragraph" w:customStyle="1" w:styleId="20">
    <w:name w:val="Char Char Char3"/>
    <w:basedOn w:val="1"/>
    <w:qFormat/>
    <w:uiPriority w:val="0"/>
    <w:rPr>
      <w:rFonts w:ascii="Times New Roman" w:hAnsi="Times New Roman" w:eastAsia="宋体" w:cs="Times New Roman"/>
      <w:szCs w:val="20"/>
    </w:rPr>
  </w:style>
  <w:style w:type="paragraph" w:customStyle="1" w:styleId="21">
    <w:name w:val="Char Char Char4"/>
    <w:basedOn w:val="1"/>
    <w:qFormat/>
    <w:uiPriority w:val="0"/>
    <w:rPr>
      <w:rFonts w:ascii="Times New Roman" w:hAnsi="Times New Roman" w:eastAsia="宋体" w:cs="Times New Roman"/>
      <w:szCs w:val="20"/>
    </w:rPr>
  </w:style>
  <w:style w:type="character" w:customStyle="1" w:styleId="22">
    <w:name w:val="日期 Char"/>
    <w:basedOn w:val="12"/>
    <w:link w:val="5"/>
    <w:qFormat/>
    <w:uiPriority w:val="0"/>
    <w:rPr>
      <w:kern w:val="2"/>
      <w:sz w:val="21"/>
      <w:szCs w:val="24"/>
    </w:rPr>
  </w:style>
  <w:style w:type="character" w:customStyle="1" w:styleId="23">
    <w:name w:val="正文缩进 Char"/>
    <w:link w:val="2"/>
    <w:qFormat/>
    <w:locked/>
    <w:uiPriority w:val="0"/>
    <w:rPr>
      <w:kern w:val="2"/>
      <w:sz w:val="28"/>
    </w:rPr>
  </w:style>
  <w:style w:type="paragraph" w:customStyle="1" w:styleId="24">
    <w:name w:val="Body text|1"/>
    <w:basedOn w:val="1"/>
    <w:qFormat/>
    <w:uiPriority w:val="0"/>
    <w:pPr>
      <w:spacing w:line="403" w:lineRule="auto"/>
      <w:ind w:firstLine="400"/>
    </w:pPr>
    <w:rPr>
      <w:rFonts w:ascii="宋体" w:hAnsi="宋体" w:eastAsia="宋体" w:cs="宋体"/>
      <w:sz w:val="30"/>
      <w:szCs w:val="30"/>
      <w:lang w:val="zh-TW" w:eastAsia="zh-TW" w:bidi="zh-TW"/>
    </w:rPr>
  </w:style>
  <w:style w:type="character" w:customStyle="1" w:styleId="25">
    <w:name w:val="正文文本缩进 2 Char"/>
    <w:basedOn w:val="12"/>
    <w:link w:val="6"/>
    <w:qFormat/>
    <w:uiPriority w:val="0"/>
    <w:rPr>
      <w:rFonts w:asciiTheme="minorHAnsi" w:hAnsiTheme="minorHAnsi" w:eastAsiaTheme="minorEastAsia" w:cstheme="minorBidi"/>
      <w:kern w:val="2"/>
      <w:sz w:val="21"/>
      <w:szCs w:val="24"/>
    </w:rPr>
  </w:style>
  <w:style w:type="paragraph" w:customStyle="1" w:styleId="26">
    <w:name w:val="Char Char Char5"/>
    <w:basedOn w:val="1"/>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Company>
  <Pages>4</Pages>
  <Words>1689</Words>
  <Characters>2062</Characters>
  <Lines>15</Lines>
  <Paragraphs>4</Paragraphs>
  <TotalTime>309</TotalTime>
  <ScaleCrop>false</ScaleCrop>
  <LinksUpToDate>false</LinksUpToDate>
  <CharactersWithSpaces>2087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2019-09-02T12:59:00Z</dcterms:created>
  <dc:creator>lenovo</dc:creator>
  <cp:lastModifiedBy>曲凡</cp:lastModifiedBy>
  <cp:lastPrinted>2019-10-09T02:38:00Z</cp:lastPrinted>
  <dcterms:modified xsi:type="dcterms:W3CDTF">2026-03-16T02:08:30Z</dcterms:modified>
  <cp:revision>440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A8CA74764E844CBA97173751437DFBB3</vt:lpwstr>
  </property>
  <property fmtid="{D5CDD505-2E9C-101B-9397-08002B2CF9AE}" pid="4" name="KSOTemplateDocerSaveRecord">
    <vt:lpwstr>eyJoZGlkIjoiZjdhZTM4M2Y4N2I0ODBkMzQ5YzdmOTdlNjU4MDlkZDkiLCJ1c2VySWQiOiI0NTM0MTYyNjIifQ==</vt:lpwstr>
  </property>
</Properties>
</file>