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6</w:t>
      </w:r>
    </w:p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牛羊布鲁氏菌病免疫方案</w:t>
      </w:r>
      <w:bookmarkEnd w:id="0"/>
    </w:p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按照《广西壮族自治区畜间布鲁氏菌病防控五年行动方案（</w:t>
      </w:r>
      <w:r>
        <w:rPr>
          <w:rFonts w:eastAsia="仿宋_GB2312"/>
          <w:szCs w:val="32"/>
        </w:rPr>
        <w:t>2022—2026</w:t>
      </w:r>
      <w:r>
        <w:rPr>
          <w:rFonts w:hint="eastAsia" w:eastAsia="仿宋_GB2312"/>
          <w:szCs w:val="32"/>
        </w:rPr>
        <w:t>年）》（桂农厅发〔</w:t>
      </w:r>
      <w:r>
        <w:rPr>
          <w:rFonts w:eastAsia="仿宋_GB2312"/>
          <w:szCs w:val="32"/>
        </w:rPr>
        <w:t>2022</w:t>
      </w:r>
      <w:r>
        <w:rPr>
          <w:rFonts w:hint="eastAsia" w:eastAsia="仿宋_GB2312"/>
          <w:szCs w:val="32"/>
        </w:rPr>
        <w:t>〕</w:t>
      </w:r>
      <w:r>
        <w:rPr>
          <w:rFonts w:eastAsia="仿宋_GB2312"/>
          <w:szCs w:val="32"/>
        </w:rPr>
        <w:t>106</w:t>
      </w:r>
      <w:r>
        <w:rPr>
          <w:rFonts w:hint="eastAsia" w:eastAsia="仿宋_GB2312"/>
          <w:szCs w:val="32"/>
        </w:rPr>
        <w:t>号）要求，全县禁止对种畜和奶畜实施布鲁氏菌病免疫，其他家畜原则上不实施布鲁氏菌病免疫。确实需要免疫的养殖场（户），由当地县级农业农村部门逐级报自治区农业农村厅同意后实施。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牛：</w:t>
      </w:r>
      <w:r>
        <w:rPr>
          <w:rFonts w:eastAsia="仿宋_GB2312"/>
          <w:szCs w:val="32"/>
        </w:rPr>
        <w:t>3—8</w:t>
      </w:r>
      <w:r>
        <w:rPr>
          <w:rFonts w:hint="eastAsia" w:eastAsia="仿宋_GB2312"/>
          <w:szCs w:val="32"/>
        </w:rPr>
        <w:t>月龄健康犊牛皮下注射免疫布鲁氏菌病活疫苗（</w:t>
      </w:r>
      <w:r>
        <w:rPr>
          <w:rFonts w:eastAsia="仿宋_GB2312"/>
          <w:szCs w:val="32"/>
        </w:rPr>
        <w:t>A19</w:t>
      </w:r>
      <w:r>
        <w:rPr>
          <w:rFonts w:hint="eastAsia" w:eastAsia="仿宋_GB2312"/>
          <w:szCs w:val="32"/>
        </w:rPr>
        <w:t>株）或布鲁氏菌病基因缺失活疫苗（</w:t>
      </w:r>
      <w:r>
        <w:rPr>
          <w:rFonts w:eastAsia="仿宋_GB2312"/>
          <w:szCs w:val="32"/>
        </w:rPr>
        <w:t>A19-</w:t>
      </w:r>
      <w:r>
        <w:rPr>
          <w:rFonts w:hint="eastAsia" w:ascii="宋体" w:hAnsi="宋体" w:cs="宋体"/>
          <w:szCs w:val="32"/>
        </w:rPr>
        <w:t>△</w:t>
      </w:r>
      <w:r>
        <w:rPr>
          <w:rFonts w:eastAsia="仿宋_GB2312"/>
          <w:szCs w:val="32"/>
        </w:rPr>
        <w:t>VirB12</w:t>
      </w:r>
      <w:r>
        <w:rPr>
          <w:rFonts w:hint="eastAsia" w:eastAsia="仿宋_GB2312"/>
          <w:szCs w:val="32"/>
        </w:rPr>
        <w:t>株）。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羊：</w:t>
      </w:r>
      <w:r>
        <w:rPr>
          <w:rFonts w:eastAsia="仿宋_GB2312"/>
          <w:szCs w:val="32"/>
        </w:rPr>
        <w:t xml:space="preserve">3 </w:t>
      </w:r>
      <w:r>
        <w:rPr>
          <w:rFonts w:hint="eastAsia" w:eastAsia="仿宋_GB2312"/>
          <w:szCs w:val="32"/>
        </w:rPr>
        <w:t>月龄以上的羊皮下注射免疫布鲁氏菌病基因缺失活疫苗（</w:t>
      </w:r>
      <w:r>
        <w:rPr>
          <w:rFonts w:eastAsia="仿宋_GB2312"/>
          <w:szCs w:val="32"/>
        </w:rPr>
        <w:t>M5-90</w:t>
      </w:r>
      <w:r>
        <w:rPr>
          <w:rFonts w:hint="eastAsia" w:ascii="宋体" w:hAnsi="宋体" w:cs="宋体"/>
          <w:szCs w:val="32"/>
        </w:rPr>
        <w:t>△</w:t>
      </w:r>
      <w:r>
        <w:rPr>
          <w:rFonts w:eastAsia="仿宋_GB2312"/>
          <w:szCs w:val="32"/>
        </w:rPr>
        <w:t>26</w:t>
      </w:r>
      <w:r>
        <w:rPr>
          <w:rFonts w:hint="eastAsia" w:eastAsia="仿宋_GB2312"/>
          <w:szCs w:val="32"/>
        </w:rPr>
        <w:t>株），口服、皮下或肌肉注射免疫布鲁氏菌病活疫苗（</w:t>
      </w:r>
      <w:r>
        <w:rPr>
          <w:rFonts w:eastAsia="仿宋_GB2312"/>
          <w:szCs w:val="32"/>
        </w:rPr>
        <w:t>S2</w:t>
      </w:r>
      <w:r>
        <w:rPr>
          <w:rFonts w:hint="eastAsia" w:eastAsia="仿宋_GB2312"/>
          <w:szCs w:val="32"/>
        </w:rPr>
        <w:t>株）。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接种剂量和途径，应严格遵照疫苗说明书。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布鲁氏菌病活疫苗。疫苗产品信息可在中国兽药信息网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国家兽药基础信息查询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平台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兽药产品批准文号数据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中查询。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五、免疫效果监测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一般在免疫后</w:t>
      </w:r>
      <w:r>
        <w:rPr>
          <w:rFonts w:eastAsia="仿宋_GB2312"/>
          <w:szCs w:val="32"/>
        </w:rPr>
        <w:t>4</w:t>
      </w:r>
      <w:r>
        <w:rPr>
          <w:rFonts w:hint="eastAsia" w:eastAsia="仿宋_GB2312"/>
          <w:szCs w:val="32"/>
        </w:rPr>
        <w:t>周进行抗体检测。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采用</w:t>
      </w:r>
      <w:r>
        <w:rPr>
          <w:rFonts w:eastAsia="仿宋_GB2312"/>
          <w:szCs w:val="32"/>
        </w:rPr>
        <w:t>GB/T 18646-2018</w:t>
      </w:r>
      <w:r>
        <w:rPr>
          <w:rFonts w:hint="eastAsia" w:eastAsia="仿宋_GB2312"/>
          <w:szCs w:val="32"/>
        </w:rPr>
        <w:t>《动物布鲁氏菌病诊断技术》规定的虎红平板凝集试验和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方法检测抗体。评估免疫后的抗体转阳率，布鲁氏菌病活疫苗（</w:t>
      </w:r>
      <w:r>
        <w:rPr>
          <w:rFonts w:eastAsia="仿宋_GB2312"/>
          <w:szCs w:val="32"/>
        </w:rPr>
        <w:t>A19</w:t>
      </w:r>
      <w:r>
        <w:rPr>
          <w:rFonts w:hint="eastAsia" w:eastAsia="仿宋_GB2312"/>
          <w:szCs w:val="32"/>
        </w:rPr>
        <w:t>株）和布鲁氏菌病活疫苗（</w:t>
      </w:r>
      <w:r>
        <w:rPr>
          <w:rFonts w:eastAsia="仿宋_GB2312"/>
          <w:szCs w:val="32"/>
        </w:rPr>
        <w:t>M5</w:t>
      </w:r>
      <w:r>
        <w:rPr>
          <w:rFonts w:hint="eastAsia" w:eastAsia="仿宋_GB2312"/>
          <w:szCs w:val="32"/>
        </w:rPr>
        <w:t>株）疫苗注射免疫的抗体转阳率一般不低于</w:t>
      </w:r>
      <w:r>
        <w:rPr>
          <w:rFonts w:eastAsia="仿宋_GB2312"/>
          <w:szCs w:val="32"/>
        </w:rPr>
        <w:t>80%</w:t>
      </w:r>
      <w:r>
        <w:rPr>
          <w:rFonts w:hint="eastAsia" w:eastAsia="仿宋_GB231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6D374924"/>
    <w:rsid w:val="6D3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2023-03-21T02:06:00Z</dcterms:created>
  <dc:creator>全州县农业农村局</dc:creator>
  <cp:lastModifiedBy>全州县农业农村局</cp:lastModifiedBy>
  <dcterms:modified xsi:type="dcterms:W3CDTF">2023-03-21T02:07:07Z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8DB43EFAC60E4E2B964C220CF40B6DE0</vt:lpwstr>
  </property>
</Properties>
</file>