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spacing w:before="0" w:beforeAutospacing="0" w:after="0" w:afterAutospacing="0"/>
        <w:ind w:left="0" w:leftChars="0" w:right="0" w:right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2021年</w:t>
      </w:r>
      <w:r>
        <w:rPr>
          <w:rFonts w:hint="eastAsia" w:ascii="方正小标宋简体" w:hAnsi="方正小标宋简体" w:eastAsia="方正小标宋简体" w:cs="方正小标宋简体"/>
          <w:b/>
          <w:bCs/>
          <w:sz w:val="44"/>
          <w:szCs w:val="44"/>
          <w:lang w:val="en-US" w:eastAsia="zh-CN"/>
        </w:rPr>
        <w:t>全州县</w:t>
      </w:r>
      <w:r>
        <w:rPr>
          <w:rFonts w:hint="eastAsia" w:ascii="方正小标宋简体" w:hAnsi="方正小标宋简体" w:eastAsia="方正小标宋简体" w:cs="方正小标宋简体"/>
          <w:b/>
          <w:bCs/>
          <w:sz w:val="44"/>
          <w:szCs w:val="44"/>
          <w:lang w:eastAsia="zh-CN"/>
        </w:rPr>
        <w:t>涉农补贴领域基层政务公开标准目录</w:t>
      </w:r>
    </w:p>
    <w:tbl>
      <w:tblPr>
        <w:tblStyle w:val="4"/>
        <w:tblW w:w="14938" w:type="dxa"/>
        <w:jc w:val="center"/>
        <w:tblLayout w:type="fixed"/>
        <w:tblCellMar>
          <w:top w:w="0" w:type="dxa"/>
          <w:left w:w="0" w:type="dxa"/>
          <w:bottom w:w="0" w:type="dxa"/>
          <w:right w:w="0" w:type="dxa"/>
        </w:tblCellMar>
      </w:tblPr>
      <w:tblGrid>
        <w:gridCol w:w="456"/>
        <w:gridCol w:w="838"/>
        <w:gridCol w:w="840"/>
        <w:gridCol w:w="2184"/>
        <w:gridCol w:w="2208"/>
        <w:gridCol w:w="1308"/>
        <w:gridCol w:w="1260"/>
        <w:gridCol w:w="1320"/>
        <w:gridCol w:w="720"/>
        <w:gridCol w:w="780"/>
        <w:gridCol w:w="708"/>
        <w:gridCol w:w="1008"/>
        <w:gridCol w:w="516"/>
        <w:gridCol w:w="792"/>
      </w:tblGrid>
      <w:tr>
        <w:tblPrEx>
          <w:tblCellMar>
            <w:top w:w="0" w:type="dxa"/>
            <w:left w:w="0" w:type="dxa"/>
            <w:bottom w:w="0" w:type="dxa"/>
            <w:right w:w="0" w:type="dxa"/>
          </w:tblCellMar>
        </w:tblPrEx>
        <w:trPr>
          <w:trHeight w:val="804" w:hRule="atLeast"/>
          <w:jc w:val="center"/>
        </w:trPr>
        <w:tc>
          <w:tcPr>
            <w:tcW w:w="45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167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公开事项</w:t>
            </w:r>
          </w:p>
        </w:tc>
        <w:tc>
          <w:tcPr>
            <w:tcW w:w="2184" w:type="dxa"/>
            <w:tcBorders>
              <w:top w:val="single" w:color="auto" w:sz="8" w:space="0"/>
              <w:left w:val="single" w:color="auto" w:sz="8" w:space="0"/>
              <w:right w:val="single" w:color="auto" w:sz="8" w:space="0"/>
            </w:tcBorders>
            <w:tcMar>
              <w:top w:w="0" w:type="dxa"/>
              <w:left w:w="108" w:type="dxa"/>
              <w:bottom w:w="0" w:type="dxa"/>
              <w:right w:w="108" w:type="dxa"/>
            </w:tcMar>
            <w:vAlign w:val="bottom"/>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p>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公开内容（要素）</w:t>
            </w:r>
          </w:p>
        </w:tc>
        <w:tc>
          <w:tcPr>
            <w:tcW w:w="2208" w:type="dxa"/>
            <w:tcBorders>
              <w:top w:val="single" w:color="auto" w:sz="8" w:space="0"/>
              <w:left w:val="single" w:color="auto" w:sz="8" w:space="0"/>
              <w:right w:val="single" w:color="auto" w:sz="8" w:space="0"/>
            </w:tcBorders>
            <w:tcMar>
              <w:top w:w="0" w:type="dxa"/>
              <w:left w:w="108" w:type="dxa"/>
              <w:bottom w:w="0" w:type="dxa"/>
              <w:right w:w="108" w:type="dxa"/>
            </w:tcMar>
            <w:vAlign w:val="bottom"/>
          </w:tcPr>
          <w:p>
            <w:pPr>
              <w:pStyle w:val="2"/>
              <w:jc w:val="center"/>
              <w:rPr>
                <w:rFonts w:hint="eastAsia"/>
              </w:rPr>
            </w:pPr>
          </w:p>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公开依据</w:t>
            </w:r>
          </w:p>
        </w:tc>
        <w:tc>
          <w:tcPr>
            <w:tcW w:w="1308" w:type="dxa"/>
            <w:tcBorders>
              <w:top w:val="single" w:color="auto" w:sz="8" w:space="0"/>
              <w:left w:val="single" w:color="auto" w:sz="8" w:space="0"/>
              <w:right w:val="single" w:color="auto" w:sz="8" w:space="0"/>
            </w:tcBorders>
            <w:tcMar>
              <w:top w:w="0" w:type="dxa"/>
              <w:left w:w="108" w:type="dxa"/>
              <w:bottom w:w="0" w:type="dxa"/>
              <w:right w:w="108" w:type="dxa"/>
            </w:tcMar>
            <w:vAlign w:val="bottom"/>
          </w:tcPr>
          <w:p>
            <w:pPr>
              <w:pStyle w:val="2"/>
              <w:jc w:val="center"/>
              <w:rPr>
                <w:rFonts w:hint="eastAsia" w:ascii="仿宋_GB2312" w:hAnsi="仿宋_GB2312" w:eastAsia="仿宋_GB2312" w:cs="仿宋_GB2312"/>
                <w:b/>
                <w:bCs/>
                <w:color w:val="auto"/>
                <w:sz w:val="24"/>
                <w:szCs w:val="24"/>
              </w:rPr>
            </w:pPr>
          </w:p>
          <w:p>
            <w:pPr>
              <w:pStyle w:val="2"/>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公开时限</w:t>
            </w:r>
          </w:p>
        </w:tc>
        <w:tc>
          <w:tcPr>
            <w:tcW w:w="126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pPr>
            <w:r>
              <w:rPr>
                <w:rFonts w:hint="eastAsia" w:ascii="仿宋_GB2312" w:hAnsi="仿宋_GB2312" w:eastAsia="仿宋_GB2312" w:cs="仿宋_GB2312"/>
                <w:b/>
                <w:bCs/>
                <w:color w:val="auto"/>
                <w:sz w:val="24"/>
                <w:szCs w:val="24"/>
              </w:rPr>
              <w:t>公开主体</w:t>
            </w:r>
          </w:p>
        </w:tc>
        <w:tc>
          <w:tcPr>
            <w:tcW w:w="1320" w:type="dxa"/>
            <w:vMerge w:val="restart"/>
            <w:tcBorders>
              <w:top w:val="single" w:color="auto" w:sz="8" w:space="0"/>
              <w:left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公开渠道和载体</w:t>
            </w:r>
          </w:p>
        </w:tc>
        <w:tc>
          <w:tcPr>
            <w:tcW w:w="1500"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公开对象</w:t>
            </w:r>
          </w:p>
        </w:tc>
        <w:tc>
          <w:tcPr>
            <w:tcW w:w="171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公开方式</w:t>
            </w:r>
          </w:p>
        </w:tc>
        <w:tc>
          <w:tcPr>
            <w:tcW w:w="130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公开层级</w:t>
            </w:r>
          </w:p>
        </w:tc>
      </w:tr>
      <w:tr>
        <w:tblPrEx>
          <w:tblCellMar>
            <w:top w:w="0" w:type="dxa"/>
            <w:left w:w="0" w:type="dxa"/>
            <w:bottom w:w="0" w:type="dxa"/>
            <w:right w:w="0" w:type="dxa"/>
          </w:tblCellMar>
        </w:tblPrEx>
        <w:trPr>
          <w:trHeight w:val="792"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p>
        </w:tc>
        <w:tc>
          <w:tcPr>
            <w:tcW w:w="838"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一级事项</w:t>
            </w:r>
          </w:p>
        </w:tc>
        <w:tc>
          <w:tcPr>
            <w:tcW w:w="840"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二级事项</w:t>
            </w:r>
          </w:p>
        </w:tc>
        <w:tc>
          <w:tcPr>
            <w:tcW w:w="2184" w:type="dxa"/>
            <w:tcBorders>
              <w:left w:val="single" w:color="auto" w:sz="8" w:space="0"/>
              <w:bottom w:val="single" w:color="auto" w:sz="8" w:space="0"/>
              <w:right w:val="single" w:color="auto" w:sz="8" w:space="0"/>
            </w:tcBorders>
            <w:vAlign w:val="bottom"/>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p>
        </w:tc>
        <w:tc>
          <w:tcPr>
            <w:tcW w:w="2208" w:type="dxa"/>
            <w:tcBorders>
              <w:left w:val="single" w:color="auto" w:sz="8" w:space="0"/>
              <w:bottom w:val="single" w:color="auto" w:sz="8" w:space="0"/>
              <w:right w:val="single" w:color="auto" w:sz="8" w:space="0"/>
            </w:tcBorders>
            <w:vAlign w:val="bottom"/>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p>
        </w:tc>
        <w:tc>
          <w:tcPr>
            <w:tcW w:w="1308" w:type="dxa"/>
            <w:tcBorders>
              <w:left w:val="single" w:color="auto" w:sz="8" w:space="0"/>
              <w:bottom w:val="single" w:color="auto" w:sz="8" w:space="0"/>
              <w:right w:val="single" w:color="auto" w:sz="8" w:space="0"/>
            </w:tcBorders>
            <w:vAlign w:val="bottom"/>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p>
        </w:tc>
        <w:tc>
          <w:tcPr>
            <w:tcW w:w="1260" w:type="dxa"/>
            <w:vMerge w:val="continue"/>
            <w:tcBorders>
              <w:top w:val="single" w:color="auto" w:sz="8" w:space="0"/>
              <w:left w:val="single" w:color="auto" w:sz="8" w:space="0"/>
              <w:bottom w:val="single" w:color="auto" w:sz="8" w:space="0"/>
              <w:right w:val="single" w:color="auto" w:sz="8" w:space="0"/>
            </w:tcBorders>
            <w:vAlign w:val="center"/>
          </w:tcPr>
          <w:p>
            <w:pPr>
              <w:pageBreakBefore w:val="0"/>
              <w:kinsoku/>
              <w:wordWrap/>
              <w:overflowPunct/>
              <w:topLinePunct w:val="0"/>
              <w:bidi w:val="0"/>
              <w:adjustRightInd/>
              <w:snapToGrid/>
              <w:spacing w:beforeAutospacing="0" w:afterAutospacing="0"/>
              <w:ind w:left="0" w:leftChars="0" w:right="0" w:rightChars="0"/>
              <w:jc w:val="center"/>
            </w:pPr>
          </w:p>
        </w:tc>
        <w:tc>
          <w:tcPr>
            <w:tcW w:w="1320" w:type="dxa"/>
            <w:vMerge w:val="continue"/>
            <w:tcBorders>
              <w:left w:val="single" w:color="auto" w:sz="8" w:space="0"/>
              <w:bottom w:val="single" w:color="auto" w:sz="8" w:space="0"/>
              <w:right w:val="single" w:color="auto" w:sz="8" w:space="0"/>
            </w:tcBorders>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全社会</w:t>
            </w:r>
          </w:p>
        </w:tc>
        <w:tc>
          <w:tcPr>
            <w:tcW w:w="780"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特定群众</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主动</w:t>
            </w:r>
          </w:p>
        </w:tc>
        <w:tc>
          <w:tcPr>
            <w:tcW w:w="1008"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依申请公开</w:t>
            </w:r>
          </w:p>
        </w:tc>
        <w:tc>
          <w:tcPr>
            <w:tcW w:w="516"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县级</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乡、村级</w:t>
            </w:r>
          </w:p>
        </w:tc>
      </w:tr>
      <w:tr>
        <w:tblPrEx>
          <w:tblCellMar>
            <w:top w:w="0" w:type="dxa"/>
            <w:left w:w="0" w:type="dxa"/>
            <w:bottom w:w="0" w:type="dxa"/>
            <w:right w:w="0" w:type="dxa"/>
          </w:tblCellMar>
        </w:tblPrEx>
        <w:trPr>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宋体" w:eastAsia="仿宋_GB2312" w:cs="宋体"/>
                <w:kern w:val="2"/>
                <w:sz w:val="18"/>
                <w:szCs w:val="18"/>
                <w:lang w:val="en-US" w:eastAsia="zh-CN" w:bidi="ar-SA"/>
              </w:rPr>
            </w:pPr>
            <w:r>
              <w:rPr>
                <w:rFonts w:hint="eastAsia" w:ascii="仿宋_GB2312" w:hAnsi="宋体" w:eastAsia="仿宋_GB2312"/>
                <w:sz w:val="18"/>
                <w:szCs w:val="18"/>
              </w:rPr>
              <w:t>1</w:t>
            </w:r>
          </w:p>
        </w:tc>
        <w:tc>
          <w:tcPr>
            <w:tcW w:w="8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18"/>
                <w:szCs w:val="18"/>
              </w:rPr>
              <w:t>农业生产发展资金</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240" w:lineRule="exact"/>
              <w:jc w:val="center"/>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农机购置补贴</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政策依据；</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申请指南：包括补贴对象、补贴范围、补贴标准、申请程序、申请材料、咨询电话、受理单位、办理时限、联系方式等；</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补贴结果；</w:t>
            </w:r>
          </w:p>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监督渠道：包括举报电话、地址等。</w:t>
            </w:r>
          </w:p>
        </w:tc>
        <w:tc>
          <w:tcPr>
            <w:tcW w:w="22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jc w:val="lef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《农业机械化促进法》、《农业生产发展资金管理办法》、《2018-2020年农机购置补贴实施指导意见》</w:t>
            </w:r>
          </w:p>
        </w:tc>
        <w:tc>
          <w:tcPr>
            <w:tcW w:w="13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spacing w:line="240" w:lineRule="exact"/>
              <w:rPr>
                <w:rFonts w:hint="eastAsia" w:ascii="仿宋_GB2312" w:hAnsi="Times New Roman" w:eastAsia="仿宋_GB2312" w:cs="Times New Roman"/>
                <w:kern w:val="2"/>
                <w:sz w:val="18"/>
                <w:szCs w:val="18"/>
                <w:lang w:val="en-US" w:eastAsia="zh-CN" w:bidi="ar-SA"/>
              </w:rPr>
            </w:pPr>
            <w:r>
              <w:rPr>
                <w:rFonts w:hint="eastAsia" w:ascii="仿宋_GB2312" w:hAnsi="Times New Roman" w:eastAsia="仿宋_GB2312"/>
                <w:sz w:val="18"/>
                <w:szCs w:val="18"/>
              </w:rPr>
              <w:t>信息形成或者变更之日起20个工作日内。法律、法规对政府信息公开的期限另有规定的，从其规定。</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全州县农机服务中心</w:t>
            </w:r>
          </w:p>
          <w:p>
            <w:pPr>
              <w:spacing w:line="240" w:lineRule="exact"/>
              <w:rPr>
                <w:rFonts w:hint="eastAsia" w:ascii="仿宋_GB2312" w:hAnsi="Times New Roman" w:eastAsia="仿宋_GB2312" w:cs="Times New Roman"/>
                <w:kern w:val="2"/>
                <w:sz w:val="18"/>
                <w:szCs w:val="18"/>
                <w:lang w:val="en-US" w:eastAsia="zh-CN" w:bidi="ar-SA"/>
              </w:rPr>
            </w:pPr>
          </w:p>
        </w:tc>
        <w:tc>
          <w:tcPr>
            <w:tcW w:w="13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spacing w:line="240" w:lineRule="exact"/>
              <w:jc w:val="left"/>
            </w:pPr>
            <w:r>
              <w:rPr>
                <w:rFonts w:hint="eastAsia"/>
              </w:rPr>
              <w:t xml:space="preserve">■政府网站 </w:t>
            </w:r>
          </w:p>
          <w:p>
            <w:pPr>
              <w:spacing w:line="240" w:lineRule="exact"/>
              <w:jc w:val="left"/>
              <w:rPr>
                <w:rFonts w:hint="default"/>
              </w:rPr>
            </w:pPr>
            <w:r>
              <w:rPr>
                <w:rFonts w:hint="default"/>
              </w:rPr>
              <w:fldChar w:fldCharType="begin"/>
            </w:r>
            <w:r>
              <w:rPr>
                <w:rFonts w:hint="default"/>
              </w:rPr>
              <w:instrText xml:space="preserve"> HYPERLINK "https://219.159.250.254" </w:instrText>
            </w:r>
            <w:r>
              <w:rPr>
                <w:rFonts w:hint="default"/>
              </w:rPr>
              <w:fldChar w:fldCharType="separate"/>
            </w:r>
            <w:r>
              <w:rPr>
                <w:rStyle w:val="6"/>
                <w:rFonts w:hint="default"/>
              </w:rPr>
              <w:t>https://219.159.250.254</w:t>
            </w:r>
            <w:r>
              <w:rPr>
                <w:rFonts w:hint="default"/>
              </w:rPr>
              <w:fldChar w:fldCharType="end"/>
            </w:r>
          </w:p>
          <w:p>
            <w:pPr>
              <w:pStyle w:val="2"/>
              <w:rPr>
                <w:rFonts w:hint="default"/>
                <w:lang w:val="en-US" w:eastAsia="zh-CN"/>
              </w:rPr>
            </w:pPr>
            <w:r>
              <w:rPr>
                <w:rFonts w:hint="default"/>
                <w:lang w:val="en-US" w:eastAsia="zh-CN"/>
              </w:rPr>
              <w:t>http://www.glqz.gov.cn/</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 w:eastAsia="仿宋_GB2312" w:cs="宋体"/>
                <w:kern w:val="2"/>
                <w:sz w:val="18"/>
                <w:szCs w:val="18"/>
                <w:lang w:val="en-US" w:eastAsia="zh-CN" w:bidi="ar-SA"/>
              </w:rPr>
            </w:pPr>
            <w:r>
              <w:rPr>
                <w:rFonts w:hint="eastAsia" w:ascii="仿宋_GB2312" w:hAnsi="仿宋" w:eastAsia="仿宋_GB2312"/>
                <w:sz w:val="18"/>
                <w:szCs w:val="18"/>
              </w:rPr>
              <w:t>√</w:t>
            </w:r>
          </w:p>
        </w:tc>
        <w:tc>
          <w:tcPr>
            <w:tcW w:w="7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_GB2312" w:hAnsi="仿宋" w:eastAsia="仿宋_GB2312" w:cs="宋体"/>
                <w:kern w:val="2"/>
                <w:sz w:val="18"/>
                <w:szCs w:val="18"/>
                <w:lang w:val="en-US" w:eastAsia="zh-CN" w:bidi="ar-SA"/>
              </w:rPr>
            </w:pPr>
            <w:bookmarkStart w:id="0" w:name="_GoBack"/>
            <w:bookmarkEnd w:id="0"/>
            <w:r>
              <w:rPr>
                <w:rFonts w:hint="eastAsia" w:ascii="仿宋_GB2312" w:hAnsi="仿宋" w:eastAsia="仿宋_GB2312"/>
                <w:sz w:val="18"/>
                <w:szCs w:val="18"/>
              </w:rPr>
              <w:t>　</w:t>
            </w: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 w:eastAsia="仿宋_GB2312" w:cs="宋体"/>
                <w:kern w:val="2"/>
                <w:sz w:val="18"/>
                <w:szCs w:val="18"/>
                <w:lang w:val="en-US" w:eastAsia="zh-CN" w:bidi="ar-SA"/>
              </w:rPr>
            </w:pPr>
            <w:r>
              <w:rPr>
                <w:rFonts w:hint="eastAsia" w:ascii="仿宋_GB2312" w:hAnsi="仿宋" w:eastAsia="仿宋_GB2312"/>
                <w:sz w:val="18"/>
                <w:szCs w:val="18"/>
              </w:rPr>
              <w:t>√</w:t>
            </w:r>
          </w:p>
        </w:tc>
        <w:tc>
          <w:tcPr>
            <w:tcW w:w="10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_GB2312" w:hAnsi="仿宋" w:eastAsia="仿宋_GB2312" w:cs="宋体"/>
                <w:kern w:val="2"/>
                <w:sz w:val="18"/>
                <w:szCs w:val="18"/>
                <w:lang w:val="en-US" w:eastAsia="zh-CN" w:bidi="ar-SA"/>
              </w:rPr>
            </w:pPr>
            <w:r>
              <w:rPr>
                <w:rFonts w:hint="eastAsia" w:ascii="仿宋_GB2312" w:hAnsi="仿宋" w:eastAsia="仿宋_GB2312"/>
                <w:sz w:val="18"/>
                <w:szCs w:val="18"/>
              </w:rPr>
              <w:t>　</w:t>
            </w:r>
          </w:p>
        </w:tc>
        <w:tc>
          <w:tcPr>
            <w:tcW w:w="5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 w:eastAsia="仿宋_GB2312" w:cs="宋体"/>
                <w:kern w:val="2"/>
                <w:sz w:val="18"/>
                <w:szCs w:val="18"/>
                <w:lang w:val="en-US" w:eastAsia="zh-CN" w:bidi="ar-SA"/>
              </w:rPr>
            </w:pPr>
            <w:r>
              <w:rPr>
                <w:rFonts w:hint="eastAsia" w:ascii="仿宋_GB2312" w:hAnsi="仿宋" w:eastAsia="仿宋_GB2312"/>
                <w:sz w:val="18"/>
                <w:szCs w:val="18"/>
              </w:rPr>
              <w:t>√</w:t>
            </w:r>
          </w:p>
        </w:tc>
        <w:tc>
          <w:tcPr>
            <w:tcW w:w="7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jc w:val="center"/>
              <w:rPr>
                <w:rFonts w:hint="eastAsia" w:ascii="仿宋_GB2312" w:hAnsi="仿宋" w:eastAsia="仿宋_GB2312" w:cs="宋体"/>
                <w:kern w:val="2"/>
                <w:sz w:val="18"/>
                <w:szCs w:val="18"/>
                <w:lang w:val="en-US" w:eastAsia="zh-CN" w:bidi="ar-SA"/>
              </w:rPr>
            </w:pPr>
            <w:r>
              <w:rPr>
                <w:rFonts w:hint="eastAsia" w:ascii="仿宋_GB2312" w:hAnsi="仿宋" w:eastAsia="仿宋_GB2312"/>
                <w:sz w:val="18"/>
                <w:szCs w:val="18"/>
              </w:rPr>
              <w:t>　</w:t>
            </w:r>
          </w:p>
        </w:tc>
      </w:tr>
      <w:tr>
        <w:tblPrEx>
          <w:tblCellMar>
            <w:top w:w="0" w:type="dxa"/>
            <w:left w:w="0" w:type="dxa"/>
            <w:bottom w:w="0" w:type="dxa"/>
            <w:right w:w="0" w:type="dxa"/>
          </w:tblCellMar>
        </w:tblPrEx>
        <w:trPr>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8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line="240" w:lineRule="atLeast"/>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农业生产发展资金</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line="240" w:lineRule="atLeast"/>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耕地地力保护</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政策依据；</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申请指南：包括补贴对象、补贴范围、补贴标准、申请程序、申请材料、咨询电话、受理单位、办理时限、联系方式等；</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补贴结果；</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监督渠道：包括举报电话、地址等。</w:t>
            </w:r>
          </w:p>
        </w:tc>
        <w:tc>
          <w:tcPr>
            <w:tcW w:w="22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《农业生产发展资金管理办法》、《财政部 农业部关于全面推开农业“三项补贴”改革工作的通知》、《中华人民共和国政府信息公开条例》及相关规定</w:t>
            </w:r>
          </w:p>
        </w:tc>
        <w:tc>
          <w:tcPr>
            <w:tcW w:w="13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信息形成或者变更之日起20个工作日内。法律、法规对政府信息公开的期限另有规定的，从其规定。</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ind w:left="0" w:leftChars="0" w:right="0" w:rightChars="0"/>
              <w:jc w:val="both"/>
            </w:pPr>
            <w:r>
              <w:rPr>
                <w:rFonts w:hint="eastAsia" w:ascii="仿宋_GB2312" w:hAnsi="宋体" w:eastAsia="仿宋_GB2312" w:cs="宋体"/>
                <w:color w:val="auto"/>
                <w:sz w:val="18"/>
                <w:szCs w:val="18"/>
                <w:lang w:eastAsia="zh-CN"/>
              </w:rPr>
              <w:t>全州</w:t>
            </w:r>
            <w:r>
              <w:rPr>
                <w:rFonts w:hint="eastAsia" w:ascii="仿宋_GB2312" w:hAnsi="宋体" w:eastAsia="仿宋_GB2312" w:cs="宋体"/>
                <w:color w:val="auto"/>
                <w:sz w:val="18"/>
                <w:szCs w:val="18"/>
              </w:rPr>
              <w:t>县农业农村局、乡（镇）人民政府</w:t>
            </w:r>
          </w:p>
        </w:tc>
        <w:tc>
          <w:tcPr>
            <w:tcW w:w="13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spacing w:beforeAutospacing="0" w:afterAutospacing="0" w:line="300" w:lineRule="exact"/>
              <w:ind w:left="0" w:leftChars="0" w:right="0" w:rightChars="0"/>
              <w:jc w:val="left"/>
            </w:pPr>
            <w:r>
              <w:rPr>
                <w:rFonts w:hint="eastAsia"/>
              </w:rPr>
              <w:fldChar w:fldCharType="begin"/>
            </w:r>
            <w:r>
              <w:rPr>
                <w:rFonts w:hint="eastAsia"/>
              </w:rPr>
              <w:instrText xml:space="preserve"> EQ \o\ac(□,√)</w:instrText>
            </w:r>
            <w:r>
              <w:rPr>
                <w:rFonts w:hint="eastAsia"/>
              </w:rPr>
              <w:fldChar w:fldCharType="end"/>
            </w:r>
            <w:r>
              <w:rPr>
                <w:rFonts w:hint="eastAsia"/>
              </w:rPr>
              <w:t xml:space="preserve">政府网站                                                                                                                                                                                                       </w:t>
            </w:r>
            <w:r>
              <w:rPr>
                <w:rFonts w:hint="eastAsia"/>
              </w:rPr>
              <w:br w:type="textWrapping"/>
            </w:r>
            <w:r>
              <w:rPr>
                <w:rFonts w:hint="eastAsia"/>
              </w:rPr>
              <w:fldChar w:fldCharType="begin"/>
            </w:r>
            <w:r>
              <w:rPr>
                <w:rFonts w:hint="eastAsia"/>
              </w:rPr>
              <w:instrText xml:space="preserve"> EQ \o\ac(□,√)</w:instrText>
            </w:r>
            <w:r>
              <w:rPr>
                <w:rFonts w:hint="eastAsia"/>
              </w:rPr>
              <w:fldChar w:fldCharType="end"/>
            </w:r>
            <w:r>
              <w:rPr>
                <w:rFonts w:hint="eastAsia"/>
              </w:rPr>
              <w:t>公示栏</w:t>
            </w:r>
          </w:p>
          <w:p>
            <w:pPr>
              <w:pageBreakBefore w:val="0"/>
              <w:kinsoku/>
              <w:wordWrap/>
              <w:overflowPunct/>
              <w:topLinePunct w:val="0"/>
              <w:bidi w:val="0"/>
              <w:adjustRightInd/>
              <w:snapToGrid/>
              <w:spacing w:beforeAutospacing="0" w:afterAutospacing="0" w:line="240" w:lineRule="atLeast"/>
              <w:ind w:left="0" w:leftChars="0" w:right="0" w:rightChars="0"/>
              <w:jc w:val="left"/>
              <w:rPr>
                <w:rFonts w:hint="default"/>
              </w:rPr>
            </w:pPr>
            <w:r>
              <w:rPr>
                <w:rFonts w:hint="default"/>
              </w:rPr>
              <w:fldChar w:fldCharType="begin"/>
            </w:r>
            <w:r>
              <w:rPr>
                <w:rFonts w:hint="default"/>
              </w:rPr>
              <w:instrText xml:space="preserve"> HYPERLINK "https://219.159.250.254" </w:instrText>
            </w:r>
            <w:r>
              <w:rPr>
                <w:rFonts w:hint="default"/>
              </w:rPr>
              <w:fldChar w:fldCharType="separate"/>
            </w:r>
            <w:r>
              <w:rPr>
                <w:rStyle w:val="6"/>
                <w:rFonts w:hint="default"/>
              </w:rPr>
              <w:t>https://219.159.250.254</w:t>
            </w:r>
            <w:r>
              <w:rPr>
                <w:rFonts w:hint="default"/>
              </w:rPr>
              <w:fldChar w:fldCharType="end"/>
            </w:r>
          </w:p>
          <w:p>
            <w:pPr>
              <w:pStyle w:val="2"/>
            </w:pPr>
            <w:r>
              <w:rPr>
                <w:rFonts w:hint="default"/>
              </w:rPr>
              <w:t>http://www.glqz.gov.cn/</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7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10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p>
        </w:tc>
        <w:tc>
          <w:tcPr>
            <w:tcW w:w="5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7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r>
      <w:tr>
        <w:tblPrEx>
          <w:tblCellMar>
            <w:top w:w="0" w:type="dxa"/>
            <w:left w:w="0" w:type="dxa"/>
            <w:bottom w:w="0" w:type="dxa"/>
            <w:right w:w="0" w:type="dxa"/>
          </w:tblCellMar>
        </w:tblPrEx>
        <w:trPr>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8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line="240" w:lineRule="atLeast"/>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农业生产发展资金</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line="240" w:lineRule="atLeast"/>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新型职业农民培育</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政策依据；</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申请指南：包括补贴对象、补贴范围、补贴标准、申请程序、申请材料、咨询电话、受理单位、办理时限、联系方式等；</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补贴结果；</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监督渠道：包括举报电话、地址等。</w:t>
            </w:r>
          </w:p>
        </w:tc>
        <w:tc>
          <w:tcPr>
            <w:tcW w:w="22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中华人民共和国政府信息公开条例》及相关规定</w:t>
            </w:r>
          </w:p>
        </w:tc>
        <w:tc>
          <w:tcPr>
            <w:tcW w:w="13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信息形成或者变更之日起20个工作日内。法律、法规对政府信息公开的期限另有规定的，从其规定。</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ind w:left="0" w:leftChars="0" w:right="0" w:rightChars="0"/>
              <w:jc w:val="both"/>
            </w:pPr>
            <w:r>
              <w:rPr>
                <w:rFonts w:hint="eastAsia" w:ascii="仿宋_GB2312" w:hAnsi="宋体" w:eastAsia="仿宋_GB2312" w:cs="宋体"/>
                <w:color w:val="auto"/>
                <w:sz w:val="18"/>
                <w:szCs w:val="18"/>
                <w:lang w:eastAsia="zh-CN"/>
              </w:rPr>
              <w:t>全州</w:t>
            </w:r>
            <w:r>
              <w:rPr>
                <w:rFonts w:hint="eastAsia" w:ascii="仿宋_GB2312" w:hAnsi="宋体" w:eastAsia="仿宋_GB2312" w:cs="宋体"/>
                <w:color w:val="auto"/>
                <w:sz w:val="18"/>
                <w:szCs w:val="18"/>
              </w:rPr>
              <w:t>县农业农村局</w:t>
            </w:r>
          </w:p>
        </w:tc>
        <w:tc>
          <w:tcPr>
            <w:tcW w:w="13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left"/>
              <w:rPr>
                <w:rFonts w:hint="default"/>
              </w:rPr>
            </w:pPr>
            <w:r>
              <w:rPr>
                <w:rFonts w:hint="eastAsia"/>
              </w:rPr>
              <w:fldChar w:fldCharType="begin"/>
            </w:r>
            <w:r>
              <w:rPr>
                <w:rFonts w:hint="eastAsia"/>
              </w:rPr>
              <w:instrText xml:space="preserve"> EQ \o\ac(□,√)</w:instrText>
            </w:r>
            <w:r>
              <w:rPr>
                <w:rFonts w:hint="eastAsia"/>
              </w:rPr>
              <w:fldChar w:fldCharType="end"/>
            </w:r>
            <w:r>
              <w:rPr>
                <w:rFonts w:hint="eastAsia"/>
              </w:rPr>
              <w:t xml:space="preserve">政府网站                                                                                                                                                                                                       </w:t>
            </w:r>
            <w:r>
              <w:rPr>
                <w:rFonts w:hint="eastAsia"/>
              </w:rPr>
              <w:br w:type="textWrapping"/>
            </w:r>
            <w:r>
              <w:rPr>
                <w:rFonts w:hint="default"/>
              </w:rPr>
              <w:fldChar w:fldCharType="begin"/>
            </w:r>
            <w:r>
              <w:rPr>
                <w:rFonts w:hint="default"/>
              </w:rPr>
              <w:instrText xml:space="preserve"> HYPERLINK "https://219.159.250.254" </w:instrText>
            </w:r>
            <w:r>
              <w:rPr>
                <w:rFonts w:hint="default"/>
              </w:rPr>
              <w:fldChar w:fldCharType="separate"/>
            </w:r>
            <w:r>
              <w:rPr>
                <w:rStyle w:val="6"/>
                <w:rFonts w:hint="default"/>
              </w:rPr>
              <w:t>https://219.159.250.254</w:t>
            </w:r>
            <w:r>
              <w:rPr>
                <w:rFonts w:hint="default"/>
              </w:rPr>
              <w:fldChar w:fldCharType="end"/>
            </w:r>
          </w:p>
          <w:p>
            <w:pPr>
              <w:pStyle w:val="2"/>
            </w:pPr>
            <w:r>
              <w:rPr>
                <w:rFonts w:hint="default"/>
              </w:rPr>
              <w:t>http://www.glqz.gov.cn/</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7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10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p>
        </w:tc>
        <w:tc>
          <w:tcPr>
            <w:tcW w:w="5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7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p>
        </w:tc>
      </w:tr>
      <w:tr>
        <w:tblPrEx>
          <w:tblCellMar>
            <w:top w:w="0" w:type="dxa"/>
            <w:left w:w="0" w:type="dxa"/>
            <w:bottom w:w="0" w:type="dxa"/>
            <w:right w:w="0" w:type="dxa"/>
          </w:tblCellMar>
        </w:tblPrEx>
        <w:trPr>
          <w:jc w:val="center"/>
        </w:trPr>
        <w:tc>
          <w:tcPr>
            <w:tcW w:w="45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8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line="240" w:lineRule="atLeast"/>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农业生产发展资金</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line="240" w:lineRule="atLeast"/>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支持新型农业经营主体</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政策依据；</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申请指南：包括补贴对象、补贴范围、补贴标准、申请程序、申请材料、咨询电话、受理单位、办理时限、联系方式等；</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补贴结果；</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监督渠道：包括举报电话、地址等。</w:t>
            </w:r>
          </w:p>
        </w:tc>
        <w:tc>
          <w:tcPr>
            <w:tcW w:w="22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《农业生产发展资金管理办法》、《中华人民共和国政府信息公开条例》及相关规定</w:t>
            </w:r>
          </w:p>
        </w:tc>
        <w:tc>
          <w:tcPr>
            <w:tcW w:w="13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信息形成或者变更之日起20个工作日内。法律、法规对政府信息公开的期限另有规定的，从其规定。</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ind w:left="0" w:leftChars="0" w:right="0" w:rightChars="0"/>
              <w:jc w:val="both"/>
            </w:pPr>
            <w:r>
              <w:rPr>
                <w:rFonts w:hint="eastAsia" w:ascii="仿宋_GB2312" w:hAnsi="宋体" w:eastAsia="仿宋_GB2312" w:cs="宋体"/>
                <w:color w:val="auto"/>
                <w:sz w:val="18"/>
                <w:szCs w:val="18"/>
                <w:lang w:eastAsia="zh-CN"/>
              </w:rPr>
              <w:t>全州</w:t>
            </w:r>
            <w:r>
              <w:rPr>
                <w:rFonts w:hint="eastAsia" w:ascii="仿宋_GB2312" w:hAnsi="宋体" w:eastAsia="仿宋_GB2312" w:cs="宋体"/>
                <w:color w:val="auto"/>
                <w:sz w:val="18"/>
                <w:szCs w:val="18"/>
              </w:rPr>
              <w:t>县农业农村局</w:t>
            </w:r>
          </w:p>
        </w:tc>
        <w:tc>
          <w:tcPr>
            <w:tcW w:w="13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left"/>
              <w:rPr>
                <w:rFonts w:hint="default"/>
              </w:rPr>
            </w:pPr>
            <w:r>
              <w:rPr>
                <w:rFonts w:hint="eastAsia"/>
              </w:rPr>
              <w:fldChar w:fldCharType="begin"/>
            </w:r>
            <w:r>
              <w:rPr>
                <w:rFonts w:hint="eastAsia"/>
              </w:rPr>
              <w:instrText xml:space="preserve"> EQ \o\ac(□,√)</w:instrText>
            </w:r>
            <w:r>
              <w:rPr>
                <w:rFonts w:hint="eastAsia"/>
              </w:rPr>
              <w:fldChar w:fldCharType="end"/>
            </w:r>
            <w:r>
              <w:rPr>
                <w:rFonts w:hint="eastAsia"/>
              </w:rPr>
              <w:t xml:space="preserve">政府网站                                                                                                                                                                                                       </w:t>
            </w:r>
            <w:r>
              <w:rPr>
                <w:rFonts w:hint="eastAsia"/>
              </w:rPr>
              <w:br w:type="textWrapping"/>
            </w:r>
            <w:r>
              <w:rPr>
                <w:rFonts w:hint="default"/>
              </w:rPr>
              <w:fldChar w:fldCharType="begin"/>
            </w:r>
            <w:r>
              <w:rPr>
                <w:rFonts w:hint="default"/>
              </w:rPr>
              <w:instrText xml:space="preserve"> HYPERLINK "https://219.159.250.254" </w:instrText>
            </w:r>
            <w:r>
              <w:rPr>
                <w:rFonts w:hint="default"/>
              </w:rPr>
              <w:fldChar w:fldCharType="separate"/>
            </w:r>
            <w:r>
              <w:rPr>
                <w:rStyle w:val="6"/>
                <w:rFonts w:hint="default"/>
              </w:rPr>
              <w:t>https://219.159.250.254</w:t>
            </w:r>
            <w:r>
              <w:rPr>
                <w:rFonts w:hint="default"/>
              </w:rPr>
              <w:fldChar w:fldCharType="end"/>
            </w:r>
          </w:p>
          <w:p>
            <w:pPr>
              <w:pStyle w:val="2"/>
            </w:pPr>
            <w:r>
              <w:rPr>
                <w:rFonts w:hint="default"/>
              </w:rPr>
              <w:t>http://www.glqz.gov.cn/</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7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10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p>
        </w:tc>
        <w:tc>
          <w:tcPr>
            <w:tcW w:w="5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7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p>
        </w:tc>
      </w:tr>
      <w:tr>
        <w:tblPrEx>
          <w:tblCellMar>
            <w:top w:w="0" w:type="dxa"/>
            <w:left w:w="0" w:type="dxa"/>
            <w:bottom w:w="0" w:type="dxa"/>
            <w:right w:w="0" w:type="dxa"/>
          </w:tblCellMar>
        </w:tblPrEx>
        <w:trPr>
          <w:jc w:val="center"/>
        </w:trPr>
        <w:tc>
          <w:tcPr>
            <w:tcW w:w="456" w:type="dxa"/>
            <w:tcBorders>
              <w:top w:val="single" w:color="auto" w:sz="8" w:space="0"/>
              <w:left w:val="single" w:color="auto" w:sz="8" w:space="0"/>
              <w:bottom w:val="single" w:color="000000"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5</w:t>
            </w:r>
          </w:p>
        </w:tc>
        <w:tc>
          <w:tcPr>
            <w:tcW w:w="8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line="240" w:lineRule="atLeast"/>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动物防疫等补助经费</w:t>
            </w:r>
          </w:p>
        </w:tc>
        <w:tc>
          <w:tcPr>
            <w:tcW w:w="8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line="240" w:lineRule="atLeast"/>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强制扑杀、强制免疫和养殖环节无害化处理补助</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政策依据；</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申请指南：包括补贴对象、补贴范围、补贴标准、申请程序、申请材料、咨询电话、受理单位、办理时限、联系方式等；</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补贴结果；</w:t>
            </w:r>
          </w:p>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监督渠道：包括举报电话、地址等。</w:t>
            </w:r>
          </w:p>
        </w:tc>
        <w:tc>
          <w:tcPr>
            <w:tcW w:w="22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《动物防疫法》、《动物防疫等补助经费管理办法》、《中华人民共和国政府信息公开条例》及相关规定</w:t>
            </w:r>
          </w:p>
        </w:tc>
        <w:tc>
          <w:tcPr>
            <w:tcW w:w="13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both"/>
              <w:rPr>
                <w:rFonts w:ascii="宋体" w:hAnsi="宋体" w:eastAsia="宋体" w:cs="宋体"/>
                <w:color w:val="auto"/>
                <w:sz w:val="18"/>
                <w:szCs w:val="18"/>
              </w:rPr>
            </w:pPr>
            <w:r>
              <w:rPr>
                <w:rFonts w:hint="eastAsia" w:ascii="仿宋_GB2312" w:hAnsi="宋体" w:eastAsia="仿宋_GB2312" w:cs="宋体"/>
                <w:color w:val="auto"/>
                <w:sz w:val="18"/>
                <w:szCs w:val="18"/>
              </w:rPr>
              <w:t>信息形成或者变更之日起20个工作日内。法律、法规对政府信息公开的期限另有规定的，从其规定。</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ind w:left="0" w:leftChars="0" w:right="0" w:rightChars="0"/>
              <w:jc w:val="both"/>
            </w:pPr>
            <w:r>
              <w:rPr>
                <w:rFonts w:hint="eastAsia" w:ascii="仿宋_GB2312" w:hAnsi="宋体" w:eastAsia="仿宋_GB2312" w:cs="宋体"/>
                <w:color w:val="auto"/>
                <w:sz w:val="18"/>
                <w:szCs w:val="18"/>
                <w:lang w:eastAsia="zh-CN"/>
              </w:rPr>
              <w:t>全州</w:t>
            </w:r>
            <w:r>
              <w:rPr>
                <w:rFonts w:hint="eastAsia" w:ascii="仿宋_GB2312" w:hAnsi="宋体" w:eastAsia="仿宋_GB2312" w:cs="宋体"/>
                <w:color w:val="auto"/>
                <w:sz w:val="18"/>
                <w:szCs w:val="18"/>
              </w:rPr>
              <w:t>县农业农村局</w:t>
            </w:r>
          </w:p>
        </w:tc>
        <w:tc>
          <w:tcPr>
            <w:tcW w:w="13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top"/>
          </w:tcPr>
          <w:p>
            <w:pPr>
              <w:pageBreakBefore w:val="0"/>
              <w:kinsoku/>
              <w:wordWrap/>
              <w:overflowPunct/>
              <w:topLinePunct w:val="0"/>
              <w:bidi w:val="0"/>
              <w:adjustRightInd/>
              <w:snapToGrid/>
              <w:spacing w:beforeAutospacing="0" w:afterAutospacing="0" w:line="240" w:lineRule="atLeast"/>
              <w:ind w:left="0" w:leftChars="0" w:right="0" w:rightChars="0"/>
              <w:jc w:val="left"/>
              <w:rPr>
                <w:rFonts w:hint="eastAsia"/>
              </w:rPr>
            </w:pPr>
            <w:r>
              <w:rPr>
                <w:rFonts w:hint="eastAsia"/>
              </w:rPr>
              <w:fldChar w:fldCharType="begin"/>
            </w:r>
            <w:r>
              <w:rPr>
                <w:rFonts w:hint="eastAsia"/>
              </w:rPr>
              <w:instrText xml:space="preserve"> EQ \o\ac(□,√)</w:instrText>
            </w:r>
            <w:r>
              <w:rPr>
                <w:rFonts w:hint="eastAsia"/>
              </w:rPr>
              <w:fldChar w:fldCharType="end"/>
            </w:r>
            <w:r>
              <w:rPr>
                <w:rFonts w:hint="eastAsia"/>
              </w:rPr>
              <w:t xml:space="preserve">政府网站                                                                                                                                                                                                       </w:t>
            </w:r>
            <w:r>
              <w:rPr>
                <w:rFonts w:hint="eastAsia"/>
              </w:rPr>
              <w:br w:type="textWrapping"/>
            </w:r>
            <w:r>
              <w:rPr>
                <w:rFonts w:hint="eastAsia"/>
              </w:rPr>
              <w:fldChar w:fldCharType="begin"/>
            </w:r>
            <w:r>
              <w:rPr>
                <w:rFonts w:hint="eastAsia"/>
              </w:rPr>
              <w:instrText xml:space="preserve"> EQ \o\ac(□,√)</w:instrText>
            </w:r>
            <w:r>
              <w:rPr>
                <w:rFonts w:hint="eastAsia"/>
              </w:rPr>
              <w:fldChar w:fldCharType="end"/>
            </w:r>
            <w:r>
              <w:rPr>
                <w:rFonts w:hint="eastAsia"/>
              </w:rPr>
              <w:t>公示栏</w:t>
            </w:r>
          </w:p>
          <w:p>
            <w:pPr>
              <w:pStyle w:val="2"/>
              <w:rPr>
                <w:rFonts w:hint="default" w:ascii="宋体" w:hAnsi="宋体" w:eastAsia="宋体" w:cs="宋体"/>
                <w:color w:val="auto"/>
                <w:sz w:val="18"/>
                <w:szCs w:val="18"/>
              </w:rPr>
            </w:pPr>
            <w:r>
              <w:rPr>
                <w:rFonts w:hint="default" w:ascii="宋体" w:hAnsi="宋体" w:eastAsia="宋体" w:cs="宋体"/>
                <w:color w:val="auto"/>
                <w:sz w:val="18"/>
                <w:szCs w:val="18"/>
              </w:rPr>
              <w:fldChar w:fldCharType="begin"/>
            </w:r>
            <w:r>
              <w:rPr>
                <w:rFonts w:hint="default" w:ascii="宋体" w:hAnsi="宋体" w:eastAsia="宋体" w:cs="宋体"/>
                <w:color w:val="auto"/>
                <w:sz w:val="18"/>
                <w:szCs w:val="18"/>
              </w:rPr>
              <w:instrText xml:space="preserve"> HYPERLINK "https://219.159.250.254" </w:instrText>
            </w:r>
            <w:r>
              <w:rPr>
                <w:rFonts w:hint="default" w:ascii="宋体" w:hAnsi="宋体" w:eastAsia="宋体" w:cs="宋体"/>
                <w:color w:val="auto"/>
                <w:sz w:val="18"/>
                <w:szCs w:val="18"/>
              </w:rPr>
              <w:fldChar w:fldCharType="separate"/>
            </w:r>
            <w:r>
              <w:rPr>
                <w:rStyle w:val="6"/>
                <w:rFonts w:hint="default" w:ascii="宋体" w:hAnsi="宋体" w:eastAsia="宋体" w:cs="宋体"/>
                <w:sz w:val="18"/>
                <w:szCs w:val="18"/>
              </w:rPr>
              <w:t>https://219.159.250.254</w:t>
            </w:r>
            <w:r>
              <w:rPr>
                <w:rFonts w:hint="default" w:ascii="宋体" w:hAnsi="宋体" w:eastAsia="宋体" w:cs="宋体"/>
                <w:color w:val="auto"/>
                <w:sz w:val="18"/>
                <w:szCs w:val="18"/>
              </w:rPr>
              <w:fldChar w:fldCharType="end"/>
            </w:r>
          </w:p>
          <w:p>
            <w:pPr>
              <w:pStyle w:val="2"/>
              <w:rPr>
                <w:rFonts w:hint="default" w:ascii="宋体" w:hAnsi="宋体" w:eastAsia="宋体" w:cs="宋体"/>
                <w:color w:val="auto"/>
                <w:sz w:val="18"/>
                <w:szCs w:val="18"/>
              </w:rPr>
            </w:pPr>
            <w:r>
              <w:rPr>
                <w:rFonts w:hint="default" w:ascii="宋体" w:hAnsi="宋体" w:eastAsia="宋体" w:cs="宋体"/>
                <w:color w:val="auto"/>
                <w:sz w:val="18"/>
                <w:szCs w:val="18"/>
              </w:rPr>
              <w:t>http://www.glqz.gov.cn/</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7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p>
        </w:tc>
        <w:tc>
          <w:tcPr>
            <w:tcW w:w="7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100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p>
        </w:tc>
        <w:tc>
          <w:tcPr>
            <w:tcW w:w="5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c>
          <w:tcPr>
            <w:tcW w:w="7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kinsoku/>
              <w:wordWrap/>
              <w:overflowPunct/>
              <w:topLinePunct w:val="0"/>
              <w:bidi w:val="0"/>
              <w:adjustRightInd/>
              <w:snapToGrid/>
              <w:spacing w:beforeAutospacing="0" w:afterAutospacing="0"/>
              <w:ind w:left="0" w:leftChars="0" w:right="0" w:rightChars="0"/>
              <w:jc w:val="center"/>
              <w:rPr>
                <w:rFonts w:ascii="宋体" w:hAnsi="宋体" w:eastAsia="宋体" w:cs="宋体"/>
                <w:color w:val="auto"/>
                <w:sz w:val="18"/>
                <w:szCs w:val="18"/>
              </w:rPr>
            </w:pPr>
            <w:r>
              <w:rPr>
                <w:rFonts w:hint="eastAsia" w:ascii="仿宋_GB2312" w:hAnsi="宋体" w:eastAsia="仿宋_GB2312" w:cs="宋体"/>
                <w:color w:val="auto"/>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Microsoft YaHei"/>
    <w:panose1 w:val="03000509000000000000"/>
    <w:charset w:val="86"/>
    <w:family w:val="auto"/>
    <w:pitch w:val="default"/>
    <w:sig w:usb0="00000000" w:usb1="00000000" w:usb2="00000000" w:usb3="00000000" w:csb0="00040000" w:csb1="00000000"/>
  </w:font>
  <w:font w:name="仿宋_GB2312">
    <w:altName w:val="Microsoft YaHei"/>
    <w:panose1 w:val="02010609030101010101"/>
    <w:charset w:val="86"/>
    <w:family w:val="modern"/>
    <w:pitch w:val="default"/>
    <w:sig w:usb0="00000000" w:usb1="00000000" w:usb2="00000000" w:usb3="00000000" w:csb0="00040000" w:csb1="00000000"/>
  </w:font>
  <w:font w:name="Microsoft YaHei">
    <w:panose1 w:val="020B0503020204020204"/>
    <w:charset w:val="86"/>
    <w:family w:val="auto"/>
    <w:pitch w:val="default"/>
    <w:sig w:usb0="80000287" w:usb1="28CF3C50" w:usb2="00000016" w:usb3="00000000" w:csb0="0004001F" w:csb1="00000000"/>
  </w:font>
  <w:font w:name="仿宋">
    <w:altName w:val="Microsoft YaHei"/>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73536"/>
    <w:rsid w:val="060C7480"/>
    <w:rsid w:val="0B083E38"/>
    <w:rsid w:val="1ECA5A65"/>
    <w:rsid w:val="22E73536"/>
    <w:rsid w:val="279D0EDB"/>
    <w:rsid w:val="28B00D70"/>
    <w:rsid w:val="2B5461BB"/>
    <w:rsid w:val="41207DEE"/>
    <w:rsid w:val="4AFF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全州县</Company>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2020-11-06T02:51:00Z</dcterms:created>
  <dc:creator>Administrator</dc:creator>
  <cp:lastModifiedBy>小唐</cp:lastModifiedBy>
  <dcterms:modified xsi:type="dcterms:W3CDTF">2021-11-09T03:38:05Z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